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88A5C" w14:textId="77777777" w:rsidR="001B10ED" w:rsidRDefault="001B10ED"/>
    <w:p w14:paraId="6880A078" w14:textId="77777777" w:rsidR="001B10ED" w:rsidRPr="00CC48D9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29990C83" w14:textId="77777777" w:rsidR="001B10ED" w:rsidRPr="00CC48D9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4"/>
          <w:szCs w:val="44"/>
        </w:rPr>
        <w:t>116級畢業專題期中進度報告</w:t>
      </w:r>
    </w:p>
    <w:p w14:paraId="6F81CD29" w14:textId="77777777" w:rsidR="00C15FBD" w:rsidRPr="005036B1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以Slurm-on-Kubernetes為核心之共享GPU AI工作負載彈性排程平台</w:t>
      </w:r>
    </w:p>
    <w:p w14:paraId="61A89A59" w14:textId="77777777" w:rsidR="001B10ED" w:rsidRPr="007239B6" w:rsidRDefault="00000000" w:rsidP="00CC074A">
      <w:pPr>
        <w:spacing w:after="120" w:line="276" w:lineRule="auto"/>
        <w:jc w:val="center"/>
        <w:rPr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Elastic Slurm Scheduling on Kubernetes</w:t>
      </w:r>
    </w:p>
    <w:p w14:paraId="1C363D4C" w14:textId="77777777" w:rsidR="001B10ED" w:rsidRPr="007239B6" w:rsidRDefault="00000000" w:rsidP="00CC074A">
      <w:pPr>
        <w:spacing w:after="240" w:line="276" w:lineRule="auto"/>
        <w:jc w:val="center"/>
        <w:rPr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for Shared GPU AI Workloads</w:t>
      </w:r>
    </w:p>
    <w:p w14:paraId="67DA54D7" w14:textId="77777777" w:rsidR="001B10ED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DF599D7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121BAFDD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519"/>
      </w:tblGrid>
      <w:tr w:rsidR="007239B6" w14:paraId="4513D675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4B367432" w14:textId="77777777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專題方向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031483E0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以深度強化學習進行資源分配與硬體配置</w:t>
            </w:r>
          </w:p>
        </w:tc>
      </w:tr>
      <w:tr w:rsidR="007239B6" w14:paraId="3C73EB8B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2517152F" w14:textId="77777777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組員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01946BEB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S11259043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Anthropic</w:t>
            </w:r>
          </w:p>
          <w:p w14:paraId="35FCC08F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S11259033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OpenAI</w:t>
            </w:r>
          </w:p>
        </w:tc>
      </w:tr>
      <w:tr w:rsidR="007239B6" w14:paraId="1AB85F60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461FFE46" w14:textId="77777777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指導</w:t>
            </w:r>
            <w:r>
              <w:rPr>
                <w:rFonts w:hint="eastAsia"/>
                <w:sz w:val="28"/>
                <w:szCs w:val="28"/>
              </w:rPr>
              <w:t>老師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546AA7E8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陳宗禧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教授</w:t>
            </w:r>
          </w:p>
        </w:tc>
      </w:tr>
    </w:tbl>
    <w:p w14:paraId="2E2FB586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7753B2BD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0FCED6D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22D56AC" w14:textId="77777777" w:rsidR="000A7905" w:rsidRDefault="000A7905" w:rsidP="00BC269D">
      <w:pPr>
        <w:spacing w:line="360" w:lineRule="auto"/>
        <w:jc w:val="center"/>
        <w:rPr>
          <w:rFonts w:ascii="Times New Roman" w:hAnsi="Times New Roman" w:cs="Times New Roman"/>
        </w:rPr>
      </w:pPr>
    </w:p>
    <w:p w14:paraId="0062E9CB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DAFB409" w14:textId="77777777" w:rsidR="00A80B13" w:rsidRPr="00EF4287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 w:hint="eastAsia"/>
          <w:sz w:val="28"/>
          <w:szCs w:val="28"/>
        </w:rPr>
        <w:t>中華民國 115 年 6 月</w:t>
      </w:r>
    </w:p>
    <w:p w14:paraId="089AAC52" w14:textId="77777777" w:rsidR="007239B6" w:rsidRPr="005036F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0D168A2" w14:textId="77777777" w:rsidR="001B10ED" w:rsidRDefault="001B10ED">
      <w:pPr>
        <w:sectPr w:rsidR="001B10ED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6CA7D415" w14:textId="77777777" w:rsidR="001B10ED" w:rsidRDefault="00000000">
      <w:pPr>
        <w:pStyle w:val="1"/>
        <w:spacing w:after="160"/>
      </w:pPr>
      <w:bookmarkStart w:id="0" w:name="_Toc231559532"/>
      <w:r>
        <w:lastRenderedPageBreak/>
        <w:t>成果貢獻摘要</w:t>
      </w:r>
      <w:bookmarkEnd w:id="0"/>
    </w:p>
    <w:p w14:paraId="7D802389" w14:textId="77777777" w:rsidR="001B10ED" w:rsidRDefault="00000000" w:rsidP="007236B1">
      <w:pPr>
        <w:spacing w:line="276" w:lineRule="auto"/>
      </w:pPr>
      <w:r>
        <w:t>本計畫已達成下列重要成果：</w:t>
      </w:r>
    </w:p>
    <w:p w14:paraId="37E02CFD" w14:textId="77777777" w:rsidR="00744724" w:rsidRDefault="00744724"/>
    <w:p w14:paraId="2E2AC73E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t>建立可實際運</w:t>
      </w:r>
      <w:r>
        <w:rPr>
          <w:rFonts w:ascii="Times New Roman" w:hAnsi="Times New Roman" w:cs="Times New Roman"/>
        </w:rPr>
        <w:t>作之共享GPU AI工作負載彈性排程平台，整合Slurm批次排程與Kubernetes容器管理。</w:t>
      </w:r>
    </w:p>
    <w:p w14:paraId="3A2A6D7D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實現CPU/GPU計算節點自動彈性擴縮，依工作佇列長度動態啟停節點，有效降低硬體閒置浪費。</w:t>
      </w:r>
    </w:p>
    <w:p w14:paraId="08B737B2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完成GPU資源切分機制</w:t>
      </w:r>
      <w:r>
        <w:rPr>
          <w:rFonts w:ascii="Times New Roman" w:hAnsi="Times New Roman" w:cs="Times New Roman" w:hint="eastAsia"/>
        </w:rPr>
        <w:t>MPS</w:t>
      </w:r>
      <w:r>
        <w:rPr>
          <w:rFonts w:ascii="Times New Roman" w:hAnsi="Times New Roman" w:cs="Times New Roman"/>
        </w:rPr>
        <w:t>，支援多個小型工作共享同一張GPU，提升GPU使用效率。</w:t>
      </w:r>
    </w:p>
    <w:p w14:paraId="77E04EA0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實現風險敏感分佈式深度強化學習排程（Distributional SAC），模型可在真實系統中參與工作優先順序與資源放置決策。</w:t>
      </w:r>
    </w:p>
    <w:p w14:paraId="73353B58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建立系統監控與視覺化介面，即時呈現工作佇列、節點狀態、GPU使用率及模型決策資訊。</w:t>
      </w:r>
    </w:p>
    <w:p w14:paraId="5C329C79" w14:textId="77777777" w:rsidR="001B10ED" w:rsidRDefault="00000000" w:rsidP="007236B1">
      <w:pPr>
        <w:pStyle w:val="a4"/>
        <w:numPr>
          <w:ilvl w:val="0"/>
          <w:numId w:val="5"/>
        </w:numPr>
        <w:spacing w:line="276" w:lineRule="auto"/>
        <w:jc w:val="both"/>
      </w:pPr>
      <w:r>
        <w:rPr>
          <w:rFonts w:ascii="Times New Roman" w:hAnsi="Times New Roman" w:cs="Times New Roman"/>
        </w:rPr>
        <w:t>完成平台穩定性修正（節點狀態同步、GPU資源描述一致性），並通過實機驗證</w:t>
      </w:r>
      <w:r>
        <w:t>。</w:t>
      </w:r>
    </w:p>
    <w:p w14:paraId="1CA9B164" w14:textId="77777777" w:rsidR="001B10ED" w:rsidRDefault="00000000">
      <w:r>
        <w:br w:type="page"/>
      </w:r>
    </w:p>
    <w:p w14:paraId="3506FE3A" w14:textId="77777777" w:rsidR="001B10ED" w:rsidRDefault="00000000">
      <w:pPr>
        <w:pStyle w:val="1"/>
        <w:spacing w:after="160"/>
      </w:pPr>
      <w:bookmarkStart w:id="1" w:name="_Toc231559533"/>
      <w:r>
        <w:lastRenderedPageBreak/>
        <w:t>摘要</w:t>
      </w:r>
      <w:bookmarkEnd w:id="1"/>
    </w:p>
    <w:p w14:paraId="6853DA0C" w14:textId="77777777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本計畫開發一套以Slurm-on-Kubernetes為核心之共享GPU AI工作負載彈性排程平台，旨在解決研究室共享主機環境中GPU利用率不足及資源閒置等問題。</w:t>
      </w:r>
    </w:p>
    <w:p w14:paraId="73E0FC89" w14:textId="77777777" w:rsidR="001B10ED" w:rsidRPr="00B221D2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19450F7B" w14:textId="77777777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系統結合批次工作排程與彈性資源管理，使用者可以熟悉的方式提交工作，系統則在背後自動完成節點啟動、工作排序、GPU 切分分配與執行監控。在智慧決策層面，本計畫採用Distributional Soft Actor-Critic（DSAC）強化學習方法，使模型學習每個排程決策可能造成的結果分布，並加入風險敏感判斷，偏向選擇在壞情況下也較穩定的資源配置方案。</w:t>
      </w:r>
    </w:p>
    <w:p w14:paraId="096F90F8" w14:textId="77777777" w:rsidR="001B10ED" w:rsidRPr="00131ADE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18191ED0" w14:textId="77777777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功能建置並通過實機驗證，包含：GPU資源切分、節點彈性擴縮、智慧排程模型上線、工作追蹤與監控介面。後續工作將聚焦於改善模擬訓練環境貼近真實系統、擴充多台主機協同決策能力，以及進行更完整的效能對照實驗。</w:t>
      </w:r>
    </w:p>
    <w:p w14:paraId="16BFC531" w14:textId="77777777" w:rsidR="001B10ED" w:rsidRDefault="001B10ED"/>
    <w:p w14:paraId="55FCA20C" w14:textId="77777777" w:rsidR="001B10ED" w:rsidRDefault="00000000" w:rsidP="007059BB">
      <w:pPr>
        <w:jc w:val="both"/>
      </w:pPr>
      <w:r>
        <w:rPr>
          <w:b/>
          <w:bCs/>
        </w:rPr>
        <w:t>關鍵詞：</w:t>
      </w:r>
      <w:r>
        <w:rPr>
          <w:rFonts w:ascii="Times New Roman" w:hAnsi="Times New Roman" w:cs="Times New Roman"/>
        </w:rPr>
        <w:t>GPU資源排程、Kubernetes、Slurm、深度強化學習、Distributional SAC、彈性擴縮</w:t>
      </w:r>
    </w:p>
    <w:p w14:paraId="57E17781" w14:textId="77777777" w:rsidR="001B10ED" w:rsidRDefault="00000000">
      <w:r>
        <w:br w:type="page"/>
      </w:r>
    </w:p>
    <w:p w14:paraId="7FB28533" w14:textId="77777777" w:rsidR="001B10ED" w:rsidRDefault="00000000">
      <w:pPr>
        <w:pStyle w:val="1"/>
        <w:spacing w:after="160"/>
      </w:pPr>
      <w:bookmarkStart w:id="2" w:name="_Toc231559534"/>
      <w:r>
        <w:lastRenderedPageBreak/>
        <w:t>目錄</w:t>
      </w:r>
      <w:bookmarkEnd w:id="2"/>
    </w:p>
    <w:sdt>
      <w:sdtPr>
        <w:rPr>
          <w:rFonts w:ascii="Times New Roman" w:hAnsi="Times New Roman" w:cs="Times New Roman"/>
        </w:rPr>
        <w:id w:val="-302231887"/>
      </w:sdtPr>
      <w:sdtContent>
        <w:p w14:paraId="7EACE099" w14:textId="6745A341" w:rsidR="00E95A2F" w:rsidRPr="003723D7" w:rsidRDefault="00000000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r>
            <w:rPr>
              <w:rFonts w:ascii="Times New Roman" w:hAnsi="Times New Roman" w:cs="Times New Roman"/>
            </w:rPr>
            <w:fldChar w:fldCharType="begin"/>
            <w:instrText>TOC \h \o "1-3"</w:instrText>
            <w:fldChar w:fldCharType="separate"/>
          </w:r>
          <w:hyperlink w:anchor="_Toc231559532" w:history="1">
            <w:r>
              <w:rPr>
                <w:rStyle w:val="a5"/>
                <w:rFonts w:ascii="Times New Roman" w:hAnsi="Times New Roman" w:cs="Times New Roman"/>
                <w:noProof/>
              </w:rPr>
              <w:t>成果貢獻摘要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_Toc231559532 \h </w:instrText>
              <w:fldChar w:fldCharType="separate"/>
              <w:t>I</w:t>
              <w:fldChar w:fldCharType="end"/>
            </w:r>
          </w:hyperlink>
        </w:p>
        <w:p w14:paraId="49313D26" w14:textId="12601064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3" w:history="1">
            <w:r>
              <w:rPr>
                <w:rStyle w:val="a5"/>
                <w:rFonts w:ascii="Times New Roman" w:hAnsi="Times New Roman" w:cs="Times New Roman"/>
                <w:noProof/>
              </w:rPr>
              <w:t>摘要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_Toc231559533 \h </w:instrText>
              <w:fldChar w:fldCharType="separate"/>
              <w:t>II</w:t>
              <w:fldChar w:fldCharType="end"/>
            </w:r>
          </w:hyperlink>
        </w:p>
        <w:p w14:paraId="0103C67B" w14:textId="5A1D4BBF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4" w:history="1">
            <w:r>
              <w:rPr>
                <w:rStyle w:val="a5"/>
                <w:rFonts w:ascii="Times New Roman" w:hAnsi="Times New Roman" w:cs="Times New Roman"/>
                <w:noProof/>
              </w:rPr>
              <w:t>目錄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_Toc231559534 \h </w:instrText>
              <w:fldChar w:fldCharType="separate"/>
              <w:t>III</w:t>
              <w:fldChar w:fldCharType="end"/>
            </w:r>
          </w:hyperlink>
        </w:p>
        <w:p w14:paraId="08E210D6" w14:textId="7A9A76C9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5" w:history="1">
            <w:r>
              <w:rPr>
                <w:rStyle w:val="a5"/>
                <w:rFonts w:ascii="Times New Roman" w:hAnsi="Times New Roman" w:cs="Times New Roman"/>
                <w:noProof/>
              </w:rPr>
              <w:t>第一章　前言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_Toc231559535 \h </w:instrText>
              <w:fldChar w:fldCharType="separate"/>
              <w:t>1</w:t>
              <w:fldChar w:fldCharType="end"/>
            </w:r>
          </w:hyperlink>
        </w:p>
        <w:p w14:paraId="63ACA567" w14:textId="37763D2E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6" w:history="1">
            <w:r>
              <w:rPr>
                <w:rStyle w:val="a5"/>
                <w:rFonts w:ascii="Times New Roman" w:hAnsi="Times New Roman" w:cs="Times New Roman"/>
                <w:noProof/>
              </w:rPr>
              <w:t>1.1　研究背景與動機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_Toc231559536 \h </w:instrText>
              <w:fldChar w:fldCharType="separate"/>
              <w:t>1</w:t>
              <w:fldChar w:fldCharType="end"/>
            </w:r>
          </w:hyperlink>
        </w:p>
        <w:p w14:paraId="71524694" w14:textId="35532C95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7" w:history="1">
            <w:r>
              <w:rPr>
                <w:rStyle w:val="a5"/>
                <w:rFonts w:ascii="Times New Roman" w:hAnsi="Times New Roman" w:cs="Times New Roman"/>
                <w:noProof/>
              </w:rPr>
              <w:t>第二章　研究目的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_Toc231559537 \h </w:instrText>
              <w:fldChar w:fldCharType="separate"/>
              <w:t>2</w:t>
              <w:fldChar w:fldCharType="end"/>
            </w:r>
          </w:hyperlink>
        </w:p>
        <w:p w14:paraId="7C6AA255" w14:textId="481AD028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8" w:history="1">
            <w:r>
              <w:rPr>
                <w:rStyle w:val="a5"/>
                <w:rFonts w:ascii="Times New Roman" w:hAnsi="Times New Roman" w:cs="Times New Roman"/>
                <w:noProof/>
              </w:rPr>
              <w:t>第三章　文獻探討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_Toc231559538 \h </w:instrText>
              <w:fldChar w:fldCharType="separate"/>
              <w:t>3</w:t>
              <w:fldChar w:fldCharType="end"/>
            </w:r>
          </w:hyperlink>
        </w:p>
        <w:p w14:paraId="21E29FC6" w14:textId="54508550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9" w:history="1">
            <w:r>
              <w:rPr>
                <w:rStyle w:val="a5"/>
                <w:rFonts w:ascii="Times New Roman" w:hAnsi="Times New Roman" w:cs="Times New Roman"/>
                <w:noProof/>
              </w:rPr>
              <w:t>3.1　高效能運算排程器（Slurm）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_Toc231559539 \h </w:instrText>
              <w:fldChar w:fldCharType="separate"/>
              <w:t>3</w:t>
              <w:fldChar w:fldCharType="end"/>
            </w:r>
          </w:hyperlink>
        </w:p>
        <w:p w14:paraId="0E184361" w14:textId="0695D5BC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0" w:history="1">
            <w:r>
              <w:rPr>
                <w:rStyle w:val="a5"/>
                <w:rFonts w:ascii="Times New Roman" w:hAnsi="Times New Roman" w:cs="Times New Roman"/>
                <w:noProof/>
              </w:rPr>
              <w:t>3.2　容器化與 Kubernetes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_Toc231559540 \h </w:instrText>
              <w:fldChar w:fldCharType="separate"/>
              <w:t>3</w:t>
              <w:fldChar w:fldCharType="end"/>
            </w:r>
          </w:hyperlink>
        </w:p>
        <w:p w14:paraId="53DD888C" w14:textId="4127C4E7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1" w:history="1">
            <w:r>
              <w:rPr>
                <w:rStyle w:val="a5"/>
                <w:rFonts w:ascii="Times New Roman" w:hAnsi="Times New Roman" w:cs="Times New Roman"/>
                <w:noProof/>
              </w:rPr>
              <w:t>3.3　GPU 資源共享技術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_Toc231559541 \h </w:instrText>
              <w:fldChar w:fldCharType="separate"/>
              <w:t>3</w:t>
              <w:fldChar w:fldCharType="end"/>
            </w:r>
          </w:hyperlink>
        </w:p>
        <w:p w14:paraId="74CC586B" w14:textId="43F40632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2" w:history="1">
            <w:r>
              <w:rPr>
                <w:rStyle w:val="a5"/>
                <w:rFonts w:ascii="Times New Roman" w:hAnsi="Times New Roman" w:cs="Times New Roman"/>
                <w:noProof/>
              </w:rPr>
              <w:t>3.4　深度強化學習於資源排程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_Toc231559542 \h </w:instrText>
              <w:fldChar w:fldCharType="separate"/>
              <w:t>3</w:t>
              <w:fldChar w:fldCharType="end"/>
            </w:r>
          </w:hyperlink>
        </w:p>
        <w:p w14:paraId="5E6900D9" w14:textId="741A3F70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3" w:history="1">
            <w:r>
              <w:rPr>
                <w:rStyle w:val="a5"/>
                <w:rFonts w:ascii="Times New Roman" w:hAnsi="Times New Roman" w:cs="Times New Roman"/>
                <w:noProof/>
              </w:rPr>
              <w:t>第四章　研究方法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_Toc231559543 \h </w:instrText>
              <w:fldChar w:fldCharType="separate"/>
              <w:t>5</w:t>
              <w:fldChar w:fldCharType="end"/>
            </w:r>
          </w:hyperlink>
        </w:p>
        <w:p w14:paraId="7D5267F5" w14:textId="67FD9BF5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4" w:history="1">
            <w:r>
              <w:rPr>
                <w:rStyle w:val="a5"/>
                <w:rFonts w:ascii="Times New Roman" w:hAnsi="Times New Roman" w:cs="Times New Roman"/>
                <w:noProof/>
              </w:rPr>
              <w:t>4.1　系統整體架構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_Toc231559544 \h </w:instrText>
              <w:fldChar w:fldCharType="separate"/>
              <w:t>5</w:t>
              <w:fldChar w:fldCharType="end"/>
            </w:r>
          </w:hyperlink>
        </w:p>
        <w:p w14:paraId="5D6B2E1E" w14:textId="63941428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5" w:history="1">
            <w:r>
              <w:rPr>
                <w:rStyle w:val="a5"/>
                <w:rFonts w:ascii="Times New Roman" w:hAnsi="Times New Roman" w:cs="Times New Roman"/>
                <w:noProof/>
              </w:rPr>
              <w:t>4.2　排程與資源分配流程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_Toc231559545 \h </w:instrText>
              <w:fldChar w:fldCharType="separate"/>
              <w:t>5</w:t>
              <w:fldChar w:fldCharType="end"/>
            </w:r>
          </w:hyperlink>
        </w:p>
        <w:p w14:paraId="73D52883" w14:textId="2EEAED91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6" w:history="1">
            <w:r>
              <w:rPr>
                <w:rStyle w:val="a5"/>
                <w:rFonts w:ascii="Times New Roman" w:hAnsi="Times New Roman" w:cs="Times New Roman"/>
                <w:noProof/>
              </w:rPr>
              <w:t>4.2.1　基本排程規則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_Toc231559546 \h </w:instrText>
              <w:fldChar w:fldCharType="separate"/>
              <w:t>5</w:t>
              <w:fldChar w:fldCharType="end"/>
            </w:r>
          </w:hyperlink>
        </w:p>
        <w:p w14:paraId="53800DD8" w14:textId="32AB1769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7" w:history="1">
            <w:r>
              <w:rPr>
                <w:rStyle w:val="a5"/>
                <w:rFonts w:ascii="Times New Roman" w:hAnsi="Times New Roman" w:cs="Times New Roman"/>
                <w:noProof/>
              </w:rPr>
              <w:t>4.2.2　智慧決策模型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_Toc231559547 \h </w:instrText>
              <w:fldChar w:fldCharType="separate"/>
              <w:t>6</w:t>
              <w:fldChar w:fldCharType="end"/>
            </w:r>
          </w:hyperlink>
        </w:p>
        <w:p w14:paraId="729FF2CE" w14:textId="73CC27AC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8" w:history="1">
            <w:r>
              <w:rPr>
                <w:rStyle w:val="a5"/>
                <w:rFonts w:ascii="Times New Roman" w:hAnsi="Times New Roman" w:cs="Times New Roman"/>
                <w:noProof/>
              </w:rPr>
              <w:t>4.2.3　指定資源配置機制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_Toc231559548 \h </w:instrText>
              <w:fldChar w:fldCharType="separate"/>
              <w:t>6</w:t>
              <w:fldChar w:fldCharType="end"/>
            </w:r>
          </w:hyperlink>
        </w:p>
        <w:p w14:paraId="7D32B2C8" w14:textId="76E1DCD1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9" w:history="1">
            <w:r>
              <w:rPr>
                <w:rStyle w:val="a5"/>
                <w:rFonts w:ascii="Times New Roman" w:hAnsi="Times New Roman" w:cs="Times New Roman"/>
                <w:noProof/>
              </w:rPr>
              <w:t>4.3　GPU 資源共享方法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_Toc231559549 \h </w:instrText>
              <w:fldChar w:fldCharType="separate"/>
              <w:t>6</w:t>
              <w:fldChar w:fldCharType="end"/>
            </w:r>
          </w:hyperlink>
        </w:p>
        <w:p w14:paraId="1D019CDE" w14:textId="479DDACE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0" w:history="1">
            <w:r>
              <w:rPr>
                <w:rStyle w:val="a5"/>
                <w:rFonts w:ascii="Times New Roman" w:hAnsi="Times New Roman" w:cs="Times New Roman"/>
                <w:noProof/>
              </w:rPr>
              <w:t>4.4　模型訓練與評估方法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_Toc231559550 \h </w:instrText>
              <w:fldChar w:fldCharType="separate"/>
              <w:t>6</w:t>
              <w:fldChar w:fldCharType="end"/>
            </w:r>
          </w:hyperlink>
        </w:p>
        <w:p w14:paraId="61EBAE03" w14:textId="643D495E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1" w:history="1">
            <w:r>
              <w:rPr>
                <w:rStyle w:val="a5"/>
                <w:rFonts w:ascii="Times New Roman" w:hAnsi="Times New Roman" w:cs="Times New Roman"/>
                <w:noProof/>
              </w:rPr>
              <w:t>第五章　結果與討論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_Toc231559551 \h </w:instrText>
              <w:fldChar w:fldCharType="separate"/>
              <w:t>8</w:t>
              <w:fldChar w:fldCharType="end"/>
            </w:r>
          </w:hyperlink>
        </w:p>
        <w:p w14:paraId="297FA03A" w14:textId="61D70D46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2" w:history="1">
            <w:r>
              <w:rPr>
                <w:rStyle w:val="a5"/>
                <w:rFonts w:ascii="Times New Roman" w:hAnsi="Times New Roman" w:cs="Times New Roman"/>
                <w:noProof/>
              </w:rPr>
              <w:t>5.1　目前完成項目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_Toc231559552 \h </w:instrText>
              <w:fldChar w:fldCharType="separate"/>
              <w:t>8</w:t>
              <w:fldChar w:fldCharType="end"/>
            </w:r>
          </w:hyperlink>
        </w:p>
        <w:p w14:paraId="2032A392" w14:textId="34160B6B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3" w:history="1">
            <w:r>
              <w:rPr>
                <w:rStyle w:val="a5"/>
                <w:rFonts w:ascii="Times New Roman" w:hAnsi="Times New Roman" w:cs="Times New Roman"/>
                <w:noProof/>
              </w:rPr>
              <w:t>5.1.1　平台建置與操作流程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_Toc231559553 \h </w:instrText>
              <w:fldChar w:fldCharType="separate"/>
              <w:t>8</w:t>
              <w:fldChar w:fldCharType="end"/>
            </w:r>
          </w:hyperlink>
        </w:p>
        <w:p w14:paraId="51B9CAFD" w14:textId="1E2FB9D6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4" w:history="1">
            <w:r>
              <w:rPr>
                <w:rStyle w:val="a5"/>
                <w:rFonts w:ascii="Times New Roman" w:hAnsi="Times New Roman" w:cs="Times New Roman"/>
                <w:noProof/>
              </w:rPr>
              <w:t>5.1.2　智慧排程已可在真實系統中運作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_Toc231559554 \h </w:instrText>
              <w:fldChar w:fldCharType="separate"/>
              <w:t>8</w:t>
              <w:fldChar w:fldCharType="end"/>
            </w:r>
          </w:hyperlink>
        </w:p>
        <w:p w14:paraId="5FAD3987" w14:textId="16A99C40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5" w:history="1">
            <w:r>
              <w:rPr>
                <w:rStyle w:val="a5"/>
                <w:rFonts w:ascii="Times New Roman" w:hAnsi="Times New Roman" w:cs="Times New Roman"/>
                <w:noProof/>
              </w:rPr>
              <w:t>5.1.3　模型已可初步參與資源放置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_Toc231559555 \h </w:instrText>
              <w:fldChar w:fldCharType="separate"/>
              <w:t>8</w:t>
              <w:fldChar w:fldCharType="end"/>
            </w:r>
          </w:hyperlink>
        </w:p>
        <w:p w14:paraId="1384E648" w14:textId="29CE6126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6" w:history="1">
            <w:r>
              <w:rPr>
                <w:rStyle w:val="a5"/>
                <w:rFonts w:ascii="Times New Roman" w:hAnsi="Times New Roman" w:cs="Times New Roman"/>
                <w:noProof/>
              </w:rPr>
              <w:t>5.1.4　監控與展示介面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_Toc231559556 \h </w:instrText>
              <w:fldChar w:fldCharType="separate"/>
              <w:t>8</w:t>
              <w:fldChar w:fldCharType="end"/>
            </w:r>
          </w:hyperlink>
        </w:p>
        <w:p w14:paraId="6C8323C2" w14:textId="3D068356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7" w:history="1">
            <w:r>
              <w:rPr>
                <w:rStyle w:val="a5"/>
                <w:rFonts w:ascii="Times New Roman" w:hAnsi="Times New Roman" w:cs="Times New Roman"/>
                <w:noProof/>
              </w:rPr>
              <w:t>5.2　實驗結果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_Toc231559557 \h </w:instrText>
              <w:fldChar w:fldCharType="separate"/>
              <w:t>9</w:t>
              <w:fldChar w:fldCharType="end"/>
            </w:r>
          </w:hyperlink>
        </w:p>
        <w:p w14:paraId="7DFFADE1" w14:textId="392953E0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8" w:history="1">
            <w:r>
              <w:rPr>
                <w:rStyle w:val="a5"/>
                <w:rFonts w:ascii="Times New Roman" w:hAnsi="Times New Roman" w:cs="Times New Roman"/>
                <w:noProof/>
              </w:rPr>
              <w:t>5.3　結論與建議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_Toc231559558 \h </w:instrText>
              <w:fldChar w:fldCharType="separate"/>
              <w:t>10</w:t>
              <w:fldChar w:fldCharType="end"/>
            </w:r>
          </w:hyperlink>
        </w:p>
        <w:p w14:paraId="54BE79DD" w14:textId="2C17C17C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9" w:history="1">
            <w:r>
              <w:rPr>
                <w:rStyle w:val="a5"/>
                <w:rFonts w:ascii="Times New Roman" w:hAnsi="Times New Roman" w:cs="Times New Roman"/>
                <w:noProof/>
              </w:rPr>
              <w:t>5.4　執行計畫過程遇到之困難與阻礙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_Toc231559559 \h </w:instrText>
              <w:fldChar w:fldCharType="separate"/>
              <w:t>11</w:t>
              <w:fldChar w:fldCharType="end"/>
            </w:r>
          </w:hyperlink>
        </w:p>
        <w:p w14:paraId="2A55E722" w14:textId="477E9BB9" w:rsidR="00E95A2F" w:rsidRPr="003723D7" w:rsidRDefault="00E95A2F" w:rsidP="00E25EBE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0" w:history="1">
            <w:r>
              <w:rPr>
                <w:rStyle w:val="a5"/>
                <w:rFonts w:ascii="Times New Roman" w:hAnsi="Times New Roman" w:cs="Times New Roman"/>
                <w:noProof/>
              </w:rPr>
              <w:t>5.4.1　節點回收後狀態不一致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_Toc231559560 \h </w:instrText>
              <w:fldChar w:fldCharType="separate"/>
              <w:t>11</w:t>
              <w:fldChar w:fldCharType="end"/>
            </w:r>
          </w:hyperlink>
        </w:p>
        <w:p w14:paraId="3C90C0A5" w14:textId="401CB4FE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2" w:history="1">
            <w:r>
              <w:rPr>
                <w:rStyle w:val="a5"/>
                <w:rFonts w:ascii="Times New Roman" w:hAnsi="Times New Roman" w:cs="Times New Roman"/>
                <w:noProof/>
              </w:rPr>
              <w:t>5.4.2　智慧模型效果尚未超越基本規則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_Toc231559562 \h </w:instrText>
              <w:fldChar w:fldCharType="separate"/>
              <w:t>11</w:t>
              <w:fldChar w:fldCharType="end"/>
            </w:r>
          </w:hyperlink>
        </w:p>
        <w:p w14:paraId="183B43C0" w14:textId="601270B0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3" w:history="1">
            <w:r>
              <w:rPr>
                <w:rStyle w:val="a5"/>
                <w:rFonts w:ascii="Times New Roman" w:hAnsi="Times New Roman" w:cs="Times New Roman"/>
                <w:noProof/>
              </w:rPr>
              <w:t>參考文獻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_Toc231559563 \h </w:instrText>
              <w:fldChar w:fldCharType="separate"/>
              <w:t>12</w:t>
              <w:fldChar w:fldCharType="end"/>
            </w:r>
          </w:hyperlink>
        </w:p>
        <w:p w14:paraId="34A2CD01" w14:textId="669A027F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4" w:history="1">
            <w:r>
              <w:rPr>
                <w:rStyle w:val="a5"/>
                <w:rFonts w:ascii="Times New Roman" w:hAnsi="Times New Roman" w:cs="Times New Roman"/>
                <w:noProof/>
              </w:rPr>
              <w:t>附錄：建議插圖清單</w:t>
            </w:r>
            <w:r>
              <w:rPr>
                <w:rFonts w:ascii="Times New Roman" w:hAnsi="Times New Roman" w:cs="Times New Roman"/>
                <w:noProof/>
              </w:rPr>
              <w:tab/>
              <w:fldChar w:fldCharType="begin"/>
              <w:instrText xml:space="preserve"> PAGEREF _Toc231559564 \h </w:instrText>
              <w:fldChar w:fldCharType="separate"/>
              <w:t>13</w:t>
              <w:fldChar w:fldCharType="end"/>
            </w:r>
          </w:hyperlink>
        </w:p>
        <w:p w14:paraId="649F784D" w14:textId="77777777" w:rsidR="001B10ED" w:rsidRDefault="00000000"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14:paraId="54D7131D" w14:textId="77777777" w:rsidR="001B10ED" w:rsidRDefault="00000000">
      <w:r>
        <w:br w:type="page"/>
      </w:r>
    </w:p>
    <w:p w14:paraId="5A052403" w14:textId="77777777" w:rsidR="001B10ED" w:rsidRDefault="001B10ED">
      <w:pPr>
        <w:sectPr w:rsidR="001B10ED">
          <w:footerReference w:type="default" r:id="rId7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12437730" w14:textId="77777777" w:rsidR="001B10ED" w:rsidRDefault="00000000" w:rsidP="00D61723">
      <w:pPr>
        <w:pStyle w:val="1"/>
        <w:spacing w:after="160"/>
        <w:jc w:val="center"/>
      </w:pPr>
      <w:bookmarkStart w:id="3" w:name="_Toc231559535"/>
      <w:r>
        <w:lastRenderedPageBreak/>
        <w:t>第一章　前言</w:t>
      </w:r>
      <w:bookmarkEnd w:id="3"/>
    </w:p>
    <w:p w14:paraId="414015B9" w14:textId="77777777" w:rsidR="001B10ED" w:rsidRDefault="00000000">
      <w:pPr>
        <w:pStyle w:val="2"/>
        <w:spacing w:after="160"/>
      </w:pPr>
      <w:bookmarkStart w:id="4" w:name="_Toc231559536"/>
      <w:r>
        <w:rPr>
          <w:rFonts w:ascii="Times New Roman" w:hAnsi="Times New Roman" w:cs="Times New Roman"/>
        </w:rPr>
        <w:t>1.1</w:t>
      </w:r>
      <w:r>
        <w:t xml:space="preserve">　研究背景與動機</w:t>
      </w:r>
      <w:bookmarkEnd w:id="4"/>
    </w:p>
    <w:p w14:paraId="528E3744" w14:textId="77777777" w:rsidR="001B10ED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近年來，人工智慧研究越來越依賴GPU進行訓練、推論與資料處理。然而在一般研究室的共享主機環境中，常常面臨以下困境：</w:t>
      </w:r>
    </w:p>
    <w:p w14:paraId="34EB1C79" w14:textId="77777777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一張GPU只給一個工作使用，實際利用率不高。</w:t>
      </w:r>
    </w:p>
    <w:p w14:paraId="3AB00F98" w14:textId="77777777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多位使用者同時使用同一台機器時，容易互相干擾，缺乏公平的排隊與分配方式。</w:t>
      </w:r>
    </w:p>
    <w:p w14:paraId="0F53188F" w14:textId="77777777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長時間工作若中途被中斷，往往造成時間浪費。</w:t>
      </w:r>
    </w:p>
    <w:p w14:paraId="01E1CD5E" w14:textId="77777777" w:rsidR="001B10ED" w:rsidRPr="00DA0C31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沒有工作時，系統仍然維持大量資源待命，造成硬體閒置。</w:t>
      </w:r>
    </w:p>
    <w:p w14:paraId="4E903117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0CB82411" w14:textId="77777777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目前常見的系統大多只擅長其中一件事。容器平台</w:t>
      </w:r>
      <w:r>
        <w:rPr>
          <w:rFonts w:ascii="Times New Roman" w:hAnsi="Times New Roman" w:cs="Times New Roman" w:hint="eastAsia"/>
        </w:rPr>
        <w:t>如Kubernetes</w:t>
      </w:r>
      <w:r>
        <w:rPr>
          <w:rFonts w:ascii="Times New Roman" w:hAnsi="Times New Roman" w:cs="Times New Roman"/>
        </w:rPr>
        <w:t>擅長自動啟動與回收資源，但對研究工作常見的GPU分配、批次排程與多使用者管理支援較弱；相對地，傳統高效能運算排程器</w:t>
      </w:r>
      <w:r>
        <w:rPr>
          <w:rFonts w:ascii="Times New Roman" w:hAnsi="Times New Roman" w:cs="Times New Roman" w:hint="eastAsia"/>
        </w:rPr>
        <w:t>Slurm</w:t>
      </w:r>
      <w:r>
        <w:rPr>
          <w:rFonts w:ascii="Times New Roman" w:hAnsi="Times New Roman" w:cs="Times New Roman"/>
        </w:rPr>
        <w:t>雖擅長管理工作佇列與硬體資源，但對彈性擴縮與雲端式管理不夠方便。</w:t>
      </w:r>
    </w:p>
    <w:p w14:paraId="0F4C4917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7C9CB192" w14:textId="77777777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因此，本計畫希望結合兩者優點，建立一套既能保有研究者熟悉的工作提交流程，又能做到動態分配CPU、GPU與儲存資源的系統。進一步地，我們也希望導入機器學習方法，讓系統可以根據目前</w:t>
      </w:r>
      <w:r>
        <w:rPr>
          <w:rFonts w:ascii="Times New Roman" w:hAnsi="Times New Roman" w:cs="Times New Roman" w:hint="eastAsia"/>
        </w:rPr>
        <w:t>工作</w:t>
      </w:r>
      <w:r>
        <w:rPr>
          <w:rFonts w:ascii="Times New Roman" w:hAnsi="Times New Roman" w:cs="Times New Roman"/>
        </w:rPr>
        <w:t>佇列狀態與硬體使用情形，自動做出更合理的資源分配決策。</w:t>
      </w:r>
    </w:p>
    <w:p w14:paraId="2255336A" w14:textId="77777777" w:rsidR="001B10ED" w:rsidRDefault="00000000">
      <w:r>
        <w:br w:type="page"/>
      </w:r>
    </w:p>
    <w:p w14:paraId="39A22946" w14:textId="77777777" w:rsidR="001B10ED" w:rsidRDefault="00000000" w:rsidP="00D61723">
      <w:pPr>
        <w:pStyle w:val="1"/>
        <w:spacing w:after="160"/>
        <w:jc w:val="center"/>
      </w:pPr>
      <w:bookmarkStart w:id="5" w:name="_Toc231559537"/>
      <w:r>
        <w:lastRenderedPageBreak/>
        <w:t>第二章　研究目的</w:t>
      </w:r>
      <w:bookmarkEnd w:id="5"/>
    </w:p>
    <w:p w14:paraId="1D162C03" w14:textId="77777777" w:rsidR="001B10ED" w:rsidRDefault="00000000" w:rsidP="001461EF">
      <w:pPr>
        <w:spacing w:line="276" w:lineRule="auto"/>
      </w:pPr>
      <w:r>
        <w:t>本計畫主要探討以下幾個問題：</w:t>
      </w:r>
    </w:p>
    <w:p w14:paraId="76A330CD" w14:textId="77777777" w:rsidR="0059112E" w:rsidRDefault="0059112E"/>
    <w:p w14:paraId="6D940DC6" w14:textId="77777777" w:rsidR="001B10ED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如何在容器化叢集上建立一套適合研究工作的排程平台。</w:t>
      </w:r>
    </w:p>
    <w:p w14:paraId="63E154F2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如何根據工作數量，自動增加或減少 CPU 與 GPU 計算節點。</w:t>
      </w:r>
    </w:p>
    <w:p w14:paraId="5684B708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如何讓多個較小的 GPU 工作共享同一張顯示卡，以提升使用效率。</w:t>
      </w:r>
    </w:p>
    <w:p w14:paraId="3C6E960F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797F835B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2BDF25F5" w14:textId="77777777" w:rsidR="001B10ED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如何把整個系統的決策過程、資源變化與工作執行情況清楚地呈現出來。</w:t>
      </w:r>
    </w:p>
    <w:p w14:paraId="2ABFF110" w14:textId="77777777" w:rsidR="001B10ED" w:rsidRDefault="00000000">
      <w:r>
        <w:br w:type="page"/>
      </w:r>
    </w:p>
    <w:p w14:paraId="208FAA1D" w14:textId="77777777" w:rsidR="001B10ED" w:rsidRDefault="00000000" w:rsidP="00D61723">
      <w:pPr>
        <w:pStyle w:val="1"/>
        <w:spacing w:after="160"/>
        <w:jc w:val="center"/>
      </w:pPr>
      <w:bookmarkStart w:id="6" w:name="_Toc231559538"/>
      <w:r>
        <w:lastRenderedPageBreak/>
        <w:t>第三章　文獻探討</w:t>
      </w:r>
      <w:bookmarkEnd w:id="6"/>
    </w:p>
    <w:p w14:paraId="427DCFF6" w14:textId="77777777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7" w:name="_Toc231559539"/>
      <w:r>
        <w:rPr>
          <w:rFonts w:ascii="Times New Roman" w:hAnsi="Times New Roman" w:cs="Times New Roman"/>
        </w:rPr>
        <w:t>3.1　高效能運算排程器（Slurm）</w:t>
      </w:r>
      <w:bookmarkEnd w:id="7"/>
    </w:p>
    <w:p w14:paraId="6F9FD766" w14:textId="54C9472F" w:rsidR="001B10ED" w:rsidRPr="0033470E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Slurm Workload Manager 是目前高效能運算（HPC）叢集最廣泛使用的工作排程系統之一。它提供完整的工作提交、佇列管理、資源限額與帳務管理功能，並支援GPU資源分配。其以「節點」為基礎的資源模型非常適合研究工作環境，且已有廣泛的使用者社群與文件支援。然而Slurm原生設計以固定實體節點為主，對彈性擴縮與容器化整合的支援相對有限。</w:t>
      </w:r>
    </w:p>
    <w:p w14:paraId="62174563" w14:textId="77777777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8" w:name="_Toc231559540"/>
      <w:r>
        <w:rPr>
          <w:rFonts w:ascii="Times New Roman" w:hAnsi="Times New Roman" w:cs="Times New Roman"/>
        </w:rPr>
        <w:t>3.2　容器化與 Kubernetes</w:t>
      </w:r>
      <w:bookmarkEnd w:id="8"/>
    </w:p>
    <w:p w14:paraId="31CDBF02" w14:textId="11B9B2FD" w:rsidR="001B10ED" w:rsidRPr="0033470E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Kubernetes是目前最主流的容器編排平台，能夠自動管理容器的部署、擴縮與健康監控。Kubernetes 的Cluster Autoscaler可根據工作負載自動增減節點，非常適合需要彈性資源的場景。然而Kubernetes原生的排程器 (kube-scheduler) 以服務導向設計為主，對批次工作、GPU共享與研究工作特有的排程需求支援不足。因此有多項研究嘗試將Slurm與Kubernetes整合，以結合兩者優點。</w:t>
      </w:r>
    </w:p>
    <w:p w14:paraId="3D25739D" w14:textId="77777777" w:rsidR="001B10ED" w:rsidRPr="0033470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9" w:name="_Toc231559541"/>
      <w:r>
        <w:rPr>
          <w:rFonts w:ascii="Times New Roman" w:hAnsi="Times New Roman" w:cs="Times New Roman"/>
        </w:rPr>
        <w:t>3.3　GPU資源共享技術</w:t>
      </w:r>
      <w:bookmarkEnd w:id="9"/>
    </w:p>
    <w:p w14:paraId="60D1173D" w14:textId="47720A15" w:rsidR="001B10ED" w:rsidRPr="0033470E" w:rsidRDefault="00AD27B4" w:rsidP="0033470E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NVIDIA提供多種GPU資源共享技術，包括 Multi-Process Service</w:t>
      </w:r>
      <w:r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MPS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t>、Multi-Instance GPU</w:t>
      </w:r>
      <w:r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MIG</w:t>
      </w:r>
      <w:r>
        <w:rPr>
          <w:rFonts w:ascii="Times New Roman" w:hAnsi="Times New Roman" w:cs="Times New Roman" w:hint="eastAsia"/>
        </w:rPr>
        <w:t xml:space="preserve">) </w:t>
      </w:r>
      <w:r>
        <w:rPr>
          <w:rFonts w:ascii="Times New Roman" w:hAnsi="Times New Roman" w:cs="Times New Roman"/>
        </w:rPr>
        <w:t>以及 Time-Slicing。MPS允許多個CUDA程序同時共享一張GPU的運算資源；MIG則在硬體層面將GPU切分成獨立的分區，提供更強的隔離性。本系統目前採用基於GPU資源切分的方式，讓多個較小的工作共享同一張GPU，以提升整體使用效率。</w:t>
      </w:r>
    </w:p>
    <w:p w14:paraId="50756AC2" w14:textId="77777777" w:rsidR="001B10ED" w:rsidRPr="003F15A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0" w:name="_Toc231559542"/>
      <w:r>
        <w:rPr>
          <w:rFonts w:ascii="Times New Roman" w:hAnsi="Times New Roman" w:cs="Times New Roman"/>
        </w:rPr>
        <w:t>3.4　深度強化學習於資源排程</w:t>
      </w:r>
      <w:bookmarkEnd w:id="10"/>
    </w:p>
    <w:p w14:paraId="7AEE3267" w14:textId="5921CEAF" w:rsidR="00621D24" w:rsidRDefault="00AD27B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近年來已有多項研究將深度強化學習應用於資源排程問題，包括資料中心工作排程、雲端資源分配等。然而多數工作採用期望值導向 (expectation-based) 的獎勵函數，僅最佳化平均表現，忽略了不確定情境下的風險。</w:t>
      </w:r>
      <w:r>
        <w:rPr>
          <w:rFonts w:ascii="Times New Roman" w:eastAsia="Times New Roman" w:hAnsi="Times New Roman" w:cs="Times New Roman"/>
          <w:b/>
          <w:bCs/>
        </w:rPr>
        <w:t>Ma et al.</w:t>
      </w:r>
      <w:r>
        <w:rPr>
          <w:rFonts w:asciiTheme="minorEastAsia" w:eastAsiaTheme="minorEastAsia" w:hAnsiTheme="minorEastAsia" w:cs="Times New Roman" w:hint="eastAsia"/>
          <w:b/>
          <w:bCs/>
        </w:rPr>
        <w:t xml:space="preserve"> </w:t>
      </w:r>
      <w:r>
        <w:rPr>
          <w:rFonts w:ascii="Times New Roman" w:hAnsi="Times New Roman" w:cs="Times New Roman"/>
        </w:rPr>
        <w:t>提出的Distributional Soft Actor-Critic (DSAC) 透過分佈式critic估計每個動作的回報分布，並結合Soft Actor-Critic的最大熵探索框架，實現風險敏感決策。相較於僅看平均值的方法，DSAC能夠同時考量好情況與壞情況，根據風險偏好做出更穩健的選擇，非常適合共享GPU平台等對穩定性有較高要求的場景。</w:t>
      </w:r>
    </w:p>
    <w:p w14:paraId="49D85A26" w14:textId="55B36995" w:rsidR="00542628" w:rsidRDefault="00621D2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 xml:space="preserve">本專題將此一風險敏感分布式 Soft Actor-Critic（以下簡稱 RDSAC）作為核心排程演算法。我們把GPU工作排程建模為馬可夫決策過程 (MDP)：狀態 </w:t>
      </w:r>
      <w:r>
        <w:rPr>
          <w:rFonts w:ascii="Times New Roman" w:hAnsi="Times New Roman" w:cs="Times New Roman"/>
          <w:i/>
          <w:iCs/>
        </w:rPr>
        <w:t xml:space="preserve">s </w:t>
      </w:r>
      <w:r>
        <w:rPr>
          <w:rFonts w:ascii="Times New Roman" w:hAnsi="Times New Roman" w:cs="Times New Roman"/>
        </w:rPr>
        <w:t xml:space="preserve">為佇列中前 16 個待排工作的特徵與叢集MPS使用狀況，動作 </w:t>
      </w:r>
      <w:r>
        <w:rPr>
          <w:rFonts w:ascii="Times New Roman" w:hAnsi="Times New Roman" w:cs="Times New Roman"/>
          <w:i/>
          <w:iCs/>
        </w:rPr>
        <w:t xml:space="preserve">a </w:t>
      </w:r>
      <w:r>
        <w:rPr>
          <w:rFonts w:ascii="Times New Roman" w:hAnsi="Times New Roman" w:cs="Times New Roman"/>
        </w:rPr>
        <w:t xml:space="preserve">為「選擇某個工作並指定其節點與GPU放置」或不放置 (no-op)，獎勵則以負的工作完成時間 </w:t>
        <w:lastRenderedPageBreak/>
        <w:t>(JCT) 為主。</w:t>
      </w:r>
    </w:p>
    <w:p w14:paraId="0C074AD6" w14:textId="31C4ADC6" w:rsidR="00542628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RDSAC的特點是不只估計回報的平均值，而是估計整個回報的機率分布。它在最大熵框架下，把 soft return 拆成兩個分布：獎勵回報分布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 xml:space="preserve">與熵回報分布 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>
        <w:rPr>
          <w:rFonts w:ascii="Times New Roman" w:hAnsi="Times New Roman" w:cs="Times New Roman"/>
        </w:rPr>
        <w:t>，兩者各以隱式分位數網路（IQN）表示，並以quantile Huber損失回歸。某個狀態-動作的綜合價值為兩者期望值之和：</w:t>
      </w:r>
    </w:p>
    <w:p w14:paraId="0ECE9DDB" w14:textId="77777777" w:rsidR="00542628" w:rsidRDefault="00000000" w:rsidP="00CB295B">
      <w:pPr>
        <w:spacing w:line="360" w:lineRule="auto"/>
        <w:jc w:val="center"/>
      </w:pPr>
      <m:oMathPara>
        <m:oMath>
          <m:r>
            <w:rPr>
              <w:rFonts w:ascii="Cambria Math" w:hAnsi="Cambria Math"/>
            </w:rPr>
            <m:t>Q(s,a)=E[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(s,a)]+α 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(s,a)]</m:t>
          </m:r>
        </m:oMath>
      </m:oMathPara>
    </w:p>
    <w:p w14:paraId="278A912F" w14:textId="0857DA6D" w:rsidR="00542628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其中</w:t>
      </w:r>
      <w:r>
        <w:rPr>
          <w:rFonts w:ascii="Times New Roman" w:hAnsi="Times New Roman" w:cs="Times New Roman"/>
          <w:i/>
          <w:iCs/>
        </w:rPr>
        <w:t>α</w:t>
      </w:r>
      <w:r>
        <w:rPr>
          <w:rFonts w:ascii="Times New Roman" w:hAnsi="Times New Roman" w:cs="Times New Roman"/>
        </w:rPr>
        <w:t>為自動調整的溫度參數，控制探索程度。為了讓策略對「壞情況」更敏感，RDSAC在策略目標中對獎勵分布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>套用風險扭曲函數</w:t>
      </w:r>
      <w:r>
        <w:rPr>
          <w:rFonts w:ascii="Times New Roman" w:hAnsi="Times New Roman" w:cs="Times New Roman"/>
          <w:i/>
          <w:iCs/>
        </w:rPr>
        <w:t>ρ</w:t>
      </w:r>
      <w:r>
        <w:rPr>
          <w:rFonts w:ascii="Times New Roman" w:hAnsi="Times New Roman" w:cs="Times New Roman"/>
        </w:rPr>
        <w:t>。本專題採用條件風險值（CVaR）：只取分布下尾</w:t>
      </w:r>
      <w:r>
        <w:rPr>
          <w:rFonts w:ascii="Times New Roman" w:hAnsi="Times New Roman" w:cs="Times New Roman"/>
          <w:i/>
          <w:iCs/>
        </w:rPr>
        <w:t>β</w:t>
      </w:r>
      <w:r>
        <w:rPr>
          <w:rFonts w:ascii="Times New Roman" w:hAnsi="Times New Roman" w:cs="Times New Roman"/>
        </w:rPr>
        <w:t>比例的平均，使策略偏好最差情況較不嚴重的放置決策：</w:t>
      </w:r>
    </w:p>
    <w:p w14:paraId="09F07B83" w14:textId="77777777" w:rsidR="00542628" w:rsidRDefault="00000000" w:rsidP="007A1848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β</m:t>
              </m:r>
            </m:sub>
          </m:sSub>
          <m:r>
            <w:rPr>
              <w:rFonts w:ascii="Cambria Math" w:hAnsi="Cambria Math"/>
            </w:rPr>
            <m:t>[Z]=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β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β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bSup>
              <m:r>
                <w:rPr>
                  <w:rFonts w:ascii="Cambria Math" w:hAnsi="Cambria Math"/>
                </w:rPr>
                <m:t>(τ) dτ</m:t>
              </m:r>
            </m:e>
          </m:nary>
        </m:oMath>
      </m:oMathPara>
    </w:p>
    <w:p w14:paraId="69BF1659" w14:textId="538A91D0" w:rsidR="00542628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其中</w:t>
      </w:r>
      <w:r>
        <w:rPr>
          <w:rFonts w:ascii="Times New Roman" w:hAnsi="Times New Roman" w:cs="Times New Roman"/>
          <w:i/>
          <w:iCs/>
        </w:rPr>
        <w:t>β</w:t>
      </w:r>
      <w:r>
        <w:rPr>
          <w:rFonts w:ascii="Times New Roman" w:hAnsi="Times New Roman" w:cs="Times New Roman"/>
        </w:rPr>
        <w:t>越小越保守；</w:t>
      </w:r>
      <m:oMath>
        <m:r>
          <w:rPr>
            <w:rFonts w:ascii="Cambria Math" w:hAnsi="Cambria Math" w:cs="Times New Roman"/>
          </w:rPr>
          <m:t xml:space="preserve">β=1 </m:t>
        </m:r>
      </m:oMath>
      <w:r>
        <w:rPr>
          <w:rFonts w:ascii="Times New Roman" w:hAnsi="Times New Roman" w:cs="Times New Roman"/>
        </w:rPr>
        <w:t>時CVaR退化為一般平均。由於排程動作是離散且帶遮罩（mask）的，本專題將原論文連續控制的高斯actor改寫為顯式的categorical actor。策略以最小化下式的目標更新，對每個合法動作同時權衡熵（鼓勵探索）與風險調整後的回報：</w:t>
      </w:r>
    </w:p>
    <w:p w14:paraId="62C9324A" w14:textId="77777777" w:rsidR="00542628" w:rsidRDefault="00000000" w:rsidP="007A1848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π</m:t>
              </m:r>
            </m:sub>
          </m:sSub>
          <m:r>
            <w:rPr>
              <w:rFonts w:ascii="Cambria Math" w:hAnsi="Cambria Math"/>
            </w:rPr>
            <m:t>(s)=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a</m:t>
              </m:r>
            </m:sub>
            <m:sup/>
            <m:e>
              <m:r>
                <w:rPr>
                  <w:rFonts w:ascii="Cambria Math" w:hAnsi="Cambria Math"/>
                </w:rPr>
                <m:t>π(a|s)[α ln π(a|s)-ρ(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w:rPr>
                  <w:rFonts w:ascii="Cambria Math" w:hAnsi="Cambria Math"/>
                </w:rPr>
                <m:t>(s,a))-α E[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  <m:r>
                <w:rPr>
                  <w:rFonts w:ascii="Cambria Math" w:hAnsi="Cambria Math"/>
                </w:rPr>
                <m:t>(s,a)]]</m:t>
              </m:r>
            </m:e>
          </m:nary>
        </m:oMath>
      </m:oMathPara>
    </w:p>
    <w:p w14:paraId="5B9B388B" w14:textId="367F16B6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直覺上，當風險模式設為 mean</w:t>
      </w:r>
      <w:r>
        <w:rPr>
          <w:rFonts w:ascii="Cambria Math" w:hAnsi="Cambria Math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 xml:space="preserve">(β=1) </m:t>
        </m:r>
      </m:oMath>
      <w:r>
        <w:rPr>
          <w:rFonts w:ascii="Times New Roman" w:hAnsi="Times New Roman" w:cs="Times New Roman"/>
        </w:rPr>
        <w:t>時等同風險中立、只看平均；設為cvar 時則會主動避開可能造成長尾延遲（如straggler、冷啟動worker、執行時間離群）的放置決策，特別適合對穩定性要求高的共享GPU平台。</w:t>
      </w:r>
    </w:p>
    <w:p w14:paraId="6CD50968" w14:textId="77777777" w:rsidR="001B10ED" w:rsidRDefault="00000000">
      <w:r>
        <w:br w:type="page"/>
      </w:r>
    </w:p>
    <w:p w14:paraId="43D6BD9D" w14:textId="77777777" w:rsidR="001B10ED" w:rsidRDefault="00000000" w:rsidP="00D61723">
      <w:pPr>
        <w:pStyle w:val="1"/>
        <w:spacing w:after="160"/>
        <w:jc w:val="center"/>
      </w:pPr>
      <w:bookmarkStart w:id="11" w:name="_Toc231559543"/>
      <w:r>
        <w:lastRenderedPageBreak/>
        <w:t>第四章　研究方法</w:t>
      </w:r>
      <w:bookmarkEnd w:id="11"/>
    </w:p>
    <w:p w14:paraId="2034F9FE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2" w:name="_Toc231559544"/>
      <w:r>
        <w:rPr>
          <w:rFonts w:ascii="Times New Roman" w:hAnsi="Times New Roman" w:cs="Times New Roman"/>
        </w:rPr>
        <w:t>4.1　系統整體架構</w:t>
      </w:r>
      <w:bookmarkEnd w:id="12"/>
    </w:p>
    <w:p w14:paraId="2B674377" w14:textId="77777777" w:rsidR="001B10ED" w:rsidRDefault="00000000" w:rsidP="006067F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本系統的核心概念是把「批次工作排程」與「彈性資源管理」結合起來。使用者仍然以熟悉的方式提交工作，而系統在背後自動處理工作排序、節點啟動、GPU分配與執行監控。整體系統包含下列幾個部分：</w:t>
      </w:r>
    </w:p>
    <w:p w14:paraId="3393FCEE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工作提交入口：提供使用者提交與查詢工作的介面。</w:t>
      </w:r>
    </w:p>
    <w:p w14:paraId="4F5B01FD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中央排程控制：負責接收工作、維護佇列、決定優先順序。</w:t>
      </w:r>
    </w:p>
    <w:p w14:paraId="71682458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CPU與GPU計算節點：實際執行工作的運算資源。</w:t>
      </w:r>
    </w:p>
    <w:p w14:paraId="43473137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1D37DE87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0360A8D4" w14:textId="77777777" w:rsidR="001B10ED" w:rsidRP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監控與追蹤模組：記錄系統狀態、工作過程與資源使用情況。</w:t>
      </w:r>
    </w:p>
    <w:p w14:paraId="2E3980F1" w14:textId="77777777" w:rsidR="001B10ED" w:rsidRPr="00CA5D7E" w:rsidRDefault="001B10ED"/>
    <w:p w14:paraId="6F1472AB" w14:textId="77777777" w:rsidR="00BD12C4" w:rsidRDefault="000E30CC">
      <w:r>
        <w:rPr>
          <w:noProof/>
        </w:rPr>
        <w:drawing>
          <wp:inline distT="0" distB="0" distL="0" distR="0" wp14:anchorId="625A6853" wp14:editId="5C737B87">
            <wp:extent cx="5274310" cy="2731770"/>
            <wp:effectExtent l="19050" t="19050" r="21590" b="1143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E7FF125" w14:textId="77777777" w:rsidR="001B10ED" w:rsidRDefault="00000000" w:rsidP="00EE742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【圖1】系統整體架構圖</w:t>
      </w:r>
    </w:p>
    <w:p w14:paraId="0D530F5B" w14:textId="77777777" w:rsidR="006517AC" w:rsidRPr="00EE742D" w:rsidRDefault="006517AC" w:rsidP="006517AC">
      <w:pPr>
        <w:rPr>
          <w:rFonts w:ascii="Times New Roman" w:hAnsi="Times New Roman" w:cs="Times New Roman"/>
        </w:rPr>
      </w:pPr>
    </w:p>
    <w:p w14:paraId="4680D3B9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3" w:name="_Toc231559545"/>
      <w:r>
        <w:rPr>
          <w:rFonts w:ascii="Times New Roman" w:hAnsi="Times New Roman" w:cs="Times New Roman"/>
        </w:rPr>
        <w:t>4.2　排程與資源分配流程</w:t>
      </w:r>
      <w:bookmarkEnd w:id="13"/>
    </w:p>
    <w:p w14:paraId="57474CDA" w14:textId="77777777" w:rsidR="001B10ED" w:rsidRDefault="00000000">
      <w:r>
        <w:t>目前系統的決策流程分成三層：</w:t>
      </w:r>
    </w:p>
    <w:p w14:paraId="655C2F92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4" w:name="_Toc231559546"/>
      <w:r>
        <w:rPr>
          <w:rFonts w:ascii="Times New Roman" w:hAnsi="Times New Roman" w:cs="Times New Roman"/>
        </w:rPr>
        <w:t>4.2.1　基本排程規則</w:t>
      </w:r>
      <w:bookmarkEnd w:id="14"/>
    </w:p>
    <w:p w14:paraId="1C99CEDB" w14:textId="77777777" w:rsidR="001B10ED" w:rsidRPr="005F6466" w:rsidRDefault="00000000" w:rsidP="005F6466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當使用者提交工作後，系統先補齊必要資訊，並根據幾個簡單穩定的規則計算工作的優先程度。這些規則主要考慮：工作是否適合目前剩餘的GPU資源、是否造成資源碎片化、以及較短的工作是否應優先執行。此層作為系統的保底機制，即使智慧模型失效，系統仍可正常運作。</w:t>
      </w:r>
    </w:p>
    <w:p w14:paraId="53A160BA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5" w:name="_Toc231559547"/>
      <w:r>
        <w:rPr>
          <w:rFonts w:ascii="Times New Roman" w:hAnsi="Times New Roman" w:cs="Times New Roman"/>
        </w:rPr>
        <w:lastRenderedPageBreak/>
        <w:t>4.2.2　智慧決策模型</w:t>
      </w:r>
      <w:bookmarkEnd w:id="15"/>
    </w:p>
    <w:p w14:paraId="7108B01C" w14:textId="77777777" w:rsidR="001B10ED" w:rsidRPr="00681BCD" w:rsidRDefault="00000000" w:rsidP="004D02C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基本規則之外，加入深度強化學習模型，讓系統可根據「目前有哪些工作在等待」、「哪些節點正在執行」、「GPU尚有多少可分配空間」等資訊，進一步判斷哪一個工作應優先處理、是否需要額外提高優先順序，以及工作比較適合放到哪一個節點上。若模型對自己的判斷沒有把握，系統就回到基本排程規則。</w:t>
      </w:r>
    </w:p>
    <w:p w14:paraId="75591BA1" w14:textId="77777777" w:rsidR="001B10ED" w:rsidRDefault="001B10ED"/>
    <w:p w14:paraId="7685DA42" w14:textId="77777777" w:rsidR="0072649D" w:rsidRDefault="0072649D"/>
    <w:p w14:paraId="0813100A" w14:textId="77777777" w:rsidR="001B10ED" w:rsidRDefault="00000000" w:rsidP="0072649D">
      <w:pPr>
        <w:jc w:val="center"/>
      </w:pPr>
      <w:r>
        <w:t>【圖</w:t>
      </w:r>
      <w:r>
        <w:rPr>
          <w:rFonts w:ascii="Times New Roman" w:hAnsi="Times New Roman" w:cs="Times New Roman"/>
        </w:rPr>
        <w:t>2</w:t>
      </w:r>
      <w:r>
        <w:t>】工作提交後的決策流程圖（Placeholder）</w:t>
      </w:r>
    </w:p>
    <w:p w14:paraId="5E5AFF10" w14:textId="77777777" w:rsidR="00290E7E" w:rsidRPr="0072649D" w:rsidRDefault="00290E7E" w:rsidP="00290E7E"/>
    <w:p w14:paraId="63F7E1D3" w14:textId="77777777" w:rsidR="001B10ED" w:rsidRDefault="00000000">
      <w:pPr>
        <w:pStyle w:val="3"/>
        <w:spacing w:after="160"/>
      </w:pPr>
      <w:bookmarkStart w:id="16" w:name="_Toc231559548"/>
      <w:r>
        <w:rPr>
          <w:rFonts w:ascii="Times New Roman" w:hAnsi="Times New Roman" w:cs="Times New Roman"/>
        </w:rPr>
        <w:t>4.2.3　</w:t>
      </w:r>
      <w:r>
        <w:t>指定資源配置機制</w:t>
      </w:r>
      <w:bookmarkEnd w:id="16"/>
    </w:p>
    <w:p w14:paraId="379F53C3" w14:textId="77777777" w:rsidR="001B10ED" w:rsidRDefault="00000000" w:rsidP="001E6E43">
      <w:pPr>
        <w:spacing w:line="276" w:lineRule="auto"/>
        <w:jc w:val="both"/>
      </w:pPr>
      <w:r>
        <w:t>除了影響工作的先後順序外，系統也能先暫時保留工作，再根據模型決定其應放到哪一台節點上。這樣的做法讓模型的判斷不只停留在「哪個工作先跑」，而是更進一步參與「工作要放在哪裡跑」的決策。</w:t>
      </w:r>
    </w:p>
    <w:p w14:paraId="765D4032" w14:textId="77777777" w:rsidR="001B10ED" w:rsidRPr="00605095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7" w:name="_Toc231559549"/>
      <w:r>
        <w:rPr>
          <w:rFonts w:ascii="Times New Roman" w:hAnsi="Times New Roman" w:cs="Times New Roman"/>
        </w:rPr>
        <w:t>4.3　GPU資源共享方法</w:t>
      </w:r>
      <w:bookmarkEnd w:id="17"/>
    </w:p>
    <w:p w14:paraId="7274AEA1" w14:textId="77777777" w:rsidR="001B10ED" w:rsidRDefault="00000000" w:rsidP="00E846F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為提升利用率，本系統採用GPU資源切分的方式，讓多個較小的工作共享同一張GPU。以目前的系統設定為例，一張GPU可切成多個可分配單位，使用者可依需求申請1/4、1/2或整張卡。</w:t>
      </w:r>
    </w:p>
    <w:p w14:paraId="015C490F" w14:textId="77777777" w:rsidR="006F52B2" w:rsidRPr="001E6E43" w:rsidRDefault="006F52B2" w:rsidP="00E846F0">
      <w:pPr>
        <w:spacing w:line="276" w:lineRule="auto"/>
        <w:jc w:val="both"/>
        <w:rPr>
          <w:rFonts w:ascii="Times New Roman" w:hAnsi="Times New Roman" w:cs="Times New Roman"/>
        </w:rPr>
      </w:pPr>
    </w:p>
    <w:p w14:paraId="4C6B6D96" w14:textId="77777777" w:rsidR="001B10ED" w:rsidRDefault="006F52B2" w:rsidP="006F52B2">
      <w:pPr>
        <w:jc w:val="center"/>
      </w:pPr>
      <w:r>
        <w:rPr>
          <w:noProof/>
        </w:rPr>
        <w:drawing>
          <wp:inline distT="0" distB="0" distL="0" distR="0" wp14:anchorId="7301FAD8" wp14:editId="0CB70D9C">
            <wp:extent cx="5190224" cy="2273300"/>
            <wp:effectExtent l="0" t="0" r="0" b="0"/>
            <wp:docPr id="1094439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39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867" cy="228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7E29E" w14:textId="77777777" w:rsidR="001B10ED" w:rsidRDefault="00000000" w:rsidP="008A5516">
      <w:pPr>
        <w:jc w:val="center"/>
      </w:pPr>
      <w:r>
        <w:t>【圖</w:t>
      </w:r>
      <w:r>
        <w:rPr>
          <w:rFonts w:ascii="Times New Roman" w:hAnsi="Times New Roman" w:cs="Times New Roman"/>
        </w:rPr>
        <w:t>3】GPU</w:t>
      </w:r>
      <w:r>
        <w:t>資源切分示意圖</w:t>
      </w:r>
    </w:p>
    <w:p w14:paraId="569DA582" w14:textId="77777777" w:rsidR="00290E7E" w:rsidRPr="008A5516" w:rsidRDefault="00290E7E" w:rsidP="00290E7E"/>
    <w:p w14:paraId="78E34B75" w14:textId="77777777" w:rsidR="001B10ED" w:rsidRPr="00282A3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8" w:name="_Toc231559550"/>
      <w:r>
        <w:rPr>
          <w:rFonts w:ascii="Times New Roman" w:hAnsi="Times New Roman" w:cs="Times New Roman"/>
        </w:rPr>
        <w:t>4.4　模型訓練與評估方法</w:t>
      </w:r>
      <w:bookmarkEnd w:id="18"/>
    </w:p>
    <w:p w14:paraId="42D2C289" w14:textId="77777777" w:rsidR="001B10ED" w:rsidRPr="00290E7E" w:rsidRDefault="007921E2" w:rsidP="00290E7E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在專題中</w:t>
      </w:r>
      <w:r>
        <w:rPr>
          <w:rFonts w:ascii="Times New Roman" w:hAnsi="Times New Roman" w:cs="Times New Roman"/>
        </w:rPr>
        <w:t>採用 Distributional Soft Actor-Critic (DSAC) 作為智慧排程的強化學習方法。與傳統只預測平均回報的方法不同，DSAC讓模型學習每個決策可能造成</w:t>
        <w:lastRenderedPageBreak/>
        <w:t>的結果分布，並加入下尾風險指標輔助選擇，以避免選到「平均看起來不錯，但壞情況很差」的安排方式。</w:t>
      </w:r>
    </w:p>
    <w:p w14:paraId="2A7DE580" w14:textId="77777777" w:rsidR="001B10ED" w:rsidRPr="00290E7E" w:rsidRDefault="001B10ED" w:rsidP="00290E7E">
      <w:pPr>
        <w:spacing w:line="276" w:lineRule="auto"/>
        <w:rPr>
          <w:rFonts w:ascii="Times New Roman" w:hAnsi="Times New Roman" w:cs="Times New Roman"/>
        </w:rPr>
      </w:pPr>
    </w:p>
    <w:p w14:paraId="3ADA3046" w14:textId="77777777" w:rsidR="001B10ED" w:rsidRDefault="00000000" w:rsidP="00290E7E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整體訓練與評估流程如下：</w:t>
      </w:r>
    </w:p>
    <w:p w14:paraId="5F7ABFED" w14:textId="77777777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先在模擬環境中建立不同的工作到達情境。</w:t>
      </w:r>
    </w:p>
    <w:p w14:paraId="0321C06B" w14:textId="77777777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讓模型在模擬環境中學習資源分配策略。</w:t>
      </w:r>
    </w:p>
    <w:p w14:paraId="40DF69C4" w14:textId="77777777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將訓練好的模型放到真實系統中測試。</w:t>
      </w:r>
    </w:p>
    <w:p w14:paraId="55E95414" w14:textId="77777777" w:rsidR="00F63771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收集真實系統中的執行紀錄，回頭改善模型。</w:t>
      </w:r>
    </w:p>
    <w:p w14:paraId="734B65DE" w14:textId="77777777" w:rsidR="001B10ED" w:rsidRPr="00F63771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比較基本排程規則、平均值導向模型，以及風險敏感模型在不同情境下的表現。</w:t>
      </w:r>
    </w:p>
    <w:p w14:paraId="2E8FF75A" w14:textId="77777777" w:rsidR="00542628" w:rsidRDefault="00000000">
      <w:pPr>
        <w:spacing w:before="12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訓練設定</w:t>
      </w:r>
    </w:p>
    <w:p w14:paraId="6410FB5B" w14:textId="77777777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在模擬層，環境為單節點單 GPU（1×1）的離散事件模擬器，狀態為 192 維、動作空間為 17（16 個工作槽的放置加上 no-op）。模型從零開始訓練 150,000 步，並採用課程學習（curriculum）讓每回合的工作數由 10、30 逐步增加到 50，使策略先學會簡單情境再面對壅塞。訓練過程結合優先經驗回放（PER）、n-step 回報與啟發式暖身（score warmup），以加速早期收斂。</w:t>
      </w:r>
    </w:p>
    <w:p w14:paraId="7A87ACB8" w14:textId="77777777" w:rsidR="00542628" w:rsidRDefault="00000000">
      <w:pPr>
        <w:spacing w:before="12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獎勵尺度與溫度參數修正</w:t>
      </w:r>
    </w:p>
    <w:p w14:paraId="41FA06CE" w14:textId="77777777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獎勵以負的 JCT 為主，並除以一個尺度常數使回報落在合適範圍。評估初期我們發現溫度參數 α 會被自動調整一路推到上限，導致策略過早變得幾乎確定性、失去探索能力。追查後確認原因是回報尺度過大（每回合約數百），遠超過熵正則項的量級（約為個位數），使策略目標被回報項主導、策略熵塌縮到接近零。將獎勵尺度常數由 1000 調整為 20000（使每回合回報降到約 −10 的量級）後，α 恢復正常自動調節，策略熵也回到合理水準。此修正是後續評估能公平比較 mean 與 cvar 兩種風險模式的前提。</w:t>
      </w:r>
    </w:p>
    <w:p w14:paraId="2FE3DF55" w14:textId="77777777" w:rsidR="00542628" w:rsidRDefault="00000000">
      <w:pPr>
        <w:spacing w:before="12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評估方法</w:t>
      </w:r>
    </w:p>
    <w:p w14:paraId="53FB9931" w14:textId="77777777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評估採用配對比較（paired comparison）：對同一組亂數種子，分別用 RDSAC 與啟發式 score 排程器跑相同工作負載，再計算兩者的工作完成時間（JCT）差異，以降低不同 trace 隨機性造成的雜訊。我們在三個工作負載家族（philly、burst、ali）、各 30 個亂數種子下進行（早期版本僅 5 個種子，信賴區間過寬，本次擴增至 30 個以收斂統計），主要指標為平均 JCT，並額外回報 p95 與 p99 JCT 作為尾部延遲指標，搭配配對信賴區間與 p 值判斷差異是否達統計顯著。除了 RDSAC 與 score 的對照外，本次另加入第三個模型 vanilla 離散 SAC 做三方比較（詳見 5.2.2 節）。</w:t>
      </w:r>
    </w:p>
    <w:p w14:paraId="7630DA6B" w14:textId="77777777" w:rsidR="001B10ED" w:rsidRDefault="00000000">
      <w:r>
        <w:br w:type="page"/>
      </w:r>
    </w:p>
    <w:p w14:paraId="4B38311C" w14:textId="77777777" w:rsidR="001B10ED" w:rsidRDefault="00000000" w:rsidP="00AF67C1">
      <w:pPr>
        <w:pStyle w:val="1"/>
        <w:spacing w:after="160"/>
        <w:jc w:val="center"/>
      </w:pPr>
      <w:bookmarkStart w:id="19" w:name="_Toc231559551"/>
      <w:r>
        <w:lastRenderedPageBreak/>
        <w:t>第五章　結果與討論</w:t>
      </w:r>
      <w:bookmarkEnd w:id="19"/>
    </w:p>
    <w:p w14:paraId="45C0CAED" w14:textId="77777777" w:rsidR="001B10ED" w:rsidRPr="00A16A5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0" w:name="_Toc231559552"/>
      <w:r>
        <w:rPr>
          <w:rFonts w:ascii="Times New Roman" w:hAnsi="Times New Roman" w:cs="Times New Roman"/>
        </w:rPr>
        <w:t>5.1　目前完成項目</w:t>
      </w:r>
      <w:bookmarkEnd w:id="20"/>
    </w:p>
    <w:p w14:paraId="1035B214" w14:textId="77777777" w:rsidR="001B10ED" w:rsidRDefault="00000000">
      <w:r>
        <w:t>目前系統已完成主要功能建置，並通過實機驗證。主要成果如下：</w:t>
      </w:r>
    </w:p>
    <w:p w14:paraId="76FD63C8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1" w:name="_Toc231559553"/>
      <w:r>
        <w:rPr>
          <w:rFonts w:ascii="Times New Roman" w:hAnsi="Times New Roman" w:cs="Times New Roman"/>
        </w:rPr>
        <w:t>5.1.1　平台建置與操作流程</w:t>
      </w:r>
      <w:bookmarkEnd w:id="21"/>
    </w:p>
    <w:p w14:paraId="71E9EA89" w14:textId="77777777" w:rsidR="001B10ED" w:rsidRPr="008562D8" w:rsidRDefault="00000000" w:rsidP="008562D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目前系統已完成主要平台建置，並整理出清楚的部署與驗證流程。使用者可透過登入節點提交工作，系統則自動在背後完成節點啟動、工作排程、GPU分配與結果輸出。</w:t>
      </w:r>
    </w:p>
    <w:p w14:paraId="35D785C7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2" w:name="_Toc231559554"/>
      <w:r>
        <w:rPr>
          <w:rFonts w:ascii="Times New Roman" w:hAnsi="Times New Roman" w:cs="Times New Roman"/>
        </w:rPr>
        <w:t>5.1.2　智慧排程已可在真實系統中運作</w:t>
      </w:r>
      <w:bookmarkEnd w:id="22"/>
    </w:p>
    <w:p w14:paraId="2833EE73" w14:textId="77777777" w:rsidR="001B10ED" w:rsidRPr="009D1055" w:rsidRDefault="00000000" w:rsidP="009D1055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強化學習模型已能實際參與真實系統中的工作排序。當使用者提交工作後，模型會根據當下的系統狀態給出建議，並影響工作的優先順序。這代表本計畫已從「理論設計」進入「真實系統驗證」階段。</w:t>
      </w:r>
    </w:p>
    <w:p w14:paraId="6B4F6C5E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3" w:name="_Toc231559555"/>
      <w:r>
        <w:rPr>
          <w:rFonts w:ascii="Times New Roman" w:hAnsi="Times New Roman" w:cs="Times New Roman"/>
        </w:rPr>
        <w:t>5.1.3　模型已可初步參與資源放置</w:t>
      </w:r>
      <w:bookmarkEnd w:id="23"/>
    </w:p>
    <w:p w14:paraId="60FD53FF" w14:textId="77777777" w:rsidR="001B10ED" w:rsidRDefault="00000000" w:rsidP="009D1055">
      <w:pPr>
        <w:spacing w:line="276" w:lineRule="auto"/>
        <w:jc w:val="both"/>
      </w:pPr>
      <w:r>
        <w:t>除了決定哪個工作先執行之外，目前系統也能在受控情況下，讓模型參與工作應放到哪個節點執行的決策，逐步朝向完整的資源分配系統發展。</w:t>
      </w:r>
    </w:p>
    <w:p w14:paraId="718C5598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4" w:name="_Toc231559556"/>
      <w:r>
        <w:rPr>
          <w:rFonts w:ascii="Times New Roman" w:hAnsi="Times New Roman" w:cs="Times New Roman"/>
        </w:rPr>
        <w:t>5.1.4　監控與展示介面</w:t>
      </w:r>
      <w:bookmarkEnd w:id="24"/>
    </w:p>
    <w:p w14:paraId="2FBCA101" w14:textId="77777777" w:rsidR="001B10ED" w:rsidRDefault="00000000" w:rsidP="00FB2617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目前系統已可清楚呈現：等待中的工作數量、各計算節點是否已啟動、GPU的實際使用率、GPU切分資源的使用情形，以及智慧模型最近是否有做出決策。</w:t>
      </w:r>
    </w:p>
    <w:p w14:paraId="727975B5" w14:textId="77777777" w:rsidR="00FB2617" w:rsidRPr="00FB2617" w:rsidRDefault="00FB2617" w:rsidP="00FB2617">
      <w:pPr>
        <w:spacing w:line="276" w:lineRule="auto"/>
        <w:jc w:val="both"/>
        <w:rPr>
          <w:rFonts w:ascii="Times New Roman" w:hAnsi="Times New Roman" w:cs="Times New Roman"/>
        </w:rPr>
      </w:pPr>
    </w:p>
    <w:p w14:paraId="38A5927F" w14:textId="77777777" w:rsidR="00FB2617" w:rsidRPr="00FB2617" w:rsidRDefault="00FB2617" w:rsidP="00FB2617">
      <w:pPr>
        <w:jc w:val="center"/>
      </w:pPr>
      <w:r>
        <w:rPr>
          <w:noProof/>
        </w:rPr>
        <w:drawing>
          <wp:inline distT="0" distB="0" distL="0" distR="0" wp14:anchorId="3B05B89C" wp14:editId="56B8A180">
            <wp:extent cx="4461444" cy="2883877"/>
            <wp:effectExtent l="0" t="0" r="0" b="0"/>
            <wp:docPr id="29952668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019" cy="2912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1E1C9" w14:textId="77777777" w:rsidR="001B10ED" w:rsidRPr="009D1055" w:rsidRDefault="00000000" w:rsidP="009D105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 4】系統監控畫面截圖（Placeholder）</w:t>
      </w:r>
    </w:p>
    <w:p w14:paraId="546FB914" w14:textId="77777777" w:rsidR="009D1055" w:rsidRDefault="009D1055"/>
    <w:p w14:paraId="5D1C2508" w14:textId="77777777" w:rsidR="001B10ED" w:rsidRPr="00745F71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5" w:name="_Toc231559557"/>
      <w:r>
        <w:rPr>
          <w:rFonts w:ascii="Times New Roman" w:hAnsi="Times New Roman" w:cs="Times New Roman"/>
        </w:rPr>
        <w:t>5.2　實驗結果</w:t>
      </w:r>
      <w:bookmarkEnd w:id="25"/>
    </w:p>
    <w:p w14:paraId="1BC58BE9" w14:textId="77777777" w:rsidR="001B10ED" w:rsidRDefault="00000000" w:rsidP="0065209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在目前的實機環境中，已完成一組 GPU 工作測試，結果顯示：</w:t>
      </w:r>
    </w:p>
    <w:p w14:paraId="0495219F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多個小型工作可以共享同一張 GPU。</w:t>
      </w:r>
    </w:p>
    <w:p w14:paraId="6837782C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需要較多資源的工作可以獨占整張 GPU。</w:t>
      </w:r>
    </w:p>
    <w:p w14:paraId="330A1EA8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系統能根據當下資源狀況，將後續工作安排到其他可用節點。</w:t>
      </w:r>
    </w:p>
    <w:p w14:paraId="2646D160" w14:textId="77777777" w:rsidR="001B10ED" w:rsidRP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工作從提交到完成的流程已能在真實系統中順利走完。</w:t>
      </w:r>
    </w:p>
    <w:p w14:paraId="05DB0826" w14:textId="77777777" w:rsidR="001B10ED" w:rsidRPr="00652094" w:rsidRDefault="001B10ED" w:rsidP="00652094">
      <w:pPr>
        <w:spacing w:line="276" w:lineRule="auto"/>
        <w:jc w:val="both"/>
      </w:pPr>
    </w:p>
    <w:p w14:paraId="3ED45D17" w14:textId="77777777" w:rsidR="001B10ED" w:rsidRPr="00652094" w:rsidRDefault="00000000" w:rsidP="0008435A">
      <w:pPr>
        <w:spacing w:line="276" w:lineRule="auto"/>
        <w:jc w:val="center"/>
      </w:pPr>
      <w:r>
        <w:t>【圖</w:t>
      </w:r>
      <w:r>
        <w:rPr>
          <w:rFonts w:ascii="Times New Roman" w:hAnsi="Times New Roman" w:cs="Times New Roman"/>
        </w:rPr>
        <w:t>5</w:t>
      </w:r>
      <w:r>
        <w:t>】真實系統工作執行結果截圖（Placeholder）</w:t>
      </w:r>
    </w:p>
    <w:p w14:paraId="7404198A" w14:textId="77777777" w:rsidR="001B10ED" w:rsidRDefault="001B10ED"/>
    <w:p w14:paraId="5C54A955" w14:textId="77777777" w:rsidR="00652094" w:rsidRDefault="00652094"/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4"/>
        <w:gridCol w:w="3544"/>
        <w:gridCol w:w="1928"/>
      </w:tblGrid>
      <w:tr w:rsidR="001B10ED" w14:paraId="45DB74DE" w14:textId="77777777" w:rsidTr="00A36A87">
        <w:trPr>
          <w:tblHeader/>
        </w:trPr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118CA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工作項目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0E156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預期目標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185EB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目前狀態</w:t>
            </w:r>
          </w:p>
        </w:tc>
      </w:tr>
      <w:tr w:rsidR="001B10ED" w14:paraId="5124B1AA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F4317" w14:textId="77777777" w:rsidR="001B10ED" w:rsidRDefault="00000000">
            <w:r>
              <w:t>共享運算平台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D860C" w14:textId="77777777" w:rsidR="001B10ED" w:rsidRDefault="00000000">
            <w:r>
              <w:t>使用者可提交並管理批次工作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C5925" w14:textId="77777777" w:rsidR="001B10ED" w:rsidRDefault="00000000">
            <w:r>
              <w:t>已完成</w:t>
            </w:r>
          </w:p>
        </w:tc>
      </w:tr>
      <w:tr w:rsidR="001B10ED" w14:paraId="59029C0C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09CB4" w14:textId="77777777" w:rsidR="001B10ED" w:rsidRDefault="00000000">
            <w:r>
              <w:rPr>
                <w:rFonts w:ascii="Times New Roman" w:hAnsi="Times New Roman" w:cs="Times New Roman"/>
              </w:rPr>
              <w:t>CPU/GPU</w:t>
            </w:r>
            <w:r>
              <w:t>資源自動調整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865FC" w14:textId="77777777" w:rsidR="001B10ED" w:rsidRDefault="00000000">
            <w:r>
              <w:t>依工作量自動擴縮節點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D17B1" w14:textId="77777777" w:rsidR="001B10ED" w:rsidRDefault="00000000">
            <w:r>
              <w:t>已完成</w:t>
            </w:r>
          </w:p>
        </w:tc>
      </w:tr>
      <w:tr w:rsidR="001B10ED" w14:paraId="775DAD78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9526A" w14:textId="77777777" w:rsidR="001B10ED" w:rsidRDefault="00000000">
            <w:r>
              <w:t>共享儲存空間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B83CC" w14:textId="77777777" w:rsidR="001B10ED" w:rsidRDefault="00000000">
            <w:r>
              <w:t>多個節點可共同存取資料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C1A66" w14:textId="77777777" w:rsidR="001B10ED" w:rsidRDefault="00000000">
            <w:r>
              <w:t>已完成</w:t>
            </w:r>
          </w:p>
        </w:tc>
      </w:tr>
      <w:tr w:rsidR="001B10ED" w14:paraId="3169ABEE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4BC85" w14:textId="77777777" w:rsidR="001B10ED" w:rsidRDefault="00000000">
            <w:r>
              <w:rPr>
                <w:rFonts w:ascii="Times New Roman" w:hAnsi="Times New Roman" w:cs="Times New Roman"/>
              </w:rPr>
              <w:t>GPU</w:t>
            </w:r>
            <w:r>
              <w:t>資源切分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111C1" w14:textId="77777777" w:rsidR="001B10ED" w:rsidRDefault="00000000">
            <w:r>
              <w:t xml:space="preserve">多工作共享同一張 </w:t>
            </w:r>
            <w:r>
              <w:rPr>
                <w:rFonts w:ascii="Times New Roman" w:hAnsi="Times New Roman" w:cs="Times New Roman"/>
              </w:rPr>
              <w:t>GPU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31857" w14:textId="77777777" w:rsidR="001B10ED" w:rsidRDefault="00000000">
            <w:r>
              <w:t>已完成</w:t>
            </w:r>
          </w:p>
        </w:tc>
      </w:tr>
      <w:tr w:rsidR="001B10ED" w14:paraId="7E9029F2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599A2" w14:textId="77777777" w:rsidR="001B10ED" w:rsidRDefault="00000000">
            <w:r>
              <w:t>系統監控與視覺化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3C355" w14:textId="53BEB971" w:rsidR="001B10ED" w:rsidRDefault="00000000">
            <w:r>
              <w:t>可觀察佇列、節點狀態與</w:t>
            </w:r>
            <w:r>
              <w:rPr>
                <w:rFonts w:ascii="Times New Roman" w:hAnsi="Times New Roman" w:cs="Times New Roman"/>
              </w:rPr>
              <w:t xml:space="preserve">GPU </w:t>
            </w:r>
            <w:r>
              <w:t>使用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94170" w14:textId="77777777" w:rsidR="001B10ED" w:rsidRDefault="00000000">
            <w:r>
              <w:t>已完成</w:t>
            </w:r>
          </w:p>
        </w:tc>
      </w:tr>
      <w:tr w:rsidR="001B10ED" w14:paraId="41A4E64B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614F5" w14:textId="77777777" w:rsidR="001B10ED" w:rsidRDefault="00000000">
            <w:r>
              <w:t>基本排程策略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EF883" w14:textId="77777777" w:rsidR="001B10ED" w:rsidRDefault="00000000">
            <w:r>
              <w:t>建立穩定的基準排程方式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076A7" w14:textId="77777777" w:rsidR="001B10ED" w:rsidRDefault="00000000">
            <w:r>
              <w:t>已完成</w:t>
            </w:r>
          </w:p>
        </w:tc>
      </w:tr>
      <w:tr w:rsidR="001B10ED" w14:paraId="07F73DEB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AE60" w14:textId="77777777" w:rsidR="001B10ED" w:rsidRDefault="00000000">
            <w:r>
              <w:t>強化學習排序功能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57EA0" w14:textId="77777777" w:rsidR="001B10ED" w:rsidRDefault="00000000">
            <w:r>
              <w:t>模型可參與工作優先順序決策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7B3BE" w14:textId="77777777" w:rsidR="001B10ED" w:rsidRDefault="00000000">
            <w:r>
              <w:t>已完成</w:t>
            </w:r>
          </w:p>
        </w:tc>
      </w:tr>
      <w:tr w:rsidR="001B10ED" w14:paraId="6032CA7D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F1532" w14:textId="77777777" w:rsidR="001B10ED" w:rsidRDefault="00000000">
            <w:r>
              <w:t>分布式強化學習模型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CFB2D" w14:textId="2CF4DF20" w:rsidR="001B10ED" w:rsidRDefault="00000000">
            <w:r>
              <w:t>估計結果分布，而非只看平均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CC949" w14:textId="77777777" w:rsidR="001B10ED" w:rsidRDefault="00000000">
            <w:r>
              <w:t>已完成實作</w:t>
            </w:r>
          </w:p>
        </w:tc>
      </w:tr>
      <w:tr w:rsidR="001B10ED" w14:paraId="25E6EDD3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EF681" w14:textId="77777777" w:rsidR="001B10ED" w:rsidRDefault="00000000">
            <w:r>
              <w:t>風險敏感決策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36537" w14:textId="77777777" w:rsidR="001B10ED" w:rsidRDefault="00000000">
            <w:r>
              <w:t>偏向穩定的資源配置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ECB38" w14:textId="1954A1A4" w:rsidR="001B10ED" w:rsidRDefault="00000000">
            <w:r>
              <w:t>已完成初版</w:t>
            </w:r>
          </w:p>
        </w:tc>
      </w:tr>
      <w:tr w:rsidR="001B10ED" w14:paraId="585A746C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E8042" w14:textId="77777777" w:rsidR="001B10ED" w:rsidRDefault="00000000">
            <w:r>
              <w:t>強化學習配置功能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B3E31" w14:textId="77777777" w:rsidR="001B10ED" w:rsidRDefault="00000000">
            <w:r>
              <w:t>模型可初步參與硬體放置決策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DABF3" w14:textId="7EF16D8E" w:rsidR="001B10ED" w:rsidRDefault="00000000">
            <w:r>
              <w:t>已完成初版</w:t>
            </w:r>
          </w:p>
        </w:tc>
      </w:tr>
      <w:tr w:rsidR="001B10ED" w14:paraId="5DE2A280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149B3" w14:textId="77777777" w:rsidR="001B10ED" w:rsidRDefault="00000000">
            <w:r>
              <w:t>利用真實紀錄持續改善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5122B" w14:textId="77777777" w:rsidR="001B10ED" w:rsidRDefault="00000000">
            <w:r>
              <w:t>模型逐步學到真實系統特性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6FA07" w14:textId="77777777" w:rsidR="001B10ED" w:rsidRDefault="00000000">
            <w:r>
              <w:t>已完成基本流程</w:t>
            </w:r>
          </w:p>
        </w:tc>
      </w:tr>
      <w:tr w:rsidR="001B10ED" w14:paraId="5C669CF5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0FF09" w14:textId="77777777" w:rsidR="001B10ED" w:rsidRDefault="00000000">
            <w:r>
              <w:t>多台主機協同決策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E3BF" w14:textId="77777777" w:rsidR="001B10ED" w:rsidRDefault="00000000">
            <w:r>
              <w:t>在更大叢集中跨機器分配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1EA4F" w14:textId="77777777" w:rsidR="001B10ED" w:rsidRDefault="00000000">
            <w:r>
              <w:t>尚未完成</w:t>
            </w:r>
          </w:p>
        </w:tc>
      </w:tr>
      <w:tr w:rsidR="001B10ED" w14:paraId="734F4D17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04F0C" w14:textId="77777777" w:rsidR="001B10ED" w:rsidRDefault="00000000">
            <w:r>
              <w:t>大規模實驗比較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57CB8" w14:textId="77777777" w:rsidR="001B10ED" w:rsidRDefault="00000000">
            <w:r>
              <w:t>在真實系統上完整對照實驗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E4DE6" w14:textId="77777777" w:rsidR="001B10ED" w:rsidRDefault="00000000">
            <w:r>
              <w:t>進行中</w:t>
            </w:r>
          </w:p>
        </w:tc>
      </w:tr>
    </w:tbl>
    <w:p w14:paraId="444D51B5" w14:textId="77777777" w:rsidR="001B10ED" w:rsidRPr="00FD3375" w:rsidRDefault="00000000" w:rsidP="00E304FC">
      <w:pPr>
        <w:spacing w:before="240"/>
        <w:jc w:val="center"/>
      </w:pPr>
      <w:r>
        <w:t>【表</w:t>
      </w:r>
      <w:r>
        <w:rPr>
          <w:rFonts w:ascii="Times New Roman" w:hAnsi="Times New Roman" w:cs="Times New Roman"/>
        </w:rPr>
        <w:t>1</w:t>
      </w:r>
      <w:r>
        <w:t>】預期工作項目與達成狀態</w:t>
      </w:r>
    </w:p>
    <w:p w14:paraId="65446B63" w14:textId="77777777" w:rsidR="00542628" w:rsidRDefault="00000000">
      <w:pPr>
        <w:spacing w:before="24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模擬環境效能評估（RDSAC mean 與 cvar）</w:t>
      </w:r>
    </w:p>
    <w:p w14:paraId="0CD89E9E" w14:textId="622B7A31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除了實機驗證外，我們在模擬環境中以相同配置（150,000 步、30 個亂數種子、僅風險模式不同）對 RDSAC 的 mean（風險中立）與 cvar（β=0.25，風險敏感）</w:t>
        <w:lastRenderedPageBreak/>
        <w:t>兩種變體做配對評估，並與啟發式score排程器比較。下表差異欄 Δ=(score−RDSAC)/score，負值代表 RDSAC的JCT較高（較差）；標示 * 者為 p&lt;0.05 達統計顯著。</w:t>
      </w:r>
    </w:p>
    <w:p w14:paraId="007483CA" w14:textId="77777777" w:rsidR="00C04BFF" w:rsidRDefault="00C04BFF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C04BFF" w14:paraId="4FAE013D" w14:textId="77777777" w:rsidTr="00BE3EF7">
        <w:tc>
          <w:tcPr>
            <w:tcW w:w="1185" w:type="dxa"/>
            <w:shd w:val="clear" w:color="auto" w:fill="E7E6E6" w:themeFill="background2"/>
            <w:vAlign w:val="center"/>
          </w:tcPr>
          <w:p w14:paraId="7AB265BE" w14:textId="00F98E12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家族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28F62595" w14:textId="3F15565C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RDSAC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060C8CD7" w14:textId="359802AC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Score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2A83C110" w14:textId="38869319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差異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1B925C0E" w14:textId="6EF5C675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p值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58E24560" w14:textId="5F5BE043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p95</w:t>
            </w:r>
          </w:p>
        </w:tc>
        <w:tc>
          <w:tcPr>
            <w:tcW w:w="1186" w:type="dxa"/>
            <w:shd w:val="clear" w:color="auto" w:fill="E7E6E6" w:themeFill="background2"/>
            <w:vAlign w:val="center"/>
          </w:tcPr>
          <w:p w14:paraId="7B8C47DE" w14:textId="3CAA322A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p99</w:t>
            </w:r>
          </w:p>
        </w:tc>
      </w:tr>
      <w:tr w:rsidR="005F56F2" w14:paraId="4A480546" w14:textId="77777777" w:rsidTr="00526482">
        <w:tc>
          <w:tcPr>
            <w:tcW w:w="1185" w:type="dxa"/>
            <w:vAlign w:val="center"/>
          </w:tcPr>
          <w:p w14:paraId="61726915" w14:textId="37686569" w:rsid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185" w:type="dxa"/>
          </w:tcPr>
          <w:p w14:paraId="7D36485B" w14:textId="07BF108D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7.10</w:t>
            </w:r>
          </w:p>
        </w:tc>
        <w:tc>
          <w:tcPr>
            <w:tcW w:w="1185" w:type="dxa"/>
          </w:tcPr>
          <w:p w14:paraId="2682C352" w14:textId="533508B4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3.27</w:t>
            </w:r>
          </w:p>
        </w:tc>
        <w:tc>
          <w:tcPr>
            <w:tcW w:w="1185" w:type="dxa"/>
          </w:tcPr>
          <w:p w14:paraId="018BE8CD" w14:textId="688ADEAC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-117.3%</w:t>
            </w:r>
          </w:p>
        </w:tc>
        <w:tc>
          <w:tcPr>
            <w:tcW w:w="1185" w:type="dxa"/>
          </w:tcPr>
          <w:p w14:paraId="6F6EA2F0" w14:textId="3FFFF94C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0.000*</w:t>
            </w:r>
          </w:p>
        </w:tc>
        <w:tc>
          <w:tcPr>
            <w:tcW w:w="1185" w:type="dxa"/>
          </w:tcPr>
          <w:p w14:paraId="026DC050" w14:textId="79D554D3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27.77</w:t>
            </w:r>
          </w:p>
        </w:tc>
        <w:tc>
          <w:tcPr>
            <w:tcW w:w="1186" w:type="dxa"/>
          </w:tcPr>
          <w:p w14:paraId="4777641A" w14:textId="7500C262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50.56</w:t>
            </w:r>
          </w:p>
        </w:tc>
      </w:tr>
      <w:tr w:rsidR="005F56F2" w14:paraId="38F60089" w14:textId="77777777" w:rsidTr="00526482">
        <w:tc>
          <w:tcPr>
            <w:tcW w:w="1185" w:type="dxa"/>
            <w:vAlign w:val="center"/>
          </w:tcPr>
          <w:p w14:paraId="47FF3861" w14:textId="5D6E682E" w:rsid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Burst</w:t>
            </w:r>
          </w:p>
        </w:tc>
        <w:tc>
          <w:tcPr>
            <w:tcW w:w="1185" w:type="dxa"/>
          </w:tcPr>
          <w:p w14:paraId="2522B4EF" w14:textId="47EAAAB1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7.26</w:t>
            </w:r>
          </w:p>
        </w:tc>
        <w:tc>
          <w:tcPr>
            <w:tcW w:w="1185" w:type="dxa"/>
          </w:tcPr>
          <w:p w14:paraId="3F840A8B" w14:textId="349BBC34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2.80</w:t>
            </w:r>
          </w:p>
        </w:tc>
        <w:tc>
          <w:tcPr>
            <w:tcW w:w="1185" w:type="dxa"/>
          </w:tcPr>
          <w:p w14:paraId="4795488B" w14:textId="328D6831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-159.2%</w:t>
            </w:r>
          </w:p>
        </w:tc>
        <w:tc>
          <w:tcPr>
            <w:tcW w:w="1185" w:type="dxa"/>
          </w:tcPr>
          <w:p w14:paraId="450CD25D" w14:textId="5A0B9DFE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0.000*</w:t>
            </w:r>
          </w:p>
        </w:tc>
        <w:tc>
          <w:tcPr>
            <w:tcW w:w="1185" w:type="dxa"/>
          </w:tcPr>
          <w:p w14:paraId="17EF19C5" w14:textId="08242BDA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31.97</w:t>
            </w:r>
          </w:p>
        </w:tc>
        <w:tc>
          <w:tcPr>
            <w:tcW w:w="1186" w:type="dxa"/>
          </w:tcPr>
          <w:p w14:paraId="4ABC6831" w14:textId="392E1D5E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56.52</w:t>
            </w:r>
          </w:p>
        </w:tc>
      </w:tr>
      <w:tr w:rsidR="005F56F2" w14:paraId="32C5B9F7" w14:textId="77777777" w:rsidTr="00526482">
        <w:tc>
          <w:tcPr>
            <w:tcW w:w="1185" w:type="dxa"/>
            <w:vAlign w:val="center"/>
          </w:tcPr>
          <w:p w14:paraId="507F4E5A" w14:textId="6A14BC8E" w:rsid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185" w:type="dxa"/>
          </w:tcPr>
          <w:p w14:paraId="3EEDB095" w14:textId="10A32E5B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2.12</w:t>
            </w:r>
          </w:p>
        </w:tc>
        <w:tc>
          <w:tcPr>
            <w:tcW w:w="1185" w:type="dxa"/>
          </w:tcPr>
          <w:p w14:paraId="3F9C0E75" w14:textId="558FF66C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0.93</w:t>
            </w:r>
          </w:p>
        </w:tc>
        <w:tc>
          <w:tcPr>
            <w:tcW w:w="1185" w:type="dxa"/>
          </w:tcPr>
          <w:p w14:paraId="60E37F89" w14:textId="75E2F55E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-128.4%</w:t>
            </w:r>
          </w:p>
        </w:tc>
        <w:tc>
          <w:tcPr>
            <w:tcW w:w="1185" w:type="dxa"/>
          </w:tcPr>
          <w:p w14:paraId="12A08D3A" w14:textId="0AB8FAC2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0.000*</w:t>
            </w:r>
          </w:p>
        </w:tc>
        <w:tc>
          <w:tcPr>
            <w:tcW w:w="1185" w:type="dxa"/>
          </w:tcPr>
          <w:p w14:paraId="3456B779" w14:textId="6EB2EDC9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10.25</w:t>
            </w:r>
          </w:p>
        </w:tc>
        <w:tc>
          <w:tcPr>
            <w:tcW w:w="1186" w:type="dxa"/>
          </w:tcPr>
          <w:p w14:paraId="7DC968C8" w14:textId="39296B0D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27.09</w:t>
            </w:r>
          </w:p>
        </w:tc>
      </w:tr>
    </w:tbl>
    <w:p w14:paraId="4EF049A2" w14:textId="0E035127" w:rsidR="00C04BFF" w:rsidRPr="007201B6" w:rsidRDefault="007201B6" w:rsidP="007201B6">
      <w:pPr>
        <w:spacing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【表2】RDSAC（mean，風險中立）模擬評估結果</w:t>
      </w:r>
    </w:p>
    <w:p w14:paraId="792D4CAF" w14:textId="77777777" w:rsidR="00C04BFF" w:rsidRDefault="00C04BFF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C76806" w:rsidRPr="004050D2" w14:paraId="2B5420DE" w14:textId="77777777" w:rsidTr="00101D67">
        <w:tc>
          <w:tcPr>
            <w:tcW w:w="1185" w:type="dxa"/>
            <w:shd w:val="clear" w:color="auto" w:fill="E7E6E6" w:themeFill="background2"/>
            <w:vAlign w:val="center"/>
          </w:tcPr>
          <w:p w14:paraId="449E8707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家族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10AEE4CC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RDSAC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208C2401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Score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3B4DEF30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差異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37DDE073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p值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55F877B7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p95</w:t>
            </w:r>
          </w:p>
        </w:tc>
        <w:tc>
          <w:tcPr>
            <w:tcW w:w="1186" w:type="dxa"/>
            <w:shd w:val="clear" w:color="auto" w:fill="E7E6E6" w:themeFill="background2"/>
            <w:vAlign w:val="center"/>
          </w:tcPr>
          <w:p w14:paraId="38157C73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p99</w:t>
            </w:r>
          </w:p>
        </w:tc>
      </w:tr>
      <w:tr w:rsidR="002E3C77" w:rsidRPr="005F56F2" w14:paraId="089E3ED1" w14:textId="77777777" w:rsidTr="00101D67">
        <w:tc>
          <w:tcPr>
            <w:tcW w:w="1185" w:type="dxa"/>
            <w:vAlign w:val="center"/>
          </w:tcPr>
          <w:p w14:paraId="557DBD5D" w14:textId="77777777" w:rsid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185" w:type="dxa"/>
          </w:tcPr>
          <w:p w14:paraId="53D67505" w14:textId="308AE92E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4.07</w:t>
            </w:r>
          </w:p>
        </w:tc>
        <w:tc>
          <w:tcPr>
            <w:tcW w:w="1185" w:type="dxa"/>
          </w:tcPr>
          <w:p w14:paraId="655431A8" w14:textId="54719F3E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3.27</w:t>
            </w:r>
          </w:p>
        </w:tc>
        <w:tc>
          <w:tcPr>
            <w:tcW w:w="1185" w:type="dxa"/>
          </w:tcPr>
          <w:p w14:paraId="6A01E8FF" w14:textId="1238FC6F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-24.6%</w:t>
            </w:r>
          </w:p>
        </w:tc>
        <w:tc>
          <w:tcPr>
            <w:tcW w:w="1185" w:type="dxa"/>
          </w:tcPr>
          <w:p w14:paraId="66547F36" w14:textId="0EB275AE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0.123</w:t>
            </w:r>
          </w:p>
        </w:tc>
        <w:tc>
          <w:tcPr>
            <w:tcW w:w="1185" w:type="dxa"/>
          </w:tcPr>
          <w:p w14:paraId="52A12F21" w14:textId="719BAAEF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19.74</w:t>
            </w:r>
          </w:p>
        </w:tc>
        <w:tc>
          <w:tcPr>
            <w:tcW w:w="1186" w:type="dxa"/>
          </w:tcPr>
          <w:p w14:paraId="0C99F024" w14:textId="662FB18D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39.80</w:t>
            </w:r>
          </w:p>
        </w:tc>
      </w:tr>
      <w:tr w:rsidR="002E3C77" w:rsidRPr="005F56F2" w14:paraId="764BD449" w14:textId="77777777" w:rsidTr="00101D67">
        <w:tc>
          <w:tcPr>
            <w:tcW w:w="1185" w:type="dxa"/>
            <w:vAlign w:val="center"/>
          </w:tcPr>
          <w:p w14:paraId="39DC9212" w14:textId="77777777" w:rsid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Burst</w:t>
            </w:r>
          </w:p>
        </w:tc>
        <w:tc>
          <w:tcPr>
            <w:tcW w:w="1185" w:type="dxa"/>
          </w:tcPr>
          <w:p w14:paraId="5DDC9494" w14:textId="617B2B30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3.67</w:t>
            </w:r>
          </w:p>
        </w:tc>
        <w:tc>
          <w:tcPr>
            <w:tcW w:w="1185" w:type="dxa"/>
          </w:tcPr>
          <w:p w14:paraId="723CDC03" w14:textId="0D2D7FEA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2.80</w:t>
            </w:r>
          </w:p>
        </w:tc>
        <w:tc>
          <w:tcPr>
            <w:tcW w:w="1185" w:type="dxa"/>
          </w:tcPr>
          <w:p w14:paraId="23D14EA9" w14:textId="35A296FB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-31.1%</w:t>
            </w:r>
          </w:p>
        </w:tc>
        <w:tc>
          <w:tcPr>
            <w:tcW w:w="1185" w:type="dxa"/>
          </w:tcPr>
          <w:p w14:paraId="2FC36EB4" w14:textId="52C072D6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0.015*</w:t>
            </w:r>
          </w:p>
        </w:tc>
        <w:tc>
          <w:tcPr>
            <w:tcW w:w="1185" w:type="dxa"/>
          </w:tcPr>
          <w:p w14:paraId="777AC9E7" w14:textId="2C45F66F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16.31</w:t>
            </w:r>
          </w:p>
        </w:tc>
        <w:tc>
          <w:tcPr>
            <w:tcW w:w="1186" w:type="dxa"/>
          </w:tcPr>
          <w:p w14:paraId="3CA08CF1" w14:textId="05043A3E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41.84</w:t>
            </w:r>
          </w:p>
        </w:tc>
      </w:tr>
      <w:tr w:rsidR="002E3C77" w:rsidRPr="005F56F2" w14:paraId="05ABAC68" w14:textId="77777777" w:rsidTr="00101D67">
        <w:tc>
          <w:tcPr>
            <w:tcW w:w="1185" w:type="dxa"/>
            <w:vAlign w:val="center"/>
          </w:tcPr>
          <w:p w14:paraId="561BF372" w14:textId="77777777" w:rsid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185" w:type="dxa"/>
          </w:tcPr>
          <w:p w14:paraId="0957513B" w14:textId="78D13353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2.05</w:t>
            </w:r>
          </w:p>
        </w:tc>
        <w:tc>
          <w:tcPr>
            <w:tcW w:w="1185" w:type="dxa"/>
          </w:tcPr>
          <w:p w14:paraId="75D3FEBA" w14:textId="4651CC16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0.93</w:t>
            </w:r>
          </w:p>
        </w:tc>
        <w:tc>
          <w:tcPr>
            <w:tcW w:w="1185" w:type="dxa"/>
          </w:tcPr>
          <w:p w14:paraId="60E00B8C" w14:textId="06EBF5F4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-120.9%</w:t>
            </w:r>
          </w:p>
        </w:tc>
        <w:tc>
          <w:tcPr>
            <w:tcW w:w="1185" w:type="dxa"/>
          </w:tcPr>
          <w:p w14:paraId="0E27DBF2" w14:textId="4249336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0.000*</w:t>
            </w:r>
          </w:p>
        </w:tc>
        <w:tc>
          <w:tcPr>
            <w:tcW w:w="1185" w:type="dxa"/>
          </w:tcPr>
          <w:p w14:paraId="2A2D7D7A" w14:textId="48B1CF72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8.52</w:t>
            </w:r>
          </w:p>
        </w:tc>
        <w:tc>
          <w:tcPr>
            <w:tcW w:w="1186" w:type="dxa"/>
          </w:tcPr>
          <w:p w14:paraId="2E336B64" w14:textId="0B2C5E50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>19.95</w:t>
            </w:r>
          </w:p>
        </w:tc>
      </w:tr>
    </w:tbl>
    <w:p w14:paraId="749CBABF" w14:textId="77777777" w:rsidR="006B3F05" w:rsidRPr="006B3F05" w:rsidRDefault="006B3F05" w:rsidP="006B3F05">
      <w:pPr>
        <w:spacing w:before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【表3】RDSAC（cvar，β=0.25，風險敏感）模擬評估結果</w:t>
      </w:r>
    </w:p>
    <w:p w14:paraId="661F5BAF" w14:textId="7D1DF582" w:rsidR="00542628" w:rsidRDefault="00542628" w:rsidP="00D24D09">
      <w:pPr>
        <w:spacing w:before="120"/>
      </w:pPr>
    </w:p>
    <w:p w14:paraId="7F609D5B" w14:textId="30CE15C8" w:rsidR="00542628" w:rsidRDefault="00D24D09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由表 2與表 3可見一個清楚的對照：在完全相同的訓練配置下，風險敏感的cvar在 philly、burst 兩個家族明顯優於風險中立的mean。mean變體在三個家族都顯著落後 score（−117%～−159%）；cvar則把 philly 拉到與強啟發式score統計打平（−24.6%，p=0.123 未顯著），burst 也僅小幅落後，且 philly 的尾部p95由27.77降到19.74。這支持採用風險敏感DSAC的設計選擇：對共享 GPU 平台而言，控制長尾延遲比追求平均最優更有價值。</w:t>
      </w:r>
    </w:p>
    <w:p w14:paraId="3881B301" w14:textId="2B58C8DA" w:rsidR="00542628" w:rsidRDefault="00057F3D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>
        <w:rPr>
          <w:rFonts w:ascii="Times New Roman" w:hAnsi="Times New Roman" w:cs="Times New Roman"/>
        </w:rPr>
        <w:t>我們也誠實列出限制：cvar在ali家族仍顯著落後</w:t>
      </w:r>
      <w:r>
        <w:rPr>
          <w:rFonts w:ascii="Times New Roman" w:hAnsi="Times New Roman" w:cs="Times New Roman" w:hint="eastAsia"/>
        </w:rPr>
        <w:t xml:space="preserve"> (</w:t>
      </w:r>
      <w:r>
        <w:rPr>
          <w:rFonts w:ascii="Times New Roman" w:hAnsi="Times New Roman" w:cs="Times New Roman"/>
        </w:rPr>
        <w:t>−120.9%</w:t>
      </w:r>
      <w:r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t>，且把樣本從 5 個種子擴增到 30 個後信賴區間收斂，可以看出整體而言RDSAC在此 1×1 小動作空間下仍未真正贏過已調校良好的score啟發式，cvar 只是在 philly 把差距縮到不顯著。後續方向為改善ali家族、在更大叢集規模上重新評估，以及如下節所示，對每個模型各自調校熵溫度後再做公平對照。</w:t>
      </w:r>
    </w:p>
    <w:p>
      <w:pPr>
        <w:spacing w:before="24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5.2.2　三方對照與溫度（α）控制：score / SAC / RDSAC</w:t>
      </w:r>
    </w:p>
    <w:p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為了判斷 RDSAC 的分布式／風險機制到底有沒有用，我們加入第三個模型 vanilla 離散 SAC（與 RDSAC 共用同一套網路與訓練配方，僅將分布式 IQN critic 換成一般的 scalar twin-Q critic、且不做風險扭曲；critic 目標依公開實作 Christodoulou 2019 由線上策略 bootstrap）。一開始 SAC 在三個家族都墊底（ΔJCT −76%～−132%），但排查後發現這幾乎全是「共用的自動熵溫度（auto-α）控制器」的假象：該控制器原是依 RDSAC 的回報尺度調的，套到 SAC 身上會讓 α 一路爬到約 2.6、卻把策略壓成次優。於是我們做一組受控對照，把 α 固定在 {0.01, 0.05, 0.20}，其餘配方不變。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</w:tblGrid>
      <w:tr>
        <w:tc>
          <w:tcPr>
            <w:tcW w:w="1185" w:type="dxa"/>
            <w:shd w:val="clear" w:color="auto" w:fill="E7E6E6" w:themeFill="background2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家族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SAC（auto-α）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SAC（α=0.01）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SAC（α=0.20）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RDSAC-cvar</w:t>
            </w:r>
          </w:p>
        </w:tc>
      </w:tr>
      <w:tr>
        <w:tc>
          <w:tcPr>
            <w:tcW w:w="1185" w:type="dxa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 xml:space="preserve">Philly</w:t>
            </w:r>
          </w:p>
        </w:tc>
        <w:tc>
          <w:tcPr>
            <w:tcW w:w="1185" w:type="dxa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 xml:space="preserve">-75.9%</w:t>
            </w:r>
          </w:p>
        </w:tc>
        <w:tc>
          <w:tcPr>
            <w:tcW w:w="1185" w:type="dxa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 xml:space="preserve">-16.8%</w:t>
            </w:r>
          </w:p>
        </w:tc>
        <w:tc>
          <w:tcPr>
            <w:tcW w:w="1185" w:type="dxa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 xml:space="preserve">+1.5%</w:t>
            </w:r>
          </w:p>
        </w:tc>
        <w:tc>
          <w:tcPr>
            <w:tcW w:w="1185" w:type="dxa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 xml:space="preserve">-24.6%</w:t>
            </w:r>
          </w:p>
        </w:tc>
      </w:tr>
      <w:tr>
        <w:tc>
          <w:tcPr>
            <w:tcW w:w="1185" w:type="dxa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 xml:space="preserve">Burst</w:t>
            </w:r>
          </w:p>
        </w:tc>
        <w:tc>
          <w:tcPr>
            <w:tcW w:w="1185" w:type="dxa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 xml:space="preserve">-88.2%</w:t>
            </w:r>
          </w:p>
        </w:tc>
        <w:tc>
          <w:tcPr>
            <w:tcW w:w="1185" w:type="dxa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 xml:space="preserve">+2.2%</w:t>
            </w:r>
          </w:p>
        </w:tc>
        <w:tc>
          <w:tcPr>
            <w:tcW w:w="1185" w:type="dxa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 xml:space="preserve">-18.3%</w:t>
            </w:r>
          </w:p>
        </w:tc>
        <w:tc>
          <w:tcPr>
            <w:tcW w:w="1185" w:type="dxa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 xml:space="preserve">-31.1%</w:t>
            </w:r>
          </w:p>
        </w:tc>
      </w:tr>
      <w:tr>
        <w:tc>
          <w:tcPr>
            <w:tcW w:w="1185" w:type="dxa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 xml:space="preserve">ali</w:t>
            </w:r>
          </w:p>
        </w:tc>
        <w:tc>
          <w:tcPr>
            <w:tcW w:w="1185" w:type="dxa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 xml:space="preserve">-132.4%</w:t>
            </w:r>
          </w:p>
        </w:tc>
        <w:tc>
          <w:tcPr>
            <w:tcW w:w="1185" w:type="dxa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 xml:space="preserve">-23.8%</w:t>
            </w:r>
          </w:p>
        </w:tc>
        <w:tc>
          <w:tcPr>
            <w:tcW w:w="1185" w:type="dxa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 xml:space="preserve">-22.6%</w:t>
            </w:r>
          </w:p>
        </w:tc>
        <w:tc>
          <w:tcPr>
            <w:tcW w:w="1185" w:type="dxa"/>
          </w:tcPr>
          <w:p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>
              <w:rPr>
                <w:rFonts w:ascii="Times New Roman" w:hAnsi="Times New Roman" w:cs="Times New Roman"/>
                <w:szCs w:val="32"/>
              </w:rPr>
              <w:t xml:space="preserve">-120.9%</w:t>
            </w:r>
          </w:p>
        </w:tc>
      </w:tr>
    </w:tbl>
    <w:p>
      <w:pPr>
        <w:spacing w:before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【表4】三方對照：vanilla SAC 在不同溫度（α）策略下相對 score 的 ΔJCT%（30 種子；負值代表較慢、較差）</w:t>
      </w:r>
    </w:p>
    <w:p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　　結果很清楚：只要把 α 固定，SAC 就從墊底回到競爭力——α=0.01 與 α=0.20 在三個家族都與 RDSAC-cvar 打平甚至更好（例如 burst α=0.01 為 +2.2%、philly α=0.20 為 +1.5%）。換句話說，先前「SAC 最差、所以分布式／風險機制有用」的結論被高估了：SAC 的崩潰主因是自動溫度控制器失穩，而非 scalar critic 本身。在每個模型各自有穩定溫度後，IQN 分布式 critic 加風險扭曲在此 1×1 小動作空間下的淨增益其實很小。誠實限制：fixed-α 各值之間的細排名來自單一訓練種子，方向（任何固定 α 都遠優於 auto-α）穩健、細排名則不穩；且在 live 1×1 環境下三個模型仍打平，因為每個學習模型都有約 90–100% 的提交選擇 abstain 並安全回退到 score。</w:t>
      </w:r>
    </w:p>
    <w:p w14:paraId="62BD0C72" w14:textId="77777777" w:rsidR="001B10ED" w:rsidRPr="000026F1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6" w:name="_Toc231559558"/>
      <w:r>
        <w:rPr>
          <w:rFonts w:ascii="Times New Roman" w:hAnsi="Times New Roman" w:cs="Times New Roman"/>
        </w:rPr>
        <w:t>5.3　結論與建議</w:t>
      </w:r>
      <w:bookmarkEnd w:id="26"/>
    </w:p>
    <w:p w14:paraId="09935E83" w14:textId="77777777" w:rsidR="001B10ED" w:rsidRDefault="00000000" w:rsidP="000026F1">
      <w:pPr>
        <w:spacing w:line="276" w:lineRule="auto"/>
        <w:jc w:val="both"/>
      </w:pPr>
      <w:r>
        <w:t>本計畫已成功建立可上線運作的智慧排程平台，並通過實機驗證。目前的主要結論如下：</w:t>
      </w:r>
    </w:p>
    <w:p w14:paraId="759D8D0C" w14:textId="77777777" w:rsidR="001F7B35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系統已具備實際運作能力，不只停留在模擬層面。</w:t>
      </w:r>
    </w:p>
    <w:p w14:paraId="3838EDCF" w14:textId="77777777" w:rsidR="001F7B35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強化學習模型已可在真實系統中參與排序與資源放置決策。</w:t>
      </w:r>
    </w:p>
    <w:p w14:paraId="7B080021" w14:textId="77777777" w:rsidR="001B10ED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早期以平均值為主的模型尚未穩定超越基本排程規則，後續改用</w:t>
      </w:r>
      <w:r>
        <w:rPr>
          <w:rFonts w:ascii="Times New Roman" w:hAnsi="Times New Roman" w:cs="Times New Roman"/>
        </w:rPr>
        <w:t xml:space="preserve">DSAC </w:t>
      </w:r>
      <w:r>
        <w:t>方向已確立。</w:t>
      </w:r>
    </w:p>
    <w:p w14:paraId="7CF9DB56" w14:textId="77777777" w:rsidR="001B10ED" w:rsidRDefault="001B10ED" w:rsidP="000026F1">
      <w:pPr>
        <w:spacing w:line="276" w:lineRule="auto"/>
        <w:jc w:val="both"/>
      </w:pPr>
    </w:p>
    <w:p w14:paraId="18605B12" w14:textId="77777777" w:rsidR="001B10ED" w:rsidRDefault="00000000" w:rsidP="000026F1">
      <w:pPr>
        <w:spacing w:line="276" w:lineRule="auto"/>
        <w:jc w:val="both"/>
      </w:pPr>
      <w:r>
        <w:t>後續建議集中在以下幾個方向：</w:t>
      </w:r>
    </w:p>
    <w:p w14:paraId="43927983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讓模擬環境更接近真實系統，降低sim-to-real落差。</w:t>
      </w:r>
    </w:p>
    <w:p w14:paraId="654C645D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擴充到多台主機情境，展示智慧資源分配的更大價值。</w:t>
      </w:r>
    </w:p>
    <w:p w14:paraId="3EB33274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持續收集真實執行紀錄，讓模型從真實資料中持續修正。</w:t>
      </w:r>
    </w:p>
    <w:p w14:paraId="7BA370D7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進行更公平、更大規模的效能對照實驗。</w:t>
      </w:r>
    </w:p>
    <w:p w14:paraId="482CED1A" w14:textId="77777777" w:rsidR="001B10ED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進一步改善展示與報告內容，提升成果呈現品質。</w:t>
      </w:r>
    </w:p>
    <w:p w14:paraId="7E90E82A" w14:textId="77777777" w:rsidR="001B10ED" w:rsidRPr="00BC334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7" w:name="_Toc231559559"/>
      <w:r>
        <w:rPr>
          <w:rFonts w:ascii="Times New Roman" w:hAnsi="Times New Roman" w:cs="Times New Roman"/>
        </w:rPr>
        <w:t>5.4　執行計畫過程遇到之困難與阻礙</w:t>
      </w:r>
      <w:bookmarkEnd w:id="27"/>
    </w:p>
    <w:p w14:paraId="18279EC7" w14:textId="77777777" w:rsidR="001B10ED" w:rsidRPr="003D7B5F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8" w:name="_Toc231559560"/>
      <w:r>
        <w:rPr>
          <w:rFonts w:ascii="Times New Roman" w:hAnsi="Times New Roman" w:cs="Times New Roman"/>
        </w:rPr>
        <w:t>5.4.1　節點回收後狀態不一致</w:t>
      </w:r>
      <w:bookmarkEnd w:id="28"/>
    </w:p>
    <w:p w14:paraId="4302F429" w14:textId="77777777" w:rsidR="001B10ED" w:rsidRPr="00BC334C" w:rsidRDefault="00000000" w:rsidP="00BC334C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在先前測試中，當 GPU 節點因暫時沒有工作而被回收後，系統有時無法正確辨識它已離線，導致後續工作啟動時出現狀態不同步的問題。目前已完成修正，讓系統在節點回收與重新啟動時，能先更新狀態，再重新接受新工作。</w:t>
      </w:r>
    </w:p>
    <w:p w14:paraId="635DA7C0" w14:textId="77777777" w:rsidR="001B10ED" w:rsidRDefault="001B10ED"/>
    <w:p w14:paraId="1AF96F4E" w14:textId="77777777" w:rsidR="001B10ED" w:rsidRDefault="00000000" w:rsidP="00BC334C">
      <w:pPr>
        <w:jc w:val="center"/>
      </w:pPr>
      <w:r>
        <w:t>【圖</w:t>
      </w:r>
      <w:r>
        <w:rPr>
          <w:rFonts w:ascii="Times New Roman" w:hAnsi="Times New Roman" w:cs="Times New Roman"/>
        </w:rPr>
        <w:t>6</w:t>
      </w:r>
      <w:r>
        <w:t>】穩定性修正前後流程差異示意圖（Placeholder）</w:t>
      </w:r>
    </w:p>
    <w:p w14:paraId="6E2FD528" w14:textId="77777777" w:rsidR="00BC334C" w:rsidRDefault="00BC334C"/>
    <w:p w14:paraId="3C1146DC" w14:textId="77777777" w:rsidR="001B10ED" w:rsidRPr="003D7B5F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9" w:name="_Toc231559562"/>
      <w:r>
        <w:rPr>
          <w:rFonts w:ascii="Times New Roman" w:hAnsi="Times New Roman" w:cs="Times New Roman"/>
        </w:rPr>
        <w:t>5.4.2　智慧模型效果尚未超越基本規則</w:t>
      </w:r>
      <w:bookmarkEnd w:id="29"/>
    </w:p>
    <w:p w14:paraId="7DD82BFA" w14:textId="77777777" w:rsidR="001B10ED" w:rsidRPr="003D7B5F" w:rsidRDefault="00000000" w:rsidP="003D7B5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目前在模擬環境下的效能比較結果顯示，早期以平均值為主的模型尚未穩定超越基本排程規則。因此後續模型方向改為 Distributional SAC，讓模型學習每個決策可能造成的結果分布，並加入風險敏感判斷，更符合真實共享GPU平台的需求。</w:t>
      </w:r>
    </w:p>
    <w:p w14:paraId="691C0FA7" w14:textId="77777777" w:rsidR="001B10ED" w:rsidRDefault="001B10ED"/>
    <w:p w14:paraId="749160FE" w14:textId="77777777" w:rsidR="001B10ED" w:rsidRDefault="00000000" w:rsidP="003D7B5F">
      <w:pPr>
        <w:jc w:val="center"/>
      </w:pPr>
      <w:r>
        <w:t>【圖</w:t>
      </w:r>
      <w:r>
        <w:rPr>
          <w:rFonts w:ascii="Times New Roman" w:hAnsi="Times New Roman" w:cs="Times New Roman"/>
        </w:rPr>
        <w:t>7</w:t>
      </w:r>
      <w:r>
        <w:t>】模型與基本排程方式的比較圖（Placeholder）</w:t>
      </w:r>
    </w:p>
    <w:p w14:paraId="0842DCA0" w14:textId="77777777" w:rsidR="001B10ED" w:rsidRDefault="00000000">
      <w:r>
        <w:br w:type="page"/>
      </w:r>
    </w:p>
    <w:p w14:paraId="08168C6B" w14:textId="77777777" w:rsidR="001B10ED" w:rsidRDefault="00000000" w:rsidP="00AF67C1">
      <w:pPr>
        <w:pStyle w:val="1"/>
        <w:spacing w:after="160"/>
        <w:jc w:val="center"/>
      </w:pPr>
      <w:bookmarkStart w:id="30" w:name="_Toc231559563"/>
      <w:r>
        <w:lastRenderedPageBreak/>
        <w:t>參考文獻</w:t>
      </w:r>
      <w:bookmarkEnd w:id="30"/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 xml:space="preserve">Slurm workload manager documentation</w:t>
      </w:r>
      <w:r>
        <w:rPr>
          <w:rFonts w:ascii="Times New Roman" w:eastAsia="Times New Roman" w:hAnsi="Times New Roman" w:cs="Times New Roman"/>
        </w:rPr>
        <w:t xml:space="preserve">. </w:t>
      </w:r>
      <w:hyperlink r:id="rId11" w:history="1">
        <w:r>
          <w:rPr>
            <w:rStyle w:val="a5"/>
            <w:rFonts w:ascii="Times New Roman" w:eastAsia="Times New Roman" w:hAnsi="Times New Roman" w:cs="Times New Roman"/>
          </w:rPr>
          <w:t>https://slurm.schedmd.com/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 xml:space="preserve">Slurm plugin API</w:t>
      </w:r>
      <w:r>
        <w:rPr>
          <w:rFonts w:ascii="Times New Roman" w:eastAsia="Times New Roman" w:hAnsi="Times New Roman" w:cs="Times New Roman"/>
        </w:rPr>
        <w:t xml:space="preserve">. </w:t>
      </w:r>
      <w:hyperlink r:id="rId12" w:history="1">
        <w:r>
          <w:rPr>
            <w:rStyle w:val="a5"/>
            <w:rFonts w:ascii="Times New Roman" w:eastAsia="Times New Roman" w:hAnsi="Times New Roman" w:cs="Times New Roman"/>
          </w:rPr>
          <w:t>https://slurm.schedmd.com/plugins.html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 xml:space="preserve">Kubernetes documentation</w:t>
      </w:r>
      <w:r>
        <w:rPr>
          <w:rFonts w:ascii="Times New Roman" w:eastAsia="Times New Roman" w:hAnsi="Times New Roman" w:cs="Times New Roman"/>
        </w:rPr>
        <w:t xml:space="preserve">. </w:t>
      </w:r>
      <w:hyperlink r:id="rId13" w:history="1">
        <w:r>
          <w:rPr>
            <w:rStyle w:val="a5"/>
            <w:rFonts w:ascii="Times New Roman" w:eastAsia="Times New Roman" w:hAnsi="Times New Roman" w:cs="Times New Roman"/>
          </w:rPr>
          <w:t>https://kubernetes.io/docs/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Nolar. (n.d.). </w:t>
      </w:r>
      <w:r>
        <w:rPr>
          <w:rFonts w:ascii="Times New Roman" w:eastAsia="Times New Roman" w:hAnsi="Times New Roman" w:cs="Times New Roman"/>
          <w:i/>
          <w:iCs/>
        </w:rPr>
        <w:t xml:space="preserve">Kopf: Kubernetes operator pythonic framework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4" w:history="1">
        <w:r>
          <w:rPr>
            <w:rStyle w:val="a5"/>
            <w:rFonts w:ascii="Times New Roman" w:eastAsia="Times New Roman" w:hAnsi="Times New Roman" w:cs="Times New Roman"/>
          </w:rPr>
          <w:t>https://github.com/nolar/kopf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 xml:space="preserve">Converged computing: Integrating HPC and cloud native</w:t>
      </w:r>
      <w:r>
        <w:rPr>
          <w:rFonts w:ascii="Times New Roman" w:eastAsia="Times New Roman" w:hAnsi="Times New Roman" w:cs="Times New Roman"/>
        </w:rPr>
        <w:t xml:space="preserve">. (2024). IEEE Computer Society. </w:t>
      </w:r>
      <w:hyperlink r:id="rId15" w:history="1">
        <w:r>
          <w:rPr>
            <w:rStyle w:val="a5"/>
            <w:rFonts w:ascii="Times New Roman" w:eastAsia="Times New Roman" w:hAnsi="Times New Roman" w:cs="Times New Roman"/>
          </w:rPr>
          <w:t>https://www.computer.org/csdl/magazine/cs/2024/03/10770850/22fgId5NFpC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 xml:space="preserve">Kubernetes v1.35: Introducing workload-aware scheduling</w:t>
      </w:r>
      <w:r>
        <w:rPr>
          <w:rFonts w:ascii="Times New Roman" w:eastAsia="Times New Roman" w:hAnsi="Times New Roman" w:cs="Times New Roman"/>
        </w:rPr>
        <w:t xml:space="preserve">. (2025, December 29). The Kubernetes Blog. </w:t>
      </w:r>
      <w:hyperlink r:id="rId16" w:history="1">
        <w:r>
          <w:rPr>
            <w:rStyle w:val="a5"/>
            <w:rFonts w:ascii="Times New Roman" w:eastAsia="Times New Roman" w:hAnsi="Times New Roman" w:cs="Times New Roman"/>
          </w:rPr>
          <w:t>https://kubernetes.io/blog/2025/12/29/kubernetes-v1-35-introducing-workload-aware-scheduling/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SchedMD. (n.d.). </w:t>
      </w:r>
      <w:r>
        <w:rPr>
          <w:rFonts w:ascii="Times New Roman" w:eastAsia="Times New Roman" w:hAnsi="Times New Roman" w:cs="Times New Roman"/>
          <w:i/>
          <w:iCs/>
        </w:rPr>
        <w:t xml:space="preserve">Slinky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7" w:history="1">
        <w:r>
          <w:rPr>
            <w:rStyle w:val="a5"/>
            <w:rFonts w:ascii="Times New Roman" w:eastAsia="Times New Roman" w:hAnsi="Times New Roman" w:cs="Times New Roman"/>
          </w:rPr>
          <w:t>https://github.com/slinkyproject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Penso, V. (n.d.). </w:t>
      </w:r>
      <w:r>
        <w:rPr>
          <w:rFonts w:ascii="Times New Roman" w:eastAsia="Times New Roman" w:hAnsi="Times New Roman" w:cs="Times New Roman"/>
          <w:i/>
          <w:iCs/>
        </w:rPr>
        <w:t xml:space="preserve">Prometheus Slurm exporter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8" w:history="1">
        <w:r>
          <w:rPr>
            <w:rStyle w:val="a5"/>
            <w:rFonts w:ascii="Times New Roman" w:eastAsia="Times New Roman" w:hAnsi="Times New Roman" w:cs="Times New Roman"/>
          </w:rPr>
          <w:t>https://github.com/vpenso/prometheus-slurm-exporter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Amazon Web Services. (n.d.). </w:t>
      </w:r>
      <w:r>
        <w:rPr>
          <w:rFonts w:ascii="Times New Roman" w:eastAsia="Times New Roman" w:hAnsi="Times New Roman" w:cs="Times New Roman"/>
          <w:i/>
          <w:iCs/>
        </w:rPr>
        <w:t xml:space="preserve">AWS ParallelCluster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19" w:history="1">
        <w:r>
          <w:rPr>
            <w:rStyle w:val="a5"/>
            <w:rFonts w:ascii="Times New Roman" w:eastAsia="Times New Roman" w:hAnsi="Times New Roman" w:cs="Times New Roman"/>
          </w:rPr>
          <w:t>https://github.com/aws/aws-parallelcluster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Texas Advanced Computing Center. (n.d.). </w:t>
      </w:r>
      <w:r>
        <w:rPr>
          <w:rFonts w:ascii="Times New Roman" w:eastAsia="Times New Roman" w:hAnsi="Times New Roman" w:cs="Times New Roman"/>
          <w:i/>
          <w:iCs/>
        </w:rPr>
        <w:t xml:space="preserve">Lmod: An environment module system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0" w:history="1">
        <w:r>
          <w:rPr>
            <w:rStyle w:val="a5"/>
            <w:rFonts w:ascii="Times New Roman" w:eastAsia="Times New Roman" w:hAnsi="Times New Roman" w:cs="Times New Roman"/>
          </w:rPr>
          <w:t>https://github.com/TACC/Lmod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 xml:space="preserve">Scheduler configuration: Scoring</w:t>
      </w:r>
      <w:r>
        <w:rPr>
          <w:rFonts w:ascii="Times New Roman" w:eastAsia="Times New Roman" w:hAnsi="Times New Roman" w:cs="Times New Roman"/>
        </w:rPr>
        <w:t xml:space="preserve">. Kubernetes. </w:t>
      </w:r>
      <w:hyperlink r:id="rId21" w:history="1">
        <w:r>
          <w:rPr>
            <w:rStyle w:val="a5"/>
            <w:rFonts w:ascii="Times New Roman" w:eastAsia="Times New Roman" w:hAnsi="Times New Roman" w:cs="Times New Roman"/>
          </w:rPr>
          <w:t>https://kubernetes.io/docs/reference/scheduling/config/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Grafana Labs. (n.d.). </w:t>
      </w:r>
      <w:r>
        <w:rPr>
          <w:rFonts w:ascii="Times New Roman" w:eastAsia="Times New Roman" w:hAnsi="Times New Roman" w:cs="Times New Roman"/>
          <w:i/>
          <w:iCs/>
        </w:rPr>
        <w:t xml:space="preserve">Grafana</w:t>
      </w:r>
      <w:r>
        <w:rPr>
          <w:rFonts w:ascii="Times New Roman" w:eastAsia="Times New Roman" w:hAnsi="Times New Roman" w:cs="Times New Roman"/>
        </w:rPr>
        <w:t xml:space="preserve">. </w:t>
      </w:r>
      <w:hyperlink r:id="rId22" w:history="1">
        <w:r>
          <w:rPr>
            <w:rStyle w:val="a5"/>
            <w:rFonts w:ascii="Times New Roman" w:eastAsia="Times New Roman" w:hAnsi="Times New Roman" w:cs="Times New Roman"/>
          </w:rPr>
          <w:t>https://grafana.com/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NVIDIA. (n.d.). </w:t>
      </w:r>
      <w:r>
        <w:rPr>
          <w:rFonts w:ascii="Times New Roman" w:eastAsia="Times New Roman" w:hAnsi="Times New Roman" w:cs="Times New Roman"/>
          <w:i/>
          <w:iCs/>
        </w:rPr>
        <w:t xml:space="preserve">Multi-Process Service (MPS)</w:t>
      </w:r>
      <w:r>
        <w:rPr>
          <w:rFonts w:ascii="Times New Roman" w:eastAsia="Times New Roman" w:hAnsi="Times New Roman" w:cs="Times New Roman"/>
        </w:rPr>
        <w:t xml:space="preserve">. NVIDIA Documentation. </w:t>
      </w:r>
      <w:hyperlink r:id="rId23" w:history="1">
        <w:r>
          <w:rPr>
            <w:rStyle w:val="a5"/>
            <w:rFonts w:ascii="Times New Roman" w:eastAsia="Times New Roman" w:hAnsi="Times New Roman" w:cs="Times New Roman"/>
          </w:rPr>
          <w:t>https://docs.nvidia.com/deploy/mps/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The Kubernetes Authors. (n.d.). </w:t>
      </w:r>
      <w:r>
        <w:rPr>
          <w:rFonts w:ascii="Times New Roman" w:eastAsia="Times New Roman" w:hAnsi="Times New Roman" w:cs="Times New Roman"/>
          <w:i/>
          <w:iCs/>
        </w:rPr>
        <w:t xml:space="preserve">kube-state-metrics</w:t>
      </w:r>
      <w:r>
        <w:rPr>
          <w:rFonts w:ascii="Times New Roman" w:eastAsia="Times New Roman" w:hAnsi="Times New Roman" w:cs="Times New Roman"/>
        </w:rPr>
        <w:t xml:space="preserve"> [Computer software]. GitHub. </w:t>
      </w:r>
      <w:hyperlink r:id="rId24" w:history="1">
        <w:r>
          <w:rPr>
            <w:rStyle w:val="a5"/>
            <w:rFonts w:ascii="Times New Roman" w:eastAsia="Times New Roman" w:hAnsi="Times New Roman" w:cs="Times New Roman"/>
          </w:rPr>
          <w:t>https://github.com/kubernetes/kube-state-metrics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Ma, X., Xia, L., Zhou, Z., Yang, J., &amp; Zhao, Q. (2020). </w:t>
      </w:r>
      <w:r>
        <w:rPr>
          <w:rFonts w:ascii="Times New Roman" w:eastAsia="Times New Roman" w:hAnsi="Times New Roman" w:cs="Times New Roman"/>
          <w:i/>
          <w:iCs/>
        </w:rPr>
        <w:t xml:space="preserve">DSAC: Distributional soft actor-critic for risk-sensitive reinforcement learning</w:t>
      </w:r>
      <w:r>
        <w:rPr>
          <w:rFonts w:ascii="Times New Roman" w:eastAsia="Times New Roman" w:hAnsi="Times New Roman" w:cs="Times New Roman"/>
        </w:rPr>
        <w:t xml:space="preserve"> [Preprint]. arXiv. </w:t>
      </w:r>
      <w:hyperlink r:id="rId25" w:history="1">
        <w:r>
          <w:rPr>
            <w:rStyle w:val="a5"/>
            <w:rFonts w:ascii="Times New Roman" w:eastAsia="Times New Roman" w:hAnsi="Times New Roman" w:cs="Times New Roman"/>
          </w:rPr>
          <w:t>https://arxiv.org/abs/2004.14547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Haarnoja, T., Zhou, A., Abbeel, P., &amp; Levine, S. (2018). Soft actor-critic: Off-policy maximum entropy deep reinforcement learning with a stochastic actor. In </w:t>
      </w:r>
      <w:r>
        <w:rPr>
          <w:rFonts w:ascii="Times New Roman" w:eastAsia="Times New Roman" w:hAnsi="Times New Roman" w:cs="Times New Roman"/>
          <w:i/>
          <w:iCs/>
        </w:rPr>
        <w:t xml:space="preserve">Proceedings of the 35th International Conference on Machine Learning (ICML)</w:t>
      </w:r>
      <w:r>
        <w:rPr>
          <w:rFonts w:ascii="Times New Roman" w:eastAsia="Times New Roman" w:hAnsi="Times New Roman" w:cs="Times New Roman"/>
        </w:rPr>
        <w:t xml:space="preserve">. </w:t>
      </w:r>
      <w:hyperlink r:id="rId26" w:history="1">
        <w:r>
          <w:rPr>
            <w:rStyle w:val="a5"/>
            <w:rFonts w:ascii="Times New Roman" w:eastAsia="Times New Roman" w:hAnsi="Times New Roman" w:cs="Times New Roman"/>
          </w:rPr>
          <w:t>https://arxiv.org/abs/1801.01290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Christodoulou, P. (2019). </w:t>
      </w:r>
      <w:r>
        <w:rPr>
          <w:rFonts w:ascii="Times New Roman" w:eastAsia="Times New Roman" w:hAnsi="Times New Roman" w:cs="Times New Roman"/>
          <w:i/>
          <w:iCs/>
        </w:rPr>
        <w:t xml:space="preserve">Soft actor-critic for discrete action settings</w:t>
      </w:r>
      <w:r>
        <w:rPr>
          <w:rFonts w:ascii="Times New Roman" w:eastAsia="Times New Roman" w:hAnsi="Times New Roman" w:cs="Times New Roman"/>
        </w:rPr>
        <w:t xml:space="preserve"> [Preprint]. arXiv. </w:t>
      </w:r>
      <w:hyperlink r:id="rId100" w:history="1">
        <w:r>
          <w:rPr>
            <w:rStyle w:val="a5"/>
            <w:rFonts w:ascii="Times New Roman" w:eastAsia="Times New Roman" w:hAnsi="Times New Roman" w:cs="Times New Roman"/>
          </w:rPr>
          <w:t>https://arxiv.org/abs/1910.07207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Dabney, W., Ostrovski, G., Silver, D., &amp; Munos, R. (2018). Implicit quantile networks for distributional reinforcement learning. In </w:t>
      </w:r>
      <w:r>
        <w:rPr>
          <w:rFonts w:ascii="Times New Roman" w:eastAsia="Times New Roman" w:hAnsi="Times New Roman" w:cs="Times New Roman"/>
          <w:i/>
          <w:iCs/>
        </w:rPr>
        <w:t xml:space="preserve">Proceedings of the 35th International Conference on Machine Learning (ICML)</w:t>
      </w:r>
      <w:r>
        <w:rPr>
          <w:rFonts w:ascii="Times New Roman" w:eastAsia="Times New Roman" w:hAnsi="Times New Roman" w:cs="Times New Roman"/>
        </w:rPr>
        <w:t xml:space="preserve">. </w:t>
      </w:r>
      <w:hyperlink r:id="rId101" w:history="1">
        <w:r>
          <w:rPr>
            <w:rStyle w:val="a5"/>
            <w:rFonts w:ascii="Times New Roman" w:eastAsia="Times New Roman" w:hAnsi="Times New Roman" w:cs="Times New Roman"/>
          </w:rPr>
          <w:t>https://arxiv.org/abs/1806.06923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i/>
          <w:iCs/>
        </w:rPr>
        <w:t xml:space="preserve">Reinforcement learning for AI as a service: CPU–GPU task scheduling for preprocessing, training, and inference tasks</w:t>
      </w:r>
      <w:r>
        <w:rPr>
          <w:rFonts w:ascii="Times New Roman" w:eastAsia="Times New Roman" w:hAnsi="Times New Roman" w:cs="Times New Roman"/>
        </w:rPr>
        <w:t xml:space="preserve">. (n.d.). IEEE. </w:t>
      </w:r>
      <w:hyperlink r:id="rId27" w:history="1">
        <w:r>
          <w:rPr>
            <w:rStyle w:val="a5"/>
            <w:rFonts w:ascii="Times New Roman" w:eastAsia="Times New Roman" w:hAnsi="Times New Roman" w:cs="Times New Roman"/>
          </w:rPr>
          <w:t>https://ieeexplore.ieee.org/abstract/document/10976623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Abdul Majeed, A., et al. (n.d.). </w:t>
      </w:r>
      <w:r>
        <w:rPr>
          <w:rFonts w:ascii="Times New Roman" w:eastAsia="Times New Roman" w:hAnsi="Times New Roman" w:cs="Times New Roman"/>
          <w:i/>
          <w:iCs/>
        </w:rPr>
        <w:t xml:space="preserve">Scheduling techniques of AI models on modern heterogeneous edge GPU—A critical review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28" w:history="1">
        <w:r>
          <w:rPr>
            <w:rStyle w:val="a5"/>
            <w:rFonts w:ascii="Times New Roman" w:eastAsia="Times New Roman" w:hAnsi="Times New Roman" w:cs="Times New Roman"/>
          </w:rPr>
          <w:t>https://ieeexplore.ieee.org/abstract/document/11354153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Lipe, E., et al. (n.d.). </w:t>
      </w:r>
      <w:r>
        <w:rPr>
          <w:rFonts w:ascii="Times New Roman" w:eastAsia="Times New Roman" w:hAnsi="Times New Roman" w:cs="Times New Roman"/>
          <w:i/>
          <w:iCs/>
        </w:rPr>
        <w:t xml:space="preserve">Energy-efficient scheduling of AI/ML workloads on multi-instance GPUs with dynamic repartitioning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29" w:history="1">
        <w:r>
          <w:rPr>
            <w:rStyle w:val="a5"/>
            <w:rFonts w:ascii="Times New Roman" w:eastAsia="Times New Roman" w:hAnsi="Times New Roman" w:cs="Times New Roman"/>
          </w:rPr>
          <w:t>https://ieeexplore.ieee.org/abstract/document/11044810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Sedighi, H., et al. (n.d.). </w:t>
      </w:r>
      <w:r>
        <w:rPr>
          <w:rFonts w:ascii="Times New Roman" w:eastAsia="Times New Roman" w:hAnsi="Times New Roman" w:cs="Times New Roman"/>
          <w:i/>
          <w:iCs/>
        </w:rPr>
        <w:t xml:space="preserve">Dynamic task scheduling and adaptive GPU resource allocation in the cloud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0" w:history="1">
        <w:r>
          <w:rPr>
            <w:rStyle w:val="a5"/>
            <w:rFonts w:ascii="Times New Roman" w:eastAsia="Times New Roman" w:hAnsi="Times New Roman" w:cs="Times New Roman"/>
          </w:rPr>
          <w:t>https://ieeexplore.ieee.org/abstract/document/11261404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Wang, X., et al. (n.d.). </w:t>
      </w:r>
      <w:r>
        <w:rPr>
          <w:rFonts w:ascii="Times New Roman" w:eastAsia="Times New Roman" w:hAnsi="Times New Roman" w:cs="Times New Roman"/>
          <w:i/>
          <w:iCs/>
        </w:rPr>
        <w:t xml:space="preserve">Dynamic GPU scheduling with multi-resource awareness and live migration support</w:t>
      </w:r>
      <w:r>
        <w:rPr>
          <w:rFonts w:ascii="Times New Roman" w:eastAsia="Times New Roman" w:hAnsi="Times New Roman" w:cs="Times New Roman"/>
        </w:rPr>
        <w:t xml:space="preserve">. IEEE. </w:t>
      </w:r>
      <w:hyperlink r:id="rId31" w:history="1">
        <w:r>
          <w:rPr>
            <w:rStyle w:val="a5"/>
            <w:rFonts w:ascii="Times New Roman" w:eastAsia="Times New Roman" w:hAnsi="Times New Roman" w:cs="Times New Roman"/>
          </w:rPr>
          <w:t>https://ieeexplore.ieee.org/abstract/document/10091187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Chab, R., et al. (2025). Algorithmic techniques for GPU scheduling: A comprehensive survey. </w:t>
      </w:r>
      <w:r>
        <w:rPr>
          <w:rFonts w:ascii="Times New Roman" w:eastAsia="Times New Roman" w:hAnsi="Times New Roman" w:cs="Times New Roman"/>
          <w:i/>
          <w:iCs/>
        </w:rPr>
        <w:t xml:space="preserve">Algorithms, 18</w:t>
      </w:r>
      <w:r>
        <w:rPr>
          <w:rFonts w:ascii="Times New Roman" w:eastAsia="Times New Roman" w:hAnsi="Times New Roman" w:cs="Times New Roman"/>
        </w:rPr>
        <w:t xml:space="preserve">(7), 385. </w:t>
      </w:r>
      <w:hyperlink r:id="rId32" w:history="1">
        <w:r>
          <w:rPr>
            <w:rStyle w:val="a5"/>
            <w:rFonts w:ascii="Times New Roman" w:eastAsia="Times New Roman" w:hAnsi="Times New Roman" w:cs="Times New Roman"/>
          </w:rPr>
          <w:t>https://www.mdpi.com/1999-4893/18/7/385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Microsoft Research. (n.d.). </w:t>
      </w:r>
      <w:r>
        <w:rPr>
          <w:rFonts w:ascii="Times New Roman" w:eastAsia="Times New Roman" w:hAnsi="Times New Roman" w:cs="Times New Roman"/>
          <w:i/>
          <w:iCs/>
        </w:rPr>
        <w:t xml:space="preserve">Philly traces</w:t>
      </w:r>
      <w:r>
        <w:rPr>
          <w:rFonts w:ascii="Times New Roman" w:eastAsia="Times New Roman" w:hAnsi="Times New Roman" w:cs="Times New Roman"/>
        </w:rPr>
        <w:t xml:space="preserve"> [Data set]. GitHub. </w:t>
      </w:r>
      <w:hyperlink r:id="rId33" w:history="1">
        <w:r>
          <w:rPr>
            <w:rStyle w:val="a5"/>
            <w:rFonts w:ascii="Times New Roman" w:eastAsia="Times New Roman" w:hAnsi="Times New Roman" w:cs="Times New Roman"/>
          </w:rPr>
          <w:t>https://github.com/msr-fiddle/philly-traces</w:t>
        </w:r>
      </w:hyperlink>
    </w:p>
    <w:p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Alibaba. (n.d.). </w:t>
      </w:r>
      <w:r>
        <w:rPr>
          <w:rFonts w:ascii="Times New Roman" w:eastAsia="Times New Roman" w:hAnsi="Times New Roman" w:cs="Times New Roman"/>
          <w:i/>
          <w:iCs/>
        </w:rPr>
        <w:t xml:space="preserve">Cluster data: Production cluster traces</w:t>
      </w:r>
      <w:r>
        <w:rPr>
          <w:rFonts w:ascii="Times New Roman" w:eastAsia="Times New Roman" w:hAnsi="Times New Roman" w:cs="Times New Roman"/>
        </w:rPr>
        <w:t xml:space="preserve"> [Data set]. GitHub. </w:t>
      </w:r>
      <w:hyperlink r:id="rId34" w:history="1">
        <w:r>
          <w:rPr>
            <w:rStyle w:val="a5"/>
            <w:rFonts w:ascii="Times New Roman" w:eastAsia="Times New Roman" w:hAnsi="Times New Roman" w:cs="Times New Roman"/>
          </w:rPr>
          <w:t>https://github.com/alibaba/clusterdata</w:t>
        </w:r>
      </w:hyperlink>
    </w:p>
    <w:p w14:paraId="05F14929" w14:textId="71670376" w:rsidR="00B620D8" w:rsidRPr="00836CC0" w:rsidRDefault="00B620D8" w:rsidP="00216AD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42F2C680" w14:textId="77777777" w:rsidR="001B10ED" w:rsidRDefault="00000000">
      <w:r>
        <w:br w:type="page"/>
      </w:r>
    </w:p>
    <w:p w14:paraId="76B60240" w14:textId="77777777" w:rsidR="001B10ED" w:rsidRDefault="00000000">
      <w:pPr>
        <w:pStyle w:val="1"/>
        <w:spacing w:after="160"/>
      </w:pPr>
      <w:bookmarkStart w:id="31" w:name="_Toc231559564"/>
      <w:r>
        <w:lastRenderedPageBreak/>
        <w:t>附錄：建議插圖清單</w:t>
      </w:r>
      <w:bookmarkEnd w:id="31"/>
    </w:p>
    <w:p w14:paraId="3F8144B7" w14:textId="77777777" w:rsidR="001B10ED" w:rsidRDefault="00000000">
      <w:r>
        <w:t>下列圖表建議後續整理後插入對應章節位置：</w:t>
      </w:r>
    </w:p>
    <w:p w14:paraId="5D35F6DF" w14:textId="77777777" w:rsidR="001B10ED" w:rsidRDefault="00000000">
      <w:r>
        <w:rPr>
          <w:b/>
          <w:bCs/>
        </w:rPr>
        <w:t>附圖 1：</w:t>
      </w:r>
      <w:r>
        <w:t>Kelpflux 系統整體架構圖（對應 4.1 節）</w:t>
      </w:r>
    </w:p>
    <w:p w14:paraId="7A4CB368" w14:textId="77777777" w:rsidR="001B10ED" w:rsidRDefault="00000000">
      <w:r>
        <w:rPr>
          <w:b/>
          <w:bCs/>
        </w:rPr>
        <w:t>附圖 2：</w:t>
      </w:r>
      <w:r>
        <w:t>工作提交流程與資源分配流程圖（對應 4.2 節）</w:t>
      </w:r>
    </w:p>
    <w:p w14:paraId="6B8B9A49" w14:textId="77777777" w:rsidR="001B10ED" w:rsidRDefault="00000000">
      <w:r>
        <w:rPr>
          <w:b/>
          <w:bCs/>
        </w:rPr>
        <w:t>附圖 3：</w:t>
      </w:r>
      <w:r>
        <w:t>GPU 資源切分示意圖（對應 4.3 節）</w:t>
      </w:r>
    </w:p>
    <w:p w14:paraId="65AAC5F3" w14:textId="77777777" w:rsidR="001B10ED" w:rsidRDefault="00000000">
      <w:r>
        <w:rPr>
          <w:b/>
          <w:bCs/>
        </w:rPr>
        <w:t>附圖 4：</w:t>
      </w:r>
      <w:r>
        <w:t>系統監控畫面截圖（對應 5.1.4 節）</w:t>
      </w:r>
    </w:p>
    <w:p w14:paraId="6378D69D" w14:textId="77777777" w:rsidR="001B10ED" w:rsidRDefault="00000000">
      <w:r>
        <w:rPr>
          <w:b/>
          <w:bCs/>
        </w:rPr>
        <w:t>附圖 5：</w:t>
      </w:r>
      <w:r>
        <w:t>真實系統工作執行結果截圖（對應 5.2 節）</w:t>
      </w:r>
    </w:p>
    <w:p w14:paraId="2DCE2EFC" w14:textId="77777777" w:rsidR="001B10ED" w:rsidRDefault="00000000">
      <w:r>
        <w:rPr>
          <w:b/>
          <w:bCs/>
        </w:rPr>
        <w:t>附圖 6：</w:t>
      </w:r>
      <w:r>
        <w:t>穩定性修正前後流程差異示意圖（對應 5.4.1 節）</w:t>
      </w:r>
    </w:p>
    <w:p w14:paraId="59ED4D3E" w14:textId="77777777" w:rsidR="001B10ED" w:rsidRDefault="00000000">
      <w:r>
        <w:rPr>
          <w:b/>
          <w:bCs/>
        </w:rPr>
        <w:t>附圖 7：</w:t>
      </w:r>
      <w:r>
        <w:t>模型與基本排程方式的比較圖（對應 5.4.3 節）</w:t>
      </w:r>
    </w:p>
    <w:sectPr w:rsidR="001B10ED">
      <w:footerReference w:type="default" r:id="rId35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54D85" w14:textId="77777777" w:rsidR="007755B7" w:rsidRDefault="007755B7">
      <w:r>
        <w:separator/>
      </w:r>
    </w:p>
  </w:endnote>
  <w:endnote w:type="continuationSeparator" w:id="0">
    <w:p w14:paraId="0A101AC9" w14:textId="77777777" w:rsidR="007755B7" w:rsidRDefault="007755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9FC83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51AE8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19C00" w14:textId="77777777" w:rsidR="007755B7" w:rsidRDefault="007755B7">
      <w:r>
        <w:separator/>
      </w:r>
    </w:p>
  </w:footnote>
  <w:footnote w:type="continuationSeparator" w:id="0">
    <w:p w14:paraId="783CDA25" w14:textId="77777777" w:rsidR="007755B7" w:rsidRDefault="007755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3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4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6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7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8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0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1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8"/>
    <w:lvlOverride w:ilvl="0">
      <w:startOverride w:val="1"/>
    </w:lvlOverride>
  </w:num>
  <w:num w:numId="2" w16cid:durableId="699084815">
    <w:abstractNumId w:val="5"/>
    <w:lvlOverride w:ilvl="0">
      <w:startOverride w:val="1"/>
    </w:lvlOverride>
  </w:num>
  <w:num w:numId="3" w16cid:durableId="1203177164">
    <w:abstractNumId w:val="11"/>
  </w:num>
  <w:num w:numId="4" w16cid:durableId="1222979258">
    <w:abstractNumId w:val="7"/>
  </w:num>
  <w:num w:numId="5" w16cid:durableId="992179624">
    <w:abstractNumId w:val="0"/>
  </w:num>
  <w:num w:numId="6" w16cid:durableId="1595238181">
    <w:abstractNumId w:val="2"/>
  </w:num>
  <w:num w:numId="7" w16cid:durableId="1892880699">
    <w:abstractNumId w:val="3"/>
  </w:num>
  <w:num w:numId="8" w16cid:durableId="646281498">
    <w:abstractNumId w:val="1"/>
  </w:num>
  <w:num w:numId="9" w16cid:durableId="7878949">
    <w:abstractNumId w:val="9"/>
  </w:num>
  <w:num w:numId="10" w16cid:durableId="1480657251">
    <w:abstractNumId w:val="6"/>
  </w:num>
  <w:num w:numId="11" w16cid:durableId="507334186">
    <w:abstractNumId w:val="10"/>
  </w:num>
  <w:num w:numId="12" w16cid:durableId="2482733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2283A"/>
    <w:rsid w:val="00032796"/>
    <w:rsid w:val="00042525"/>
    <w:rsid w:val="000459B7"/>
    <w:rsid w:val="000512FC"/>
    <w:rsid w:val="000537D2"/>
    <w:rsid w:val="00057F3D"/>
    <w:rsid w:val="00066871"/>
    <w:rsid w:val="0008435A"/>
    <w:rsid w:val="000A1103"/>
    <w:rsid w:val="000A3C37"/>
    <w:rsid w:val="000A7905"/>
    <w:rsid w:val="000B305A"/>
    <w:rsid w:val="000C26C7"/>
    <w:rsid w:val="000C33BD"/>
    <w:rsid w:val="000E30CC"/>
    <w:rsid w:val="000F28C1"/>
    <w:rsid w:val="00101583"/>
    <w:rsid w:val="0010213E"/>
    <w:rsid w:val="00107A06"/>
    <w:rsid w:val="0012090B"/>
    <w:rsid w:val="001301F2"/>
    <w:rsid w:val="00131ADE"/>
    <w:rsid w:val="00137BA0"/>
    <w:rsid w:val="001461EF"/>
    <w:rsid w:val="00152EA2"/>
    <w:rsid w:val="00157085"/>
    <w:rsid w:val="00164AEB"/>
    <w:rsid w:val="001764C2"/>
    <w:rsid w:val="00177475"/>
    <w:rsid w:val="00184341"/>
    <w:rsid w:val="00184929"/>
    <w:rsid w:val="001A21EB"/>
    <w:rsid w:val="001A2E78"/>
    <w:rsid w:val="001B10ED"/>
    <w:rsid w:val="001B4887"/>
    <w:rsid w:val="001C336E"/>
    <w:rsid w:val="001C52BB"/>
    <w:rsid w:val="001C68E4"/>
    <w:rsid w:val="001E6E43"/>
    <w:rsid w:val="001E7DE4"/>
    <w:rsid w:val="001F7B35"/>
    <w:rsid w:val="0021640B"/>
    <w:rsid w:val="00216ADF"/>
    <w:rsid w:val="00216C8F"/>
    <w:rsid w:val="00220F4F"/>
    <w:rsid w:val="002324EF"/>
    <w:rsid w:val="00254937"/>
    <w:rsid w:val="00282A3C"/>
    <w:rsid w:val="00290CB7"/>
    <w:rsid w:val="00290E7E"/>
    <w:rsid w:val="002A73FB"/>
    <w:rsid w:val="002E3C77"/>
    <w:rsid w:val="002E67C3"/>
    <w:rsid w:val="002F6F7D"/>
    <w:rsid w:val="002F7F7B"/>
    <w:rsid w:val="0033470E"/>
    <w:rsid w:val="003723D7"/>
    <w:rsid w:val="003B5C59"/>
    <w:rsid w:val="003D7B5F"/>
    <w:rsid w:val="003E673B"/>
    <w:rsid w:val="003F15A4"/>
    <w:rsid w:val="003F7A18"/>
    <w:rsid w:val="0040508B"/>
    <w:rsid w:val="004050D2"/>
    <w:rsid w:val="004125CA"/>
    <w:rsid w:val="00425B01"/>
    <w:rsid w:val="004267BA"/>
    <w:rsid w:val="004543B7"/>
    <w:rsid w:val="004571D2"/>
    <w:rsid w:val="004B3B6C"/>
    <w:rsid w:val="004D02CF"/>
    <w:rsid w:val="005036B1"/>
    <w:rsid w:val="005036FB"/>
    <w:rsid w:val="005134BD"/>
    <w:rsid w:val="005222DF"/>
    <w:rsid w:val="00526482"/>
    <w:rsid w:val="00536933"/>
    <w:rsid w:val="00536B71"/>
    <w:rsid w:val="00541C52"/>
    <w:rsid w:val="00542628"/>
    <w:rsid w:val="005771EF"/>
    <w:rsid w:val="005840DE"/>
    <w:rsid w:val="00587F2C"/>
    <w:rsid w:val="00590E4F"/>
    <w:rsid w:val="0059112E"/>
    <w:rsid w:val="005A5498"/>
    <w:rsid w:val="005E0D8F"/>
    <w:rsid w:val="005E2CFF"/>
    <w:rsid w:val="005F56F2"/>
    <w:rsid w:val="005F6466"/>
    <w:rsid w:val="005F765D"/>
    <w:rsid w:val="00605095"/>
    <w:rsid w:val="006067F8"/>
    <w:rsid w:val="006130FC"/>
    <w:rsid w:val="006219AF"/>
    <w:rsid w:val="00621D24"/>
    <w:rsid w:val="006517AC"/>
    <w:rsid w:val="00651D0F"/>
    <w:rsid w:val="00652094"/>
    <w:rsid w:val="006609AC"/>
    <w:rsid w:val="0067257A"/>
    <w:rsid w:val="00677999"/>
    <w:rsid w:val="00681BCD"/>
    <w:rsid w:val="00695810"/>
    <w:rsid w:val="006961DE"/>
    <w:rsid w:val="006A6B11"/>
    <w:rsid w:val="006B3F05"/>
    <w:rsid w:val="006D78B9"/>
    <w:rsid w:val="006F44AA"/>
    <w:rsid w:val="006F52B2"/>
    <w:rsid w:val="006F78A8"/>
    <w:rsid w:val="007059BB"/>
    <w:rsid w:val="007201B6"/>
    <w:rsid w:val="007236B1"/>
    <w:rsid w:val="007239B6"/>
    <w:rsid w:val="0072649D"/>
    <w:rsid w:val="00736727"/>
    <w:rsid w:val="007429E7"/>
    <w:rsid w:val="00743A4A"/>
    <w:rsid w:val="00744724"/>
    <w:rsid w:val="00745F71"/>
    <w:rsid w:val="0074660B"/>
    <w:rsid w:val="00772218"/>
    <w:rsid w:val="007755B7"/>
    <w:rsid w:val="007921E2"/>
    <w:rsid w:val="007A0827"/>
    <w:rsid w:val="007A1848"/>
    <w:rsid w:val="007D0B07"/>
    <w:rsid w:val="007E76E7"/>
    <w:rsid w:val="0081030A"/>
    <w:rsid w:val="008171C0"/>
    <w:rsid w:val="008203F9"/>
    <w:rsid w:val="00836CC0"/>
    <w:rsid w:val="008419AF"/>
    <w:rsid w:val="008473B2"/>
    <w:rsid w:val="008502BF"/>
    <w:rsid w:val="008562D8"/>
    <w:rsid w:val="00882E1D"/>
    <w:rsid w:val="00896B04"/>
    <w:rsid w:val="008A1290"/>
    <w:rsid w:val="008A5516"/>
    <w:rsid w:val="008A6347"/>
    <w:rsid w:val="008B4593"/>
    <w:rsid w:val="008D09C4"/>
    <w:rsid w:val="00900D80"/>
    <w:rsid w:val="00903ACF"/>
    <w:rsid w:val="00914F01"/>
    <w:rsid w:val="00925CDC"/>
    <w:rsid w:val="009347B8"/>
    <w:rsid w:val="00963638"/>
    <w:rsid w:val="00975E74"/>
    <w:rsid w:val="009825D3"/>
    <w:rsid w:val="009837AC"/>
    <w:rsid w:val="0098734B"/>
    <w:rsid w:val="009C240F"/>
    <w:rsid w:val="009C4D4C"/>
    <w:rsid w:val="009D1055"/>
    <w:rsid w:val="009D1AFB"/>
    <w:rsid w:val="009D7D99"/>
    <w:rsid w:val="00A16A5E"/>
    <w:rsid w:val="00A26AEA"/>
    <w:rsid w:val="00A36A87"/>
    <w:rsid w:val="00A66837"/>
    <w:rsid w:val="00A80B13"/>
    <w:rsid w:val="00AC3861"/>
    <w:rsid w:val="00AC3E59"/>
    <w:rsid w:val="00AD2237"/>
    <w:rsid w:val="00AD27B4"/>
    <w:rsid w:val="00AF67C1"/>
    <w:rsid w:val="00B03A3C"/>
    <w:rsid w:val="00B13BEB"/>
    <w:rsid w:val="00B21C62"/>
    <w:rsid w:val="00B221D2"/>
    <w:rsid w:val="00B620D8"/>
    <w:rsid w:val="00B62AED"/>
    <w:rsid w:val="00B64AE5"/>
    <w:rsid w:val="00B7034A"/>
    <w:rsid w:val="00BC269D"/>
    <w:rsid w:val="00BC334C"/>
    <w:rsid w:val="00BD12C4"/>
    <w:rsid w:val="00BE3EF7"/>
    <w:rsid w:val="00BF1C90"/>
    <w:rsid w:val="00C04BFF"/>
    <w:rsid w:val="00C15FBD"/>
    <w:rsid w:val="00C251A4"/>
    <w:rsid w:val="00C32099"/>
    <w:rsid w:val="00C35B09"/>
    <w:rsid w:val="00C64CA8"/>
    <w:rsid w:val="00C76806"/>
    <w:rsid w:val="00C90ECD"/>
    <w:rsid w:val="00C93601"/>
    <w:rsid w:val="00CA46F4"/>
    <w:rsid w:val="00CA5D7E"/>
    <w:rsid w:val="00CA65BB"/>
    <w:rsid w:val="00CA6B85"/>
    <w:rsid w:val="00CB295B"/>
    <w:rsid w:val="00CC074A"/>
    <w:rsid w:val="00CC48D9"/>
    <w:rsid w:val="00CC4DEB"/>
    <w:rsid w:val="00CE0FEA"/>
    <w:rsid w:val="00CE2392"/>
    <w:rsid w:val="00CE3DF7"/>
    <w:rsid w:val="00CE71BD"/>
    <w:rsid w:val="00CF022E"/>
    <w:rsid w:val="00CF45E0"/>
    <w:rsid w:val="00CF4F00"/>
    <w:rsid w:val="00D14F40"/>
    <w:rsid w:val="00D24D09"/>
    <w:rsid w:val="00D25305"/>
    <w:rsid w:val="00D61253"/>
    <w:rsid w:val="00D61723"/>
    <w:rsid w:val="00D761F7"/>
    <w:rsid w:val="00D83DED"/>
    <w:rsid w:val="00D85A74"/>
    <w:rsid w:val="00D90D12"/>
    <w:rsid w:val="00DA0C31"/>
    <w:rsid w:val="00DC3A78"/>
    <w:rsid w:val="00DE39F8"/>
    <w:rsid w:val="00DF5721"/>
    <w:rsid w:val="00E17056"/>
    <w:rsid w:val="00E25EBE"/>
    <w:rsid w:val="00E304FC"/>
    <w:rsid w:val="00E35012"/>
    <w:rsid w:val="00E40541"/>
    <w:rsid w:val="00E45C6A"/>
    <w:rsid w:val="00E46C50"/>
    <w:rsid w:val="00E4790E"/>
    <w:rsid w:val="00E545DD"/>
    <w:rsid w:val="00E56CFC"/>
    <w:rsid w:val="00E674F2"/>
    <w:rsid w:val="00E846F0"/>
    <w:rsid w:val="00E95A2F"/>
    <w:rsid w:val="00E9756E"/>
    <w:rsid w:val="00EA5E06"/>
    <w:rsid w:val="00EB0F3F"/>
    <w:rsid w:val="00EE742D"/>
    <w:rsid w:val="00EF4287"/>
    <w:rsid w:val="00F06555"/>
    <w:rsid w:val="00F31CCD"/>
    <w:rsid w:val="00F520E4"/>
    <w:rsid w:val="00F53984"/>
    <w:rsid w:val="00F63771"/>
    <w:rsid w:val="00F67EE5"/>
    <w:rsid w:val="00F74068"/>
    <w:rsid w:val="00F8183E"/>
    <w:rsid w:val="00FA3C89"/>
    <w:rsid w:val="00FB2617"/>
    <w:rsid w:val="00FD3375"/>
    <w:rsid w:val="00FD58DE"/>
    <w:rsid w:val="00FE3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83B81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6806"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95A2F"/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0A110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13" Type="http://schemas.openxmlformats.org/officeDocument/2006/relationships/hyperlink" Target="https://kubernetes.io/docs/" TargetMode="External"/><Relationship Id="rId18" Type="http://schemas.openxmlformats.org/officeDocument/2006/relationships/hyperlink" Target="https://github.com/vpenso/prometheus-slurm-exporter" TargetMode="External"/><Relationship Id="rId26" Type="http://schemas.openxmlformats.org/officeDocument/2006/relationships/hyperlink" Target="https://arxiv.org/abs/1801.01290" TargetMode="External"/><Relationship Id="rId21" Type="http://schemas.openxmlformats.org/officeDocument/2006/relationships/hyperlink" Target="https://kubernetes.io/docs/reference/scheduling/config/" TargetMode="External"/><Relationship Id="rId34" Type="http://schemas.openxmlformats.org/officeDocument/2006/relationships/hyperlink" Target="https://github.com/alibaba/clusterdata" TargetMode="External"/><Relationship Id="rId7" Type="http://schemas.openxmlformats.org/officeDocument/2006/relationships/footer" Target="footer1.xml"/><Relationship Id="rId12" Type="http://schemas.openxmlformats.org/officeDocument/2006/relationships/hyperlink" Target="https://slurm.schedmd.com/plugins.html" TargetMode="External"/><Relationship Id="rId17" Type="http://schemas.openxmlformats.org/officeDocument/2006/relationships/hyperlink" Target="https://github.com/slinkyproject" TargetMode="External"/><Relationship Id="rId25" Type="http://schemas.openxmlformats.org/officeDocument/2006/relationships/hyperlink" Target="https://arxiv.org/abs/2004.14547" TargetMode="External"/><Relationship Id="rId33" Type="http://schemas.openxmlformats.org/officeDocument/2006/relationships/hyperlink" Target="https://github.com/msr-fiddle/philly-traces" TargetMode="External"/><Relationship Id="rId2" Type="http://schemas.openxmlformats.org/officeDocument/2006/relationships/styles" Target="styles.xml"/><Relationship Id="rId16" Type="http://schemas.openxmlformats.org/officeDocument/2006/relationships/hyperlink" Target="https://kubernetes.io/blog/2025/12/29/kubernetes-v1-35-introducing-workload-aware-scheduling/" TargetMode="External"/><Relationship Id="rId20" Type="http://schemas.openxmlformats.org/officeDocument/2006/relationships/hyperlink" Target="https://github.com/TACC/Lmod" TargetMode="External"/><Relationship Id="rId29" Type="http://schemas.openxmlformats.org/officeDocument/2006/relationships/hyperlink" Target="https://ieeexplore.ieee.org/abstract/document/11044810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lurm.schedmd.com/" TargetMode="External"/><Relationship Id="rId24" Type="http://schemas.openxmlformats.org/officeDocument/2006/relationships/hyperlink" Target="https://github.com/kubernetes/kube-state-metrics" TargetMode="External"/><Relationship Id="rId32" Type="http://schemas.openxmlformats.org/officeDocument/2006/relationships/hyperlink" Target="https://www.mdpi.com/1999-4893/18/7/385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computer.org/csdl/magazine/cs/2024/03/10770850/22fgId5NFpC" TargetMode="External"/><Relationship Id="rId23" Type="http://schemas.openxmlformats.org/officeDocument/2006/relationships/hyperlink" Target="https://docs.nvidia.com/deploy/mps/" TargetMode="External"/><Relationship Id="rId28" Type="http://schemas.openxmlformats.org/officeDocument/2006/relationships/hyperlink" Target="https://ieeexplore.ieee.org/abstract/document/11354153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github.com/aws/aws-parallelcluster" TargetMode="External"/><Relationship Id="rId31" Type="http://schemas.openxmlformats.org/officeDocument/2006/relationships/hyperlink" Target="https://ieeexplore.ieee.org/abstract/document/10091187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nolar/kopf" TargetMode="External"/><Relationship Id="rId22" Type="http://schemas.openxmlformats.org/officeDocument/2006/relationships/hyperlink" Target="https://grafana.com/" TargetMode="External"/><Relationship Id="rId27" Type="http://schemas.openxmlformats.org/officeDocument/2006/relationships/hyperlink" Target="https://ieeexplore.ieee.org/abstract/document/10976623" TargetMode="External"/><Relationship Id="rId30" Type="http://schemas.openxmlformats.org/officeDocument/2006/relationships/hyperlink" Target="https://ieeexplore.ieee.org/abstract/document/11261404" TargetMode="External"/><Relationship Id="rId35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00" Type="http://schemas.openxmlformats.org/officeDocument/2006/relationships/hyperlink" Target="https://arxiv.org/abs/1910.07207" TargetMode="External"/><Relationship Id="rId101" Type="http://schemas.openxmlformats.org/officeDocument/2006/relationships/hyperlink" Target="https://arxiv.org/abs/1806.06923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18</Pages>
  <Words>2170</Words>
  <Characters>12369</Characters>
  <Application>Microsoft Office Word</Application>
  <DocSecurity>0</DocSecurity>
  <Lines>103</Lines>
  <Paragraphs>29</Paragraphs>
  <ScaleCrop>false</ScaleCrop>
  <Company/>
  <LinksUpToDate>false</LinksUpToDate>
  <CharactersWithSpaces>14510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238</cp:revision>
  <dcterms:created xsi:type="dcterms:W3CDTF">2026-06-05T05:44:00Z</dcterms:created>
  <dcterms:modified xsi:type="dcterms:W3CDTF">2026-06-11T07:09:00Z</dcterms:modified>
</cp:coreProperties>
</file>