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15 w16se w16cid w16 w16cex w16sdtdh w16sdtfl w16du wp14">
  <ns0:body>
    <ns0:p>
      <ns0:pPr>
        <ns0:spacing ns0:before="0" ns0:after="260" ns0:line="330" ns0:lineRule="auto"/>
        <ns0:jc ns0:val="center"/>
        <ns0:widowControl/>
      </ns0:pPr>
      <ns0:r>
        <ns0:rPr>
          <ns0:rFonts ns0:ascii="Microsoft JhengHei" ns0:hAnsi="Microsoft JhengHei" ns0:eastAsia="Microsoft JhengHei" ns0:cs="Microsoft JhengHei"/>
          <ns0:sz ns0:val="34"/>
          <ns0:szCs ns0:val="34"/>
          <ns0:b/>
        </ns0:rPr>
        <ns0:t xml:space="preserve">國立臺南大學資訊工程學系</ns0:t>
      </ns0:r>
    </ns0:p>
    <ns0:p>
      <ns0:pPr>
        <ns0:spacing ns0:before="0" ns0:after="620" ns0:line="330" ns0:lineRule="auto"/>
        <ns0:jc ns0:val="center"/>
        <ns0:widowControl/>
      </ns0:pPr>
      <ns0:r>
        <ns0:rPr>
          <ns0:rFonts ns0:ascii="Microsoft JhengHei" ns0:hAnsi="Microsoft JhengHei" ns0:eastAsia="Microsoft JhengHei" ns0:cs="Microsoft JhengHei"/>
          <ns0:sz ns0:val="32"/>
          <ns0:szCs ns0:val="32"/>
          <ns0:b/>
        </ns0:rPr>
        <ns0:t xml:space="preserve">116 級畢業專題成果報告</ns0:t>
      </ns0:r>
    </ns0:p>
    <ns0:p>
      <ns0:pPr>
        <ns0:spacing ns0:before="0" ns0:after="240" ns0:line="330" ns0:lineRule="auto"/>
        <ns0:jc ns0:val="center"/>
        <ns0:widowControl/>
      </ns0:pPr>
      <ns0:r>
        <ns0:rPr>
          <ns0:rFonts ns0:ascii="Microsoft JhengHei" ns0:hAnsi="Microsoft JhengHei" ns0:eastAsia="Microsoft JhengHei" ns0:cs="Microsoft JhengHei"/>
          <ns0:sz ns0:val="30"/>
          <ns0:szCs ns0:val="30"/>
          <ns0:b/>
        </ns0:rPr>
        <ns0:t xml:space="preserve">基於 Slurm 與 Kubernetes 架構下 AI 伺服器</ns0:t>
      </ns0:r>
      <ns0:r>
        <ns0:br/>
      </ns0:r>
      <ns0:r>
        <ns0:rPr>
          <ns0:rFonts ns0:ascii="Microsoft JhengHei" ns0:hAnsi="Microsoft JhengHei" ns0:eastAsia="Microsoft JhengHei" ns0:cs="Microsoft JhengHei"/>
          <ns0:sz ns0:val="30"/>
          <ns0:szCs ns0:val="30"/>
          <ns0:b/>
        </ns0:rPr>
        <ns0:t xml:space="preserve">GPU 工作負載智慧排程技術之研究</ns0:t>
      </ns0:r>
    </ns0:p>
    <ns0:p>
      <ns0:pPr>
        <ns0:spacing ns0:before="0" ns0:after="360" ns0:line="330" ns0:lineRule="auto"/>
        <ns0:jc ns0:val="center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Intelligent GPU Workload Scheduling Techniques for AI Servers</ns0:t>
      </ns0:r>
      <ns0:r>
        <ns0:br/>
      </ns0: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under a Slurm-on-Kubernetes Architecture</ns0:t>
      </ns0:r>
    </ns0:p>
    <ns0:p>
      <ns0:pPr>
        <ns0:spacing ns0:before="0" ns0:after="500" ns0:line="330" ns0:lineRule="auto"/>
        <ns0:jc ns0:val="center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專案編號：NUTN-CSIE-PRJ-116-016</ns0:t>
      </ns0:r>
    </ns0:p>
    <ns0:p>
      <ns0:pPr>
        <ns0:spacing ns0:before="0" ns0:after="180" ns0:line="330" ns0:lineRule="auto"/>
        <ns0:jc ns0:val="center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組員：S11259043 鄭珽升　　S11259033 蕭友翰</ns0:t>
      </ns0:r>
    </ns0:p>
    <ns0:p>
      <ns0:pPr>
        <ns0:spacing ns0:before="0" ns0:after="520" ns0:line="330" ns0:lineRule="auto"/>
        <ns0:jc ns0:val="center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指導老師：陳宗禧 教授</ns0:t>
      </ns0:r>
    </ns0:p>
    <ns0:p>
      <ns0:pPr>
        <ns0:spacing ns0:before="0" ns0:after="100" ns0:line="330" ns0:lineRule="auto"/>
        <ns0:jc ns0:val="center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中華民國 115 年 9 月</ns0:t>
      </ns0:r>
    </ns0:p>
    <ns0:p>
      <ns0:r>
        <ns0:br ns0:type="page"/>
      </ns0:r>
    </ns0:p>
    <ns0:p>
      <ns0:pPr>
        <ns0:spacing ns0:before="0" ns0:after="420" ns0:line="330" ns0:lineRule="auto"/>
        <ns0:jc ns0:val="center"/>
        <ns0:widowControl/>
      </ns0:pPr>
      <ns0:r>
        <ns0:rPr>
          <ns0:rFonts ns0:ascii="Microsoft JhengHei" ns0:hAnsi="Microsoft JhengHei" ns0:eastAsia="Microsoft JhengHei" ns0:cs="Microsoft JhengHei"/>
          <ns0:sz ns0:val="30"/>
          <ns0:szCs ns0:val="30"/>
          <ns0:b/>
        </ns0:rPr>
        <ns0:t xml:space="preserve">畢業專題成果報告審定書</ns0:t>
      </ns0:r>
    </ns0:p>
    <ns0:p>
      <ns0:pPr>
        <ns0:spacing ns0:before="0" ns0:after="240" ns0:line="330" ns0:lineRule="auto"/>
        <ns0:jc ns0:val="center"/>
        <ns0:widowControl/>
      </ns0:pPr>
      <ns0:r>
        <ns0:rPr>
          <ns0:rFonts ns0:ascii="Microsoft JhengHei" ns0:hAnsi="Microsoft JhengHei" ns0:eastAsia="Microsoft JhengHei" ns0:cs="Microsoft JhengHei"/>
          <ns0:sz ns0:val="24"/>
          <ns0:szCs ns0:val="24"/>
          <ns0:b/>
        </ns0:rPr>
        <ns0:t xml:space="preserve">基於 Slurm 與 Kubernetes 架構下 AI 伺服器 GPU 工作負載智慧排程技術之研究</ns0:t>
      </ns0:r>
    </ns0:p>
    <ns0:p>
      <ns0:pPr>
        <ns0:spacing ns0:before="0" ns0:after="11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學生　學號：S11259043　姓名：鄭珽升</ns0:t>
      </ns0:r>
    </ns0:p>
    <ns0:p>
      <ns0:pPr>
        <ns0:spacing ns0:before="0" ns0:after="26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　　　學號：S11259033　姓名：蕭友翰</ns0:t>
      </ns0:r>
    </ns0:p>
    <ns0:p>
      <ns0:pPr>
        <ns0:spacing ns0:before="0" ns0:after="50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所提報告內容經審查後，符合本學系大學部畢業專題成果報告要求。</ns0:t>
      </ns0:r>
    </ns0:p>
    <ns0:p>
      <ns0:pPr>
        <ns0:spacing ns0:before="0" ns0:after="260" ns0:line="330" ns0:lineRule="auto"/>
        <ns0:jc ns0:val="right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指導教授：________________________</ns0:t>
      </ns0:r>
    </ns0:p>
    <ns0:p>
      <ns0:pPr>
        <ns0:spacing ns0:before="0" ns0:after="420" ns0:line="330" ns0:lineRule="auto"/>
        <ns0:jc ns0:val="right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系主任：__________________________</ns0:t>
      </ns0:r>
    </ns0:p>
    <ns0:p>
      <ns0:pPr>
        <ns0:spacing ns0:before="0" ns0:after="100" ns0:line="330" ns0:lineRule="auto"/>
        <ns0:jc ns0:val="center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中華民國 115 年　　月　　日</ns0:t>
      </ns0:r>
    </ns0:p>
    <ns0:p>
      <ns0:r>
        <ns0:br ns0:type="page"/>
      </ns0:r>
    </ns0:p>
    <ns0:p>
      <ns0:pPr>
        <ns0:spacing ns0:before="0" ns0:after="240" ns0:line="330" ns0:lineRule="auto"/>
        <ns0:jc ns0:val="center"/>
        <ns0:widowControl/>
      </ns0:pPr>
      <ns0:r>
        <ns0:rPr>
          <ns0:rFonts ns0:ascii="Microsoft JhengHei" ns0:hAnsi="Microsoft JhengHei" ns0:eastAsia="Microsoft JhengHei" ns0:cs="Microsoft JhengHei"/>
          <ns0:sz ns0:val="30"/>
          <ns0:szCs ns0:val="30"/>
          <ns0:b/>
        </ns0:rPr>
        <ns0:t xml:space="preserve">中文摘要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1"/>
          <ns0:szCs ns0:val="21"/>
        </ns0:rPr>
        <ns0:t xml:space="preserve">異質 GPU 與 NVIDIA MPS 共享使小型 AI 叢集的排程必須同時處理 GPU 差異、工作佇列與配額限制；Slurm 的固定規則未必能適應不同負載。現有研究較少在真實 Slurm 流程中評估異質 GPU 工作排序，且模擬中的聯合 placement 決策不等同於實機效能證據。本研究建置以 Slurm 為排程核心、k3s 僅負責部署的研究平台，並以深度強化學習建模工作選擇與 GPU placement；MPS quota 是工作需求與 action mask 條件，而非策略直接配置的動作。實機主實驗使用 RTX 4070 與 RTX 3080，執行 trace-derived AiMix CUDA 工作負載，以週期性 Slurm Priority 更新控制排序，於 Poisson 到達、oversub=2、4、6 及每負載 10 個 seeds 下比較 FCFS、Backfill、SAC、RDSAC 與 RLPD。四個學習式策略在三個負載點的平均 JCT 均低於實驗設定下的 Backfill，改善幅度依 arm/load 為 9.7%–14.5%；深負載時各學習臂的 P99 在 10/10 seeds 低於 Backfill。這些結果只支持特定小型實機環境中的排序效益；placement-only 消融未顯示穩健優勢，且正式常駐重排服務、GPU utilization 改善與跨叢集泛化尚未驗證。</ns0:t>
      </ns0:r>
    </ns0:p>
    <ns0:p>
      <ns0:pPr>
        <ns0:spacing ns0:before="0" ns0:after="20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0"/>
          <ns0:szCs ns0:val="20"/>
        </ns0:rPr>
        <ns0:t xml:space="preserve">關鍵詞：GPU 排程、異質 GPU、NVIDIA MPS、Slurm、深度強化學習、工作完成時間</ns0:t>
      </ns0:r>
    </ns0:p>
    <ns0:p>
      <ns0:pPr>
        <ns0:spacing ns0:before="0" ns0:after="240" ns0:line="330" ns0:lineRule="auto"/>
        <ns0:jc ns0:val="center"/>
        <ns0:widowControl/>
      </ns0:pPr>
      <ns0:r>
        <ns0:rPr>
          <ns0:rFonts ns0:ascii="Microsoft JhengHei" ns0:hAnsi="Microsoft JhengHei" ns0:eastAsia="Microsoft JhengHei" ns0:cs="Microsoft JhengHei"/>
          <ns0:sz ns0:val="30"/>
          <ns0:szCs ns0:val="30"/>
          <ns0:b/>
        </ns0:rPr>
        <ns0:t xml:space="preserve">Abstract</ns0:t>
      </ns0:r>
    </ns0:p>
    <ns0:p>
      <ns0:pPr>
        <ns0:spacing ns0:before="0" ns0:after="12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0"/>
          <ns0:szCs ns0:val="20"/>
        </ns0:rPr>
        <ns0:t xml:space="preserve">Heterogeneous GPUs and NVIDIA MPS sharing make scheduling difficult in small AI clusters, while fixed Slurm policies may not adapt to changing queue pressure. This work builds a Slurm-centered research platform in which k3s is used only for deployment, and models queue selection and GPU placement with a discrete deep-RL policy; MPS quota is a job requirement and feasibility constraint, not a policy-selected allocation. The main real-machine evaluation uses RTX 4070 and RTX 3080 GPUs, trace-derived AiMix CUDA workloads, and periodic Slurm Priority updates to evaluate scheduling order under Poisson arrivals at oversubscription levels 2, 4, and 6 with ten seeds per level. SAC, RDSAC-mean, RDSAC-CVaR, and RLPD reduce mean JCT by 9.7% to 14.5% relative to the configured Backfill baseline across the tested arms and loads. At oversub=6, each learned arm has a lower per-seed P99 in all ten seeds. These findings establish evidence for ordering benefits only in the tested two-GPU environment. The placement-only ablation shows no robust gain, and production daemon integration, GPU-utilization gains, and generalization to larger clusters remain unverified.</ns0:t>
      </ns0:r>
    </ns0:p>
    <ns0:p>
      <ns0:pPr>
        <ns0:spacing ns0:before="0" ns0:after="10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9"/>
          <ns0:szCs ns0:val="19"/>
        </ns0:rPr>
        <ns0:t xml:space="preserve">Keywords: GPU scheduling, heterogeneous GPU, NVIDIA MPS, Slurm, deep reinforcement learning, JCT</ns0:t>
      </ns0:r>
    </ns0:p>
    <ns0:p>
      <ns0:r>
        <ns0:br ns0:type="page"/>
      </ns0:r>
    </ns0:p>
    <ns0:p>
      <ns0:pPr>
        <ns0:spacing ns0:before="0" ns0:after="260" ns0:line="330" ns0:lineRule="auto"/>
        <ns0:jc ns0:val="center"/>
        <ns0:widowControl/>
      </ns0:pPr>
      <ns0:r>
        <ns0:rPr>
          <ns0:rFonts ns0:ascii="Microsoft JhengHei" ns0:hAnsi="Microsoft JhengHei" ns0:eastAsia="Microsoft JhengHei" ns0:cs="Microsoft JhengHei"/>
          <ns0:sz ns0:val="30"/>
          <ns0:szCs ns0:val="30"/>
          <ns0:b/>
        </ns0:rPr>
        <ns0:t xml:space="preserve">目錄</ns0:t>
      </ns0:r>
    </ns0:p>
    <ns0:p>
      <ns0:pPr>
        <ns0:spacing ns0:before="0" ns0:after="10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第一章　緒論</ns0:t>
      </ns0:r>
    </ns0:p>
    <ns0:p>
      <ns0:pPr>
        <ns0:spacing ns0:before="0" ns0:after="10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第二章　相關研究</ns0:t>
      </ns0:r>
    </ns0:p>
    <ns0:p>
      <ns0:pPr>
        <ns0:spacing ns0:before="0" ns0:after="10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第三章　系統架構與問題定義</ns0:t>
      </ns0:r>
    </ns0:p>
    <ns0:p>
      <ns0:pPr>
        <ns0:spacing ns0:before="0" ns0:after="10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第四章　排程器設計與實作</ns0:t>
      </ns0:r>
    </ns0:p>
    <ns0:p>
      <ns0:pPr>
        <ns0:spacing ns0:before="0" ns0:after="10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第五章　實驗設計</ns0:t>
      </ns0:r>
    </ns0:p>
    <ns0:p>
      <ns0:pPr>
        <ns0:spacing ns0:before="0" ns0:after="10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第六章　實驗結果與分析</ns0:t>
      </ns0:r>
    </ns0:p>
    <ns0:p>
      <ns0:pPr>
        <ns0:spacing ns0:before="0" ns0:after="10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第七章　結論、限制與未來工作</ns0:t>
      </ns0:r>
    </ns0:p>
    <ns0:p>
      <ns0:pPr>
        <ns0:spacing ns0:before="0" ns0:after="10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附錄 A　專案重現與驗證摘要</ns0:t>
      </ns0:r>
    </ns0:p>
    <ns0:p>
      <ns0:pPr>
        <ns0:spacing ns0:before="0" ns0:after="10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參考文獻</ns0:t>
      </ns0:r>
    </ns0:p>
    <ns0:p>
      <ns0:r>
        <ns0:br ns0:type="page"/>
      </ns0:r>
    </ns0:p>
    <ns0:p>
      <ns0:r>
        <ns0:br ns0:type="page"/>
      </ns0:r>
    </ns0:p>
    <ns0:p>
      <ns0:pPr>
        <ns0:spacing ns0:before="0" ns0:after="130" ns0:line="330" ns0:lineRule="auto"/>
        <ns0:widowControl/>
        <ns0:keepNext/>
        <ns0:outlineLvl ns0:val="0"/>
      </ns0:pPr>
      <ns0:r>
        <ns0:rPr>
          <ns0:rFonts ns0:ascii="Microsoft JhengHei" ns0:hAnsi="Microsoft JhengHei" ns0:eastAsia="Microsoft JhengHei" ns0:cs="Microsoft JhengHei"/>
          <ns0:sz ns0:val="34"/>
          <ns0:szCs ns0:val="34"/>
          <ns0:b/>
          <ns0:color ns0:val="1F4E78"/>
        </ns0:rPr>
        <ns0:t xml:space="preserve">第一章 緒論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1.1 研究背景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大型語言模型、生成式人工智慧與深度學習服務增加了 GPU 訓練及推論需求，工作型態涵蓋短時間推論、模型微調與長時間訓練，對運算時間、顯示記憶體和延遲的要求並不相同 [1][2]。大學實驗室及中小型叢集常以不同世代 GPU 漸進擴充，且可透過 NVIDIA Multi-Process Service（MPS）讓多個 CUDA 程序共享 GPU [3]。在這種環境中，排程器必須同時處理 GPU 差異、工作佇列與 MPS 配額限制。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Slurm 提供成熟的批次工作佇列和 Backfill 排程，但預設策略主要依固定規則運作 [4]。單純將工作綁定到節點，並不會控制工作實際啟動順序；而單純改變優先權，也不代表策略已選擇 MPS 配額或 GPU placement。本研究因此分別研究模擬中的聯合工作選擇與 GPU 放置，以及真實 Slurm 上可直接觀察的優先序控制效果。Kubernetes（k3s）只作為服務部署與生命週期管理平台，不是本研究的排程決策主體 [5]。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1.2 問題與研究缺口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FCFS 和 Backfill 是實用且可作為基準的 Slurm 策略，但仍有以下研究缺口：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1. 傳統排程基準不會依不同 GPU 型號學習工作與裝置間的相容性。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2. GPU sharing 研究常著重分割或共置機制，較少將 MPS 配額需求納入 Slurm 排程流程 [3][6][7][8]。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3. 固定規則對工作到達、佇列長度及負載變化的適應能力有限。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4. 部分強化學習排程器只在模擬環境評估，或以 Kubernetes 為排程主體；在異質 GPU、MPS 與真實 Slurm 流程上的實證較少 [9][10][11]。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本研究的具體問題是：在兩張不同型號 GPU 的小型 Slurm 叢集中，學習式策略能否在 MPS 配額限制下改善工作完成時間？此效益是否取決於策略控制 GPU placement 或工作排序，以及負載是否形成足夠的待排佇列？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1.3 研究目標與貢獻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本研究的目標是建構一個可與 Slurm 工作流程互動的學習式 GPU 排程原型，並以模擬與真實 CUDA 工作負載分別檢驗策略介面、排程順序控制與效能邊界。根據目前實作及實驗，貢獻限定為：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1. 在模擬策略介面中，將待排工作選擇與異質 GPU 放置建模為聯合離散動作；工作所需 MPS quota 作為輸入與可行性限制，而非策略直接選出的 quota。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2. 實作 Slurm 策略服務及失效回退原型，並以外部評估程式透過 Slurm 優先權更新，在真實 CUDA 工作流中比較動態重排策略與 FCFS、Backfill 及多種 DRL 策略。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3. 以三個 Poisson 到達負載、每負載 10 個 seeds 的實機評估，量測平均 JCT 與 P99，並另以 placement-only 消融及靜態／動態優先權對照界定結果適用範圍。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本研究不主張已證明大型叢集部署能力、GPU utilization 提升，或 DRL 動態選擇 MPS fraction 的效益；這些項目沒有由本文主要實機結果直接支持。</ns0:t>
      </ns0:r>
    </ns0:p>
    <ns0:p>
      <ns0:r>
        <ns0:br ns0:type="page"/>
      </ns0:r>
    </ns0:p>
    <ns0:p>
      <ns0:pPr>
        <ns0:spacing ns0:before="0" ns0:after="130" ns0:line="330" ns0:lineRule="auto"/>
        <ns0:widowControl/>
        <ns0:keepNext/>
        <ns0:outlineLvl ns0:val="0"/>
      </ns0:pPr>
      <ns0:r>
        <ns0:rPr>
          <ns0:rFonts ns0:ascii="Microsoft JhengHei" ns0:hAnsi="Microsoft JhengHei" ns0:eastAsia="Microsoft JhengHei" ns0:cs="Microsoft JhengHei"/>
          <ns0:sz ns0:val="34"/>
          <ns0:szCs ns0:val="34"/>
          <ns0:b/>
          <ns0:color ns0:val="1F4E78"/>
        </ns0:rPr>
        <ns0:t xml:space="preserve">第二章 相關研究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2.1 GPU sharing 與 partitioning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NVIDIA MPS 支援多個 CUDA process 共享 GPU 運算資源，MIG 則提供硬體隔離的 GPU instance [3][6]。Spatio-temporal sharing 與階層式資源 partitioning 研究進一步探索工作共置、GPU 分割及動態配置 [7][8]。這些研究提供 GPU sharing 的機制基礎，但研究問題多集中在共置或 partition 本身，與批次排程器中的工作排序、節點選擇和失效回退並不相同。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2.2 GPU cluster scheduling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Gandiva 與 Tiresias 等系統研究深度學習工作在 GPU 叢集上的排程、工作遷移和 JCT [12][13]；大型 MLaaS 叢集分析則說明 GPU 型號、工作長度及佇列需求具有異質性 [2]。Slurm 的 FCFS、Backfill、GRES/TRES 等機制提供本研究的原生基準和資源管理平台 [4]。本研究不重新實作 Slurm 排程核心，而是在其外部探索學習式策略能否提供有用的排序訊號。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2.3 強化學習排程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Discrete SAC 將最大熵 actor-critic 方法延伸至離散動作空間 [14]；IQN 和分布式 SAC 研究則以回報分布支援風險敏感估計 [15][16][17]。RLPD 使用先驗資料與線上資料混合更新，以降低從零探索成本 [18]。其他資源排程研究涵蓋 CPU/GPU 工作派遣、Kubernetes 推論擴縮、共享 GPU 碎片整理及異質叢集排程 [9][10][11][19][20][21]。其工作負載、排程核心及評估尺度與本研究不同，不應直接以跨論文數字判定優劣。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2.4 定位比較</ns0:t>
      </ns0:r>
    </ns0:p>
    <ns0:tbl>
      <ns0:tblPr>
        <ns0:tblW ns0:w="8300" ns0:type="dxa"/>
        <ns0:tblLayout ns0:type="fixed"/>
        <ns0:tblBorders>
          <ns0:top ns0:val="single" ns0:sz="4" ns0:space="0" ns0:color="A6B6C8"/>
          <ns0:left ns0:val="single" ns0:sz="4" ns0:space="0" ns0:color="A6B6C8"/>
          <ns0:bottom ns0:val="single" ns0:sz="4" ns0:space="0" ns0:color="A6B6C8"/>
          <ns0:right ns0:val="single" ns0:sz="4" ns0:space="0" ns0:color="A6B6C8"/>
          <ns0:insideH ns0:val="single" ns0:sz="4" ns0:space="0" ns0:color="A6B6C8"/>
          <ns0:insideV ns0:val="single" ns0:sz="4" ns0:space="0" ns0:color="A6B6C8"/>
        </ns0:tblBorders>
        <ns0:tblCellMar>
          <ns0:top ns0:w="55" ns0:type="dxa"/>
          <ns0:left ns0:w="75" ns0:type="dxa"/>
          <ns0:bottom ns0:w="55" ns0:type="dxa"/>
          <ns0:right ns0:w="75" ns0:type="dxa"/>
        </ns0:tblCellMar>
      </ns0:tblPr>
      <ns0:tblGrid>
        <ns0:gridCol ns0:w="1660"/>
        <ns0:gridCol ns0:w="1660"/>
        <ns0:gridCol ns0:w="1660"/>
        <ns0:gridCol ns0:w="1660"/>
        <ns0:gridCol ns0:w="1660"/>
      </ns0:tblGrid>
      <ns0:tr>
        <ns0:trPr>
          <ns0:cantSplit/>
          <ns0:tblHeader/>
        </ns0:trPr>
        <ns0:tc>
          <ns0:tcPr>
            <ns0:tcW ns0:w="1660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  <ns0:b/>
                <ns0:color ns0:val="FFFFFF"/>
              </ns0:rPr>
              <ns0:t xml:space="preserve">研究類型</ns0:t>
            </ns0:r>
          </ns0:p>
        </ns0:tc>
        <ns0:tc>
          <ns0:tcPr>
            <ns0:tcW ns0:w="1660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  <ns0:b/>
                <ns0:color ns0:val="FFFFFF"/>
              </ns0:rPr>
              <ns0:t xml:space="preserve">異質 GPU</ns0:t>
            </ns0:r>
          </ns0:p>
        </ns0:tc>
        <ns0:tc>
          <ns0:tcPr>
            <ns0:tcW ns0:w="1660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  <ns0:b/>
                <ns0:color ns0:val="FFFFFF"/>
              </ns0:rPr>
              <ns0:t xml:space="preserve">MPS 配額</ns0:t>
            </ns0:r>
          </ns0:p>
        </ns0:tc>
        <ns0:tc>
          <ns0:tcPr>
            <ns0:tcW ns0:w="1660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  <ns0:b/>
                <ns0:color ns0:val="FFFFFF"/>
              </ns0:rPr>
              <ns0:t xml:space="preserve">真實 Slurm</ns0:t>
            </ns0:r>
          </ns0:p>
        </ns0:tc>
        <ns0:tc>
          <ns0:tcPr>
            <ns0:tcW ns0:w="1660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  <ns0:b/>
                <ns0:color ns0:val="FFFFFF"/>
              </ns0:rPr>
              <ns0:t xml:space="preserve">本研究的差異或限制</ns0:t>
            </ns0:r>
          </ns0:p>
        </ns0:tc>
      </ns0:tr>
      <ns0:tr>
        <ns0:trPr>
          <ns0:cantSplit/>
        </ns0:trPr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FCFS／Backfill [4]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部分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由資源設定限制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是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固定規則基準</ns0:t>
            </ns0:r>
          </ns0:p>
        </ns0:tc>
      </ns0:tr>
      <ns0:tr>
        <ns0:trPr>
          <ns0:cantSplit/>
        </ns0:trPr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GPU sharing／partition [3][6][7][8]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部分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多聚焦裝置分割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否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不以 Slurm 佇列排序為主題</ns0:t>
            </ns0:r>
          </ns0:p>
        </ns0:tc>
      </ns0:tr>
      <ns0:tr>
        <ns0:trPr>
          <ns0:cantSplit/>
        </ns0:trPr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RL scheduler 模擬研究 [9][10]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部分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少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否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評估環境與真實 Slurm 不同</ns0:t>
            </ns0:r>
          </ns0:p>
        </ns0:tc>
      </ns0:tr>
      <ns0:tr>
        <ns0:trPr>
          <ns0:cantSplit/>
        </ns0:trPr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GPU defragmentation RL [11]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是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部分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否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著重碎片整理與 Kubernetes 測試床</ns0:t>
            </ns0:r>
          </ns0:p>
        </ns0:tc>
      </ns0:tr>
      <ns0:tr>
        <ns0:trPr>
          <ns0:cantSplit/>
        </ns0:trPr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本研究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是，2 張 GPU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作為工作需求／可行性限制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是，外部評估 harness</ns0:t>
            </ns0:r>
          </ns0:p>
        </ns0:tc>
        <ns0:tc>
          <ns0:tcPr>
            <ns0:tcW ns0:w="166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主實機結果隔離排序，不驗證 DRL placement 的效益</ns0:t>
            </ns0:r>
          </ns0:p>
        </ns0:tc>
      </ns0:tr>
    </ns0:tbl>
    <ns0:p>
      <ns0:r>
        <ns0:br ns0:type="page"/>
      </ns0:r>
    </ns0:p>
    <ns0:p>
      <ns0:pPr>
        <ns0:spacing ns0:before="0" ns0:after="130" ns0:line="330" ns0:lineRule="auto"/>
        <ns0:widowControl/>
        <ns0:keepNext/>
        <ns0:outlineLvl ns0:val="0"/>
      </ns0:pPr>
      <ns0:r>
        <ns0:rPr>
          <ns0:rFonts ns0:ascii="Microsoft JhengHei" ns0:hAnsi="Microsoft JhengHei" ns0:eastAsia="Microsoft JhengHei" ns0:cs="Microsoft JhengHei"/>
          <ns0:sz ns0:val="34"/>
          <ns0:szCs ns0:val="34"/>
          <ns0:b/>
          <ns0:color ns0:val="1F4E78"/>
        </ns0:rPr>
        <ns0:t xml:space="preserve">第三章 系統架構與問題定義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3.1 系統概觀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平台由 Slurm controller、GPU worker、DRL policy service、監測與評估工具組成。Slurm 負責工作提交、佇列、資源核配及實際派工；k3s 僅管理 controller、worker 與服務容器的部署及生命週期 [5][22]。Slurm 工作透過 GRES/TRES 與 MPS 設定取得 GPU quota [3][4]。策略服務接收工作及節點狀態，回傳策略建議；實機主實驗則由評估 harness 週期性更新 pending jobs 的 Slurm Priority，讓 Slurm Backfill 在內部排程路徑派工。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本研究的 real-machine ordering 結果是由 `eval/scripts/scontrol_ab.py` 和 `eval/scripts/run_step3_prio.sh` 驅動，而不是 Helm chart 中的常駐 production reorder Deployment。`services/rl_scheduler/reorder_daemon.py` 包含可測試的排序迴圈，但其程式註記指出正式環境仍需接上 Slurm state/priority I/O 並部署成常駐服務。因此，本文將結果稱為「真實 Slurm 評估」或「評估 harness 驗證」，不稱為已上線的正式生產服務。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3.2 狀態與觀測空間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2 個節點各配置 1 張 GPU、佇列觀察上限 K=16。依目前 policy service 的 feature builder，觀測維度為 168：16 個工作槽位各 9 維（144）、2 個 GPU 槽位各 7 維（14）、topology 4 維及全域佇列 6 維。工作欄位含 MPS request、GPU 型號、估計 runtime、等待時間、RAM 需求、SLO urgency 及 inference 標記；GPU 欄位含 free-MPS ratio、VRAM proxy、running job 數、free host-RAM ratio 與 GPU 型號。其他欄位表示 RAM/工作組成、佇列長度、runtime spread、負載分散度和時間特徵。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上述是實作中的觀測欄位，不包含論文草稿曾列出的實際 GPU utilization、SM utilization、實際 VRAM 使用量、近期 JCT 歷史或到達率特徵。device-level 監控雖存在，但不能視為已送入 policy 的 per-job 狀態；報告及論文不應將未輸入模型的量測值列為 agent state。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3.3 動作與 MPS quota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模擬及 `/act` 介面對每個佇列工作和 GPU placement 組合建立離散動作，並加入 no-op。當 K=16、2 個 placement 時，動作數為 16×2+1=33。Action mask 會遮蔽 free MPS 不足以容納該工作 request 的組合。工作可請求 25%、50%、75% 或 100% MPS quota；quota 來自工作要求或實驗配置，由 Slurm/GRES/MPS 路徑落實。策略動作選擇工作及放置位置，並不直接選擇上述 MPS 百分比。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主要真實實驗另採 ordering actuation：policy 反覆從當前 pending 集合選出下一個工作，評估 harness 將所產生的順序映射到 Slurm Priority，Slurm 再決定實際 dispatch 時機及 placement。這個實驗主要識別排序效果，不是 33 動作中的完整聯合工作選擇與 placement 效果；不可把模擬介面與實機主結果混為同一項驗證。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3.4 Reward 與學習目標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模擬中的主要 checkpoint 採 JCT 完成項、凸性長 JCT 懲罰及等待／節點負載差異的 potential shaping；訓練設定包含固定 entropy temperature、discount factor 與 prioritized replay。其目標是改善 JCT 並抑制極端等待，但 shaping 不等同於已量測的 GPU utilization 提升。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RLPD 評估臂使用真實 Slurm transition 與模擬資料離線微調，且其 `jct_aligned` reward 定義為 `-JCT/1000`，和其他學習臂的 JCT 加公平性 shaping 不完全相同。這是已知的實驗差異，故跨臂比較可說明「各個訓練設定下的策略效能」，不能單獨歸因為演算法家族的因果差異。</ns0:t>
      </ns0:r>
    </ns0:p>
    <ns0:p>
      <ns0:r>
        <ns0:br ns0:type="page"/>
      </ns0:r>
    </ns0:p>
    <ns0:p>
      <ns0:pPr>
        <ns0:spacing ns0:before="0" ns0:after="130" ns0:line="330" ns0:lineRule="auto"/>
        <ns0:widowControl/>
        <ns0:keepNext/>
        <ns0:outlineLvl ns0:val="0"/>
      </ns0:pPr>
      <ns0:r>
        <ns0:rPr>
          <ns0:rFonts ns0:ascii="Microsoft JhengHei" ns0:hAnsi="Microsoft JhengHei" ns0:eastAsia="Microsoft JhengHei" ns0:cs="Microsoft JhengHei"/>
          <ns0:sz ns0:val="34"/>
          <ns0:szCs ns0:val="34"/>
          <ns0:b/>
          <ns0:color ns0:val="1F4E78"/>
        </ns0:rPr>
        <ns0:t xml:space="preserve">第四章 排程器設計與實作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4.1 DRL 策略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本研究比較 Discrete SAC、RDSAC-mean、RDSAC-cvar 與 RLPD。SAC 使用離散 categorical policy；RDSAC 使用 IQN critic 表示回報分布，mean 版本採風險中立目標，cvar 版本以 CVaR 聚焦回報尾端 [14][15][16]。RLPD 使用模擬先驗及真實 transition 混合的離線更新 [18]。各方法共用基本網路與最佳化設定，但 RLPD reward 有前述差異，且訓練 checkpoint 依 campaign 分別保存。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4.2 Slurm 排程路徑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評估有兩種不同的真實機路徑。placement-only 路徑於提交前呼叫 `/act`，再透過 `sbatch -w` 指定節點，工作順序仍由 Slurm 控制。held-job `required_nodes` REST 控制路徑在早期測試環境未能有效套用，未納入主要效能結果。動態 priority 路徑讓一般 pending 工作保持 unheld，由 harness 週期性重新評分並執行 `scontrol update`；Slurm 自身 Backfill 排程器維持正常派工。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主結果中的 Backfill 組態明確使用 `PriorityMaxAge=5 min`。因此應稱為「本實驗設定下的 Slurm Backfill」，而非不加條件地代表所有 Slurm production default。FCFS 對照使用 `sched/builtin` 與 `priority/basic`。策略服務失敗時，評估路徑採回退／保留原生 Slurm 排程的設計；但長時間正式服務的營運可靠度尚未經 production Deployment 驗證。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4.3 部署及監控原型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Helm/k3s 部署包含 Slurm 與 scheduler 相關服務；GUI 是獨立的無依賴前端原型，其內建 server 回傳合成 job 資料。GUI 可顯示 API 提供的 job 狀態、node/GPU、MPS request/allocation 與明確回傳的 per-job resource usage；目前沒有接上正式 API adapter，也不會從 device-level DCGM 數據推算單一 job 的 SM 使用量。因此 GUI 應視為展示原型，而不是已完成的即時生產監控介面。</ns0:t>
      </ns0:r>
    </ns0:p>
    <ns0:p>
      <ns0:r>
        <ns0:br ns0:type="page"/>
      </ns0:r>
    </ns0:p>
    <ns0:p>
      <ns0:pPr>
        <ns0:spacing ns0:before="0" ns0:after="130" ns0:line="330" ns0:lineRule="auto"/>
        <ns0:widowControl/>
        <ns0:keepNext/>
        <ns0:outlineLvl ns0:val="0"/>
      </ns0:pPr>
      <ns0:r>
        <ns0:rPr>
          <ns0:rFonts ns0:ascii="Microsoft JhengHei" ns0:hAnsi="Microsoft JhengHei" ns0:eastAsia="Microsoft JhengHei" ns0:cs="Microsoft JhengHei"/>
          <ns0:sz ns0:val="34"/>
          <ns0:szCs ns0:val="34"/>
          <ns0:b/>
          <ns0:color ns0:val="1F4E78"/>
        </ns0:rPr>
        <ns0:t xml:space="preserve">第五章 實驗設計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5.1 實機環境</ns0:t>
      </ns0:r>
    </ns0:p>
    <ns0:tbl>
      <ns0:tblPr>
        <ns0:tblW ns0:w="8300" ns0:type="dxa"/>
        <ns0:tblLayout ns0:type="fixed"/>
        <ns0:tblBorders>
          <ns0:top ns0:val="single" ns0:sz="4" ns0:space="0" ns0:color="A6B6C8"/>
          <ns0:left ns0:val="single" ns0:sz="4" ns0:space="0" ns0:color="A6B6C8"/>
          <ns0:bottom ns0:val="single" ns0:sz="4" ns0:space="0" ns0:color="A6B6C8"/>
          <ns0:right ns0:val="single" ns0:sz="4" ns0:space="0" ns0:color="A6B6C8"/>
          <ns0:insideH ns0:val="single" ns0:sz="4" ns0:space="0" ns0:color="A6B6C8"/>
          <ns0:insideV ns0:val="single" ns0:sz="4" ns0:space="0" ns0:color="A6B6C8"/>
        </ns0:tblBorders>
        <ns0:tblCellMar>
          <ns0:top ns0:w="55" ns0:type="dxa"/>
          <ns0:left ns0:w="75" ns0:type="dxa"/>
          <ns0:bottom ns0:w="55" ns0:type="dxa"/>
          <ns0:right ns0:w="75" ns0:type="dxa"/>
        </ns0:tblCellMar>
      </ns0:tblPr>
      <ns0:tblGrid>
        <ns0:gridCol ns0:w="4150"/>
        <ns0:gridCol ns0:w="4150"/>
      </ns0:tblGrid>
      <ns0:tr>
        <ns0:trPr>
          <ns0:cantSplit/>
          <ns0:tblHeader/>
        </ns0:trPr>
        <ns0:tc>
          <ns0:tcPr>
            <ns0:tcW ns0:w="4150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  <ns0:b/>
                <ns0:color ns0:val="FFFFFF"/>
              </ns0:rPr>
              <ns0:t xml:space="preserve">項目</ns0:t>
            </ns0:r>
          </ns0:p>
        </ns0:tc>
        <ns0:tc>
          <ns0:tcPr>
            <ns0:tcW ns0:w="4150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  <ns0:b/>
                <ns0:color ns0:val="FFFFFF"/>
              </ns0:rPr>
              <ns0:t xml:space="preserve">實驗設定</ns0:t>
            </ns0:r>
          </ns0:p>
        </ns0:tc>
      </ns0:tr>
      <ns0:tr>
        <ns0:trPr>
          <ns0:cantSplit/>
        </ns0:trPr>
        <ns0:tc>
          <ns0:tcPr>
            <ns0:tcW ns0:w="415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GPU 節點 1</ns0:t>
            </ns0:r>
          </ns0:p>
        </ns0:tc>
        <ns0:tc>
          <ns0:tcPr>
            <ns0:tcW ns0:w="415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Intel Core i7-10700、64 GB RAM、NVIDIA RTX 4070</ns0:t>
            </ns0:r>
          </ns0:p>
        </ns0:tc>
      </ns0:tr>
      <ns0:tr>
        <ns0:trPr>
          <ns0:cantSplit/>
        </ns0:trPr>
        <ns0:tc>
          <ns0:tcPr>
            <ns0:tcW ns0:w="415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GPU 節點 2</ns0:t>
            </ns0:r>
          </ns0:p>
        </ns0:tc>
        <ns0:tc>
          <ns0:tcPr>
            <ns0:tcW ns0:w="415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Intel Core i7-9700、8 GB RAM、NVIDIA RTX 3080</ns0:t>
            </ns0:r>
          </ns0:p>
        </ns0:tc>
      </ns0:tr>
      <ns0:tr>
        <ns0:trPr>
          <ns0:cantSplit/>
        </ns0:trPr>
        <ns0:tc>
          <ns0:tcPr>
            <ns0:tcW ns0:w="415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作業系統</ns0:t>
            </ns0:r>
          </ns0:p>
        </ns0:tc>
        <ns0:tc>
          <ns0:tcPr>
            <ns0:tcW ns0:w="415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Ubuntu 24.04 LTS</ns0:t>
            </ns0:r>
          </ns0:p>
        </ns0:tc>
      </ns0:tr>
      <ns0:tr>
        <ns0:trPr>
          <ns0:cantSplit/>
        </ns0:trPr>
        <ns0:tc>
          <ns0:tcPr>
            <ns0:tcW ns0:w="415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CUDA 軟體</ns0:t>
            </ns0:r>
          </ns0:p>
        </ns0:tc>
        <ns0:tc>
          <ns0:tcPr>
            <ns0:tcW ns0:w="415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NVIDIA driver 580.167.08、CUDA 13.0</ns0:t>
            </ns0:r>
          </ns0:p>
        </ns0:tc>
      </ns0:tr>
      <ns0:tr>
        <ns0:trPr>
          <ns0:cantSplit/>
        </ns0:trPr>
        <ns0:tc>
          <ns0:tcPr>
            <ns0:tcW ns0:w="415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容器部署</ns0:t>
            </ns0:r>
          </ns0:p>
        </ns0:tc>
        <ns0:tc>
          <ns0:tcPr>
            <ns0:tcW ns0:w="415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k3s 1.35.8；只負責部署和服務生命週期</ns0:t>
            </ns0:r>
          </ns0:p>
        </ns0:tc>
      </ns0:tr>
      <ns0:tr>
        <ns0:trPr>
          <ns0:cantSplit/>
        </ns0:trPr>
        <ns0:tc>
          <ns0:tcPr>
            <ns0:tcW ns0:w="415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GPU 宣告</ns0:t>
            </ns0:r>
          </ns0:p>
        </ns0:tc>
        <ns0:tc>
          <ns0:tcPr>
            <ns0:tcW ns0:w="415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Kubernetes DRA driver 0.4.1 [23]</ns0:t>
            </ns0:r>
          </ns0:p>
        </ns0:tc>
      </ns0:tr>
      <ns0:tr>
        <ns0:trPr>
          <ns0:cantSplit/>
        </ns0:trPr>
        <ns0:tc>
          <ns0:tcPr>
            <ns0:tcW ns0:w="415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Batch scheduler</ns0:t>
            </ns0:r>
          </ns0:p>
        </ns0:tc>
        <ns0:tc>
          <ns0:tcPr>
            <ns0:tcW ns0:w="415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Slurm 23.11.4、GRES/TRES、MPS [4]</ns0:t>
            </ns0:r>
          </ns0:p>
        </ns0:tc>
      </ns0:tr>
      <ns0:tr>
        <ns0:trPr>
          <ns0:cantSplit/>
        </ns0:trPr>
        <ns0:tc>
          <ns0:tcPr>
            <ns0:tcW ns0:w="415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MPS request</ns0:t>
            </ns0:r>
          </ns0:p>
        </ns0:tc>
        <ns0:tc>
          <ns0:tcPr>
            <ns0:tcW ns0:w="4150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8"/>
                <ns0:szCs ns0:val="18"/>
              </ns0:rPr>
              <ns0:t xml:space="preserve">25%、50%、75%、100%</ns0:t>
            </ns0:r>
          </ns0:p>
        </ns0:tc>
      </ns0:tr>
    </ns0:tbl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此平台只有兩個不同型號 GPU，屬小型實機 proof-of-concept，不代表多節點、大型或生產叢集的可擴展性。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5.2 工作負載與負載控制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最終 priority-reorder 評估採 trace-derived 的 AiMix 工作類別比例，以真實 CUDA 程式執行 BERT inference、ResNet training、Qwen fine-tuning 及 cuBLAS，工作數比例為 30%、30%、30%、10%。Alibaba GPU Trace 及 Microsoft Philly Trace 用於參考 workload 統計與模擬／訓練設計 [1][2]；最終實機測試是 150 jobs 的合成 Poisson 到達序列，不是直接重放原始 Alibaba 或 Philly trace。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每個 seed 產生 150 jobs，runtime 上限設定為 20 秒，使用 seeds 42–51。Poisson 平均到達間隔為 mean(runtime)/oversub，分別測試 oversub=2、4、6，代表不同到達壓力與 backlog。不同 arm 以相同 seed 的 workload 配對比較。主表中的 Backfill 為 Slurm `sched/backfill`，`PriorityMaxAge=5 min`。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5.3 基準方法及評估指標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基準包含 FCFS、Slurm Backfill、SAC、RDSAC-mean、RDSAC-cvar 及 RLPD。主要指標是每個 seed 的平均 JCT、P50/P95/P99 JCT；統計單位為 seed，n=10，而非把每個 job 當成獨立樣本。相對 Backfill 的差異以同 seed 配對；以雙尾 Wilcoxon signed-rank 檢定，報告 95% CI 和每 seed 的 P99 勝負計數。n=10 下 p=0.002 是可達的最小雙尾 Wilcoxon p 值；每個負載點進行多 arm 比較時，論文列出 Holm-Bonferroni 後仍顯著的結果。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最終主結果沒有報告 energy、GPU utilization、SM utilization 或 MPS utilization 的跨策略量化比較，因此本報告不對這些指標宣稱改善。每 seed 只有 150 jobs，P99 由少數最慢工作決定，須將其視為有限樣本尾端估計。</ns0:t>
      </ns0:r>
    </ns0:p>
    <ns0:p>
      <ns0:r>
        <ns0:br ns0:type="page"/>
      </ns0:r>
    </ns0:p>
    <ns0:p>
      <ns0:pPr>
        <ns0:spacing ns0:before="0" ns0:after="130" ns0:line="330" ns0:lineRule="auto"/>
        <ns0:widowControl/>
        <ns0:keepNext/>
        <ns0:outlineLvl ns0:val="0"/>
      </ns0:pPr>
      <ns0:r>
        <ns0:rPr>
          <ns0:rFonts ns0:ascii="Microsoft JhengHei" ns0:hAnsi="Microsoft JhengHei" ns0:eastAsia="Microsoft JhengHei" ns0:cs="Microsoft JhengHei"/>
          <ns0:sz ns0:val="34"/>
          <ns0:szCs ns0:val="34"/>
          <ns0:b/>
          <ns0:color ns0:val="1F4E78"/>
        </ns0:rPr>
        <ns0:t xml:space="preserve">第六章 實驗結果與分析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6.1 動態優先權重排：三點負載結果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下列表格呈現各 seed 指標再跨 seeds 的平均值與標準差。Δ 是各 seed 的 mean JCT 相對同 seed Backfill 的差；負值代表較短。P99 勝數表示該策略在幾個 seed 的 P99 低於 Backfill。</ns0:t>
      </ns0:r>
    </ns0:p>
    <ns0:p>
      <ns0:pPr>
        <ns0:spacing ns0:before="180" ns0:after="130" ns0:line="330" ns0:lineRule="auto"/>
        <ns0:widowControl/>
        <ns0:keepNext/>
        <ns0:outlineLvl ns0:val="2"/>
      </ns0:pPr>
      <ns0:r>
        <ns0:rPr>
          <ns0:rFonts ns0:ascii="Microsoft JhengHei" ns0:hAnsi="Microsoft JhengHei" ns0:eastAsia="Microsoft JhengHei" ns0:cs="Microsoft JhengHei"/>
          <ns0:sz ns0:val="24"/>
          <ns0:szCs ns0:val="24"/>
          <ns0:b/>
          <ns0:color ns0:val="1F4E78"/>
        </ns0:rPr>
        <ns0:t xml:space="preserve">oversub=6（深負載）</ns0:t>
      </ns0:r>
    </ns0:p>
    <ns0:tbl>
      <ns0:tblPr>
        <ns0:tblW ns0:w="8300" ns0:type="dxa"/>
        <ns0:tblLayout ns0:type="fixed"/>
        <ns0:tblBorders>
          <ns0:top ns0:val="single" ns0:sz="4" ns0:space="0" ns0:color="A6B6C8"/>
          <ns0:left ns0:val="single" ns0:sz="4" ns0:space="0" ns0:color="A6B6C8"/>
          <ns0:bottom ns0:val="single" ns0:sz="4" ns0:space="0" ns0:color="A6B6C8"/>
          <ns0:right ns0:val="single" ns0:sz="4" ns0:space="0" ns0:color="A6B6C8"/>
          <ns0:insideH ns0:val="single" ns0:sz="4" ns0:space="0" ns0:color="A6B6C8"/>
          <ns0:insideV ns0:val="single" ns0:sz="4" ns0:space="0" ns0:color="A6B6C8"/>
        </ns0:tblBorders>
        <ns0:tblCellMar>
          <ns0:top ns0:w="55" ns0:type="dxa"/>
          <ns0:left ns0:w="75" ns0:type="dxa"/>
          <ns0:bottom ns0:w="55" ns0:type="dxa"/>
          <ns0:right ns0:w="75" ns0:type="dxa"/>
        </ns0:tblCellMar>
      </ns0:tblPr>
      <ns0:tblGrid>
        <ns0:gridCol ns0:w="1383"/>
        <ns0:gridCol ns0:w="1383"/>
        <ns0:gridCol ns0:w="1383"/>
        <ns0:gridCol ns0:w="1383"/>
        <ns0:gridCol ns0:w="1383"/>
        <ns0:gridCol ns0:w="1385"/>
      </ns0:tblGrid>
      <ns0:tr>
        <ns0:trPr>
          <ns0:cantSplit/>
          <ns0:tblHeader/>
        </ns0:trPr>
        <ns0:tc>
          <ns0:tcPr>
            <ns0:tcW ns0:w="1383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  <ns0:b/>
                <ns0:color ns0:val="FFFFFF"/>
              </ns0:rPr>
              <ns0:t xml:space="preserve">策略</ns0:t>
            </ns0:r>
          </ns0:p>
        </ns0:tc>
        <ns0:tc>
          <ns0:tcPr>
            <ns0:tcW ns0:w="1383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  <ns0:b/>
                <ns0:color ns0:val="FFFFFF"/>
              </ns0:rPr>
              <ns0:t xml:space="preserve">平均 JCT (s)</ns0:t>
            </ns0:r>
          </ns0:p>
        </ns0:tc>
        <ns0:tc>
          <ns0:tcPr>
            <ns0:tcW ns0:w="1383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  <ns0:b/>
                <ns0:color ns0:val="FFFFFF"/>
              </ns0:rPr>
              <ns0:t xml:space="preserve">P99 JCT (s)</ns0:t>
            </ns0:r>
          </ns0:p>
        </ns0:tc>
        <ns0:tc>
          <ns0:tcPr>
            <ns0:tcW ns0:w="1383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  <ns0:b/>
                <ns0:color ns0:val="FFFFFF"/>
              </ns0:rPr>
              <ns0:t xml:space="preserve">Δ mean JCT (%)</ns0:t>
            </ns0:r>
          </ns0:p>
        </ns0:tc>
        <ns0:tc>
          <ns0:tcPr>
            <ns0:tcW ns0:w="1383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  <ns0:b/>
                <ns0:color ns0:val="FFFFFF"/>
              </ns0:rPr>
              <ns0:t xml:space="preserve">p</ns0:t>
            </ns0:r>
          </ns0:p>
        </ns0:tc>
        <ns0:tc>
          <ns0:tcPr>
            <ns0:tcW ns0:w="1385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  <ns0:b/>
                <ns0:color ns0:val="FFFFFF"/>
              </ns0:rPr>
              <ns0:t xml:space="preserve">P99 勝數</ns0:t>
            </ns0:r>
          </ns0:p>
        </ns0:tc>
      </ns0:tr>
      <ns0:tr>
        <ns0:trPr>
          <ns0:cantSplit/>
        </ns0:trPr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FCFS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352.1 ± 21.8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675.7 ± 27.9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+14.9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0.002</ns0:t>
            </ns0:r>
          </ns0:p>
        </ns0:tc>
        <ns0:tc>
          <ns0:tcPr>
            <ns0:tcW ns0:w="1385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10/10</ns0:t>
            </ns0:r>
          </ns0:p>
        </ns0:tc>
      </ns0:tr>
      <ns0:tr>
        <ns0:trPr>
          <ns0:cantSplit/>
        </ns0:trPr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Backfill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306.7 ± 12.7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750.1 ± 21.4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—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—</ns0:t>
            </ns0:r>
          </ns0:p>
        </ns0:tc>
        <ns0:tc>
          <ns0:tcPr>
            <ns0:tcW ns0:w="1385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—</ns0:t>
            </ns0:r>
          </ns0:p>
        </ns0:tc>
      </ns0:tr>
      <ns0:tr>
        <ns0:trPr>
          <ns0:cantSplit/>
        </ns0:trPr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SAC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270.0 ± 17.7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583.2 ± 25.2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−12.0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0.002</ns0:t>
            </ns0:r>
          </ns0:p>
        </ns0:tc>
        <ns0:tc>
          <ns0:tcPr>
            <ns0:tcW ns0:w="1385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10/10</ns0:t>
            </ns0:r>
          </ns0:p>
        </ns0:tc>
      </ns0:tr>
      <ns0:tr>
        <ns0:trPr>
          <ns0:cantSplit/>
        </ns0:trPr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RDSAC-mean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269.9 ± 16.6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590.5 ± 30.7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−11.9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0.002</ns0:t>
            </ns0:r>
          </ns0:p>
        </ns0:tc>
        <ns0:tc>
          <ns0:tcPr>
            <ns0:tcW ns0:w="1385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10/10</ns0:t>
            </ns0:r>
          </ns0:p>
        </ns0:tc>
      </ns0:tr>
      <ns0:tr>
        <ns0:trPr>
          <ns0:cantSplit/>
        </ns0:trPr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RDSAC-cvar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277.1 ± 27.3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607.5 ± 57.7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−9.7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0.006</ns0:t>
            </ns0:r>
          </ns0:p>
        </ns0:tc>
        <ns0:tc>
          <ns0:tcPr>
            <ns0:tcW ns0:w="1385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10/10</ns0:t>
            </ns0:r>
          </ns0:p>
        </ns0:tc>
      </ns0:tr>
      <ns0:tr>
        <ns0:trPr>
          <ns0:cantSplit/>
        </ns0:trPr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RLPD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269.6 ± 17.9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585.9 ± 28.8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−12.1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0.002</ns0:t>
            </ns0:r>
          </ns0:p>
        </ns0:tc>
        <ns0:tc>
          <ns0:tcPr>
            <ns0:tcW ns0:w="1385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10/10</ns0:t>
            </ns0:r>
          </ns0:p>
        </ns0:tc>
      </ns0:tr>
    </ns0:tbl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深負載時，四個學習策略的平均 JCT 相較 Backfill 低 9.7%–12.1%，每臂 P99 在 10 個 seeds 均低於 Backfill。P99 絕對值約低 19%–22%。此證據支持「在本 workload 與負載設定中，學習式排序可改善 JCT」，不證明排序是唯一機制，也不代表 placement 效果。</ns0:t>
      </ns0:r>
    </ns0:p>
    <ns0:p>
      <ns0:pPr>
        <ns0:spacing ns0:before="180" ns0:after="130" ns0:line="330" ns0:lineRule="auto"/>
        <ns0:widowControl/>
        <ns0:keepNext/>
        <ns0:outlineLvl ns0:val="2"/>
      </ns0:pPr>
      <ns0:r>
        <ns0:rPr>
          <ns0:rFonts ns0:ascii="Microsoft JhengHei" ns0:hAnsi="Microsoft JhengHei" ns0:eastAsia="Microsoft JhengHei" ns0:cs="Microsoft JhengHei"/>
          <ns0:sz ns0:val="24"/>
          <ns0:szCs ns0:val="24"/>
          <ns0:b/>
          <ns0:color ns0:val="1F4E78"/>
        </ns0:rPr>
        <ns0:t xml:space="preserve">oversub=4（中負載）</ns0:t>
      </ns0:r>
    </ns0:p>
    <ns0:tbl>
      <ns0:tblPr>
        <ns0:tblW ns0:w="8300" ns0:type="dxa"/>
        <ns0:tblLayout ns0:type="fixed"/>
        <ns0:tblBorders>
          <ns0:top ns0:val="single" ns0:sz="4" ns0:space="0" ns0:color="A6B6C8"/>
          <ns0:left ns0:val="single" ns0:sz="4" ns0:space="0" ns0:color="A6B6C8"/>
          <ns0:bottom ns0:val="single" ns0:sz="4" ns0:space="0" ns0:color="A6B6C8"/>
          <ns0:right ns0:val="single" ns0:sz="4" ns0:space="0" ns0:color="A6B6C8"/>
          <ns0:insideH ns0:val="single" ns0:sz="4" ns0:space="0" ns0:color="A6B6C8"/>
          <ns0:insideV ns0:val="single" ns0:sz="4" ns0:space="0" ns0:color="A6B6C8"/>
        </ns0:tblBorders>
        <ns0:tblCellMar>
          <ns0:top ns0:w="55" ns0:type="dxa"/>
          <ns0:left ns0:w="75" ns0:type="dxa"/>
          <ns0:bottom ns0:w="55" ns0:type="dxa"/>
          <ns0:right ns0:w="75" ns0:type="dxa"/>
        </ns0:tblCellMar>
      </ns0:tblPr>
      <ns0:tblGrid>
        <ns0:gridCol ns0:w="1383"/>
        <ns0:gridCol ns0:w="1383"/>
        <ns0:gridCol ns0:w="1383"/>
        <ns0:gridCol ns0:w="1383"/>
        <ns0:gridCol ns0:w="1383"/>
        <ns0:gridCol ns0:w="1385"/>
      </ns0:tblGrid>
      <ns0:tr>
        <ns0:trPr>
          <ns0:cantSplit/>
          <ns0:tblHeader/>
        </ns0:trPr>
        <ns0:tc>
          <ns0:tcPr>
            <ns0:tcW ns0:w="1383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  <ns0:b/>
                <ns0:color ns0:val="FFFFFF"/>
              </ns0:rPr>
              <ns0:t xml:space="preserve">策略</ns0:t>
            </ns0:r>
          </ns0:p>
        </ns0:tc>
        <ns0:tc>
          <ns0:tcPr>
            <ns0:tcW ns0:w="1383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  <ns0:b/>
                <ns0:color ns0:val="FFFFFF"/>
              </ns0:rPr>
              <ns0:t xml:space="preserve">平均 JCT (s)</ns0:t>
            </ns0:r>
          </ns0:p>
        </ns0:tc>
        <ns0:tc>
          <ns0:tcPr>
            <ns0:tcW ns0:w="1383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  <ns0:b/>
                <ns0:color ns0:val="FFFFFF"/>
              </ns0:rPr>
              <ns0:t xml:space="preserve">P99 JCT (s)</ns0:t>
            </ns0:r>
          </ns0:p>
        </ns0:tc>
        <ns0:tc>
          <ns0:tcPr>
            <ns0:tcW ns0:w="1383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  <ns0:b/>
                <ns0:color ns0:val="FFFFFF"/>
              </ns0:rPr>
              <ns0:t xml:space="preserve">Δ mean JCT (%)</ns0:t>
            </ns0:r>
          </ns0:p>
        </ns0:tc>
        <ns0:tc>
          <ns0:tcPr>
            <ns0:tcW ns0:w="1383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  <ns0:b/>
                <ns0:color ns0:val="FFFFFF"/>
              </ns0:rPr>
              <ns0:t xml:space="preserve">p</ns0:t>
            </ns0:r>
          </ns0:p>
        </ns0:tc>
        <ns0:tc>
          <ns0:tcPr>
            <ns0:tcW ns0:w="1385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  <ns0:b/>
                <ns0:color ns0:val="FFFFFF"/>
              </ns0:rPr>
              <ns0:t xml:space="preserve">P99 勝數</ns0:t>
            </ns0:r>
          </ns0:p>
        </ns0:tc>
      </ns0:tr>
      <ns0:tr>
        <ns0:trPr>
          <ns0:cantSplit/>
        </ns0:trPr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FCFS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284.3 ± 20.2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541.3 ± 29.1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+7.8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0.002</ns0:t>
            </ns0:r>
          </ns0:p>
        </ns0:tc>
        <ns0:tc>
          <ns0:tcPr>
            <ns0:tcW ns0:w="1385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9/10</ns0:t>
            </ns0:r>
          </ns0:p>
        </ns0:tc>
      </ns0:tr>
      <ns0:tr>
        <ns0:trPr>
          <ns0:cantSplit/>
        </ns0:trPr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Backfill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264.0 ± 18.5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720.4 ± 81.4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—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—</ns0:t>
            </ns0:r>
          </ns0:p>
        </ns0:tc>
        <ns0:tc>
          <ns0:tcPr>
            <ns0:tcW ns0:w="1385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—</ns0:t>
            </ns0:r>
          </ns0:p>
        </ns0:tc>
      </ns0:tr>
      <ns0:tr>
        <ns0:trPr>
          <ns0:cantSplit/>
        </ns0:trPr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SAC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235.3 ± 20.5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507.6 ± 35.7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−10.9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0.002</ns0:t>
            </ns0:r>
          </ns0:p>
        </ns0:tc>
        <ns0:tc>
          <ns0:tcPr>
            <ns0:tcW ns0:w="1385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10/10</ns0:t>
            </ns0:r>
          </ns0:p>
        </ns0:tc>
      </ns0:tr>
      <ns0:tr>
        <ns0:trPr>
          <ns0:cantSplit/>
        </ns0:trPr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RDSAC-mean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234.2 ± 18.8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509.6 ± 29.0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−11.3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0.002</ns0:t>
            </ns0:r>
          </ns0:p>
        </ns0:tc>
        <ns0:tc>
          <ns0:tcPr>
            <ns0:tcW ns0:w="1385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10/10</ns0:t>
            </ns0:r>
          </ns0:p>
        </ns0:tc>
      </ns0:tr>
      <ns0:tr>
        <ns0:trPr>
          <ns0:cantSplit/>
        </ns0:trPr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RDSAC-cvar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235.5 ± 19.1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510.7 ± 34.4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−10.8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0.002</ns0:t>
            </ns0:r>
          </ns0:p>
        </ns0:tc>
        <ns0:tc>
          <ns0:tcPr>
            <ns0:tcW ns0:w="1385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10/10</ns0:t>
            </ns0:r>
          </ns0:p>
        </ns0:tc>
      </ns0:tr>
      <ns0:tr>
        <ns0:trPr>
          <ns0:cantSplit/>
        </ns0:trPr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RLPD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236.9 ± 18.1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513.9 ± 31.0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−10.3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0.002</ns0:t>
            </ns0:r>
          </ns0:p>
        </ns0:tc>
        <ns0:tc>
          <ns0:tcPr>
            <ns0:tcW ns0:w="1385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10/10</ns0:t>
            </ns0:r>
          </ns0:p>
        </ns0:tc>
      </ns0:tr>
    </ns0:tbl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中負載下，學習式策略的平均 JCT 低 10.3%–11.3%，P99 在所有 seeds 低於 Backfill。Backfill P99 的跨 seed 變異較大，結果也提醒讀者除平均差外需一併查看尾端和每 seed 分布。</ns0:t>
      </ns0:r>
    </ns0:p>
    <ns0:p>
      <ns0:pPr>
        <ns0:spacing ns0:before="180" ns0:after="130" ns0:line="330" ns0:lineRule="auto"/>
        <ns0:widowControl/>
        <ns0:keepNext/>
        <ns0:outlineLvl ns0:val="2"/>
      </ns0:pPr>
      <ns0:r>
        <ns0:rPr>
          <ns0:rFonts ns0:ascii="Microsoft JhengHei" ns0:hAnsi="Microsoft JhengHei" ns0:eastAsia="Microsoft JhengHei" ns0:cs="Microsoft JhengHei"/>
          <ns0:sz ns0:val="24"/>
          <ns0:szCs ns0:val="24"/>
          <ns0:b/>
          <ns0:color ns0:val="1F4E78"/>
        </ns0:rPr>
        <ns0:t xml:space="preserve">oversub=2（淺負載）</ns0:t>
      </ns0:r>
    </ns0:p>
    <ns0:tbl>
      <ns0:tblPr>
        <ns0:tblW ns0:w="8300" ns0:type="dxa"/>
        <ns0:tblLayout ns0:type="fixed"/>
        <ns0:tblBorders>
          <ns0:top ns0:val="single" ns0:sz="4" ns0:space="0" ns0:color="A6B6C8"/>
          <ns0:left ns0:val="single" ns0:sz="4" ns0:space="0" ns0:color="A6B6C8"/>
          <ns0:bottom ns0:val="single" ns0:sz="4" ns0:space="0" ns0:color="A6B6C8"/>
          <ns0:right ns0:val="single" ns0:sz="4" ns0:space="0" ns0:color="A6B6C8"/>
          <ns0:insideH ns0:val="single" ns0:sz="4" ns0:space="0" ns0:color="A6B6C8"/>
          <ns0:insideV ns0:val="single" ns0:sz="4" ns0:space="0" ns0:color="A6B6C8"/>
        </ns0:tblBorders>
        <ns0:tblCellMar>
          <ns0:top ns0:w="55" ns0:type="dxa"/>
          <ns0:left ns0:w="75" ns0:type="dxa"/>
          <ns0:bottom ns0:w="55" ns0:type="dxa"/>
          <ns0:right ns0:w="75" ns0:type="dxa"/>
        </ns0:tblCellMar>
      </ns0:tblPr>
      <ns0:tblGrid>
        <ns0:gridCol ns0:w="1383"/>
        <ns0:gridCol ns0:w="1383"/>
        <ns0:gridCol ns0:w="1383"/>
        <ns0:gridCol ns0:w="1383"/>
        <ns0:gridCol ns0:w="1383"/>
        <ns0:gridCol ns0:w="1385"/>
      </ns0:tblGrid>
      <ns0:tr>
        <ns0:trPr>
          <ns0:cantSplit/>
          <ns0:tblHeader/>
        </ns0:trPr>
        <ns0:tc>
          <ns0:tcPr>
            <ns0:tcW ns0:w="1383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  <ns0:b/>
                <ns0:color ns0:val="FFFFFF"/>
              </ns0:rPr>
              <ns0:t xml:space="preserve">策略</ns0:t>
            </ns0:r>
          </ns0:p>
        </ns0:tc>
        <ns0:tc>
          <ns0:tcPr>
            <ns0:tcW ns0:w="1383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  <ns0:b/>
                <ns0:color ns0:val="FFFFFF"/>
              </ns0:rPr>
              <ns0:t xml:space="preserve">平均 JCT (s)</ns0:t>
            </ns0:r>
          </ns0:p>
        </ns0:tc>
        <ns0:tc>
          <ns0:tcPr>
            <ns0:tcW ns0:w="1383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  <ns0:b/>
                <ns0:color ns0:val="FFFFFF"/>
              </ns0:rPr>
              <ns0:t xml:space="preserve">P99 JCT (s)</ns0:t>
            </ns0:r>
          </ns0:p>
        </ns0:tc>
        <ns0:tc>
          <ns0:tcPr>
            <ns0:tcW ns0:w="1383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  <ns0:b/>
                <ns0:color ns0:val="FFFFFF"/>
              </ns0:rPr>
              <ns0:t xml:space="preserve">Δ mean JCT (%)</ns0:t>
            </ns0:r>
          </ns0:p>
        </ns0:tc>
        <ns0:tc>
          <ns0:tcPr>
            <ns0:tcW ns0:w="1383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  <ns0:b/>
                <ns0:color ns0:val="FFFFFF"/>
              </ns0:rPr>
              <ns0:t xml:space="preserve">p</ns0:t>
            </ns0:r>
          </ns0:p>
        </ns0:tc>
        <ns0:tc>
          <ns0:tcPr>
            <ns0:tcW ns0:w="1385" ns0:type="dxa"/>
            <ns0:vAlign ns0:val="center"/>
            <ns0:shd ns0:fill="1F4E78" ns0:val="clear"/>
          </ns0:tcPr>
          <ns0:p>
            <ns0:pPr>
              <ns0:spacing ns0:before="0" ns0:after="0" ns0:line="240" ns0:lineRule="auto"/>
              <ns0:jc ns0:val="center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  <ns0:b/>
                <ns0:color ns0:val="FFFFFF"/>
              </ns0:rPr>
              <ns0:t xml:space="preserve">P99 勝數</ns0:t>
            </ns0:r>
          </ns0:p>
        </ns0:tc>
      </ns0:tr>
      <ns0:tr>
        <ns0:trPr>
          <ns0:cantSplit/>
        </ns0:trPr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FCFS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171.4 ± 28.9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313.9 ± 56.3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+17.7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0.002</ns0:t>
            </ns0:r>
          </ns0:p>
        </ns0:tc>
        <ns0:tc>
          <ns0:tcPr>
            <ns0:tcW ns0:w="1385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8/10</ns0:t>
            </ns0:r>
          </ns0:p>
        </ns0:tc>
      </ns0:tr>
      <ns0:tr>
        <ns0:trPr>
          <ns0:cantSplit/>
        </ns0:trPr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Backfill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145.8 ± 25.4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599.7 ± 184.8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—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—</ns0:t>
            </ns0:r>
          </ns0:p>
        </ns0:tc>
        <ns0:tc>
          <ns0:tcPr>
            <ns0:tcW ns0:w="1385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—</ns0:t>
            </ns0:r>
          </ns0:p>
        </ns0:tc>
      </ns0:tr>
      <ns0:tr>
        <ns0:trPr>
          <ns0:cantSplit/>
        </ns0:trPr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SAC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127.3 ± 22.9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269.7 ± 46.3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−12.7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0.002</ns0:t>
            </ns0:r>
          </ns0:p>
        </ns0:tc>
        <ns0:tc>
          <ns0:tcPr>
            <ns0:tcW ns0:w="1385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10/10</ns0:t>
            </ns0:r>
          </ns0:p>
        </ns0:tc>
      </ns0:tr>
      <ns0:tr>
        <ns0:trPr>
          <ns0:cantSplit/>
        </ns0:trPr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RDSAC-mean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125.7 ± 24.4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267.5 ± 50.4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−14.0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0.002</ns0:t>
            </ns0:r>
          </ns0:p>
        </ns0:tc>
        <ns0:tc>
          <ns0:tcPr>
            <ns0:tcW ns0:w="1385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10/10</ns0:t>
            </ns0:r>
          </ns0:p>
        </ns0:tc>
      </ns0:tr>
      <ns0:tr>
        <ns0:trPr>
          <ns0:cantSplit/>
        </ns0:trPr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RDSAC-cvar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124.7 ± 23.1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260.8 ± 47.2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−14.5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0.002</ns0:t>
            </ns0:r>
          </ns0:p>
        </ns0:tc>
        <ns0:tc>
          <ns0:tcPr>
            <ns0:tcW ns0:w="1385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10/10</ns0:t>
            </ns0:r>
          </ns0:p>
        </ns0:tc>
      </ns0:tr>
      <ns0:tr>
        <ns0:trPr>
          <ns0:cantSplit/>
        </ns0:trPr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RLPD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126.3 ± 23.3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267.9 ± 52.3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−13.4</ns0:t>
            </ns0:r>
          </ns0:p>
        </ns0:tc>
        <ns0:tc>
          <ns0:tcPr>
            <ns0:tcW ns0:w="1383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0.002</ns0:t>
            </ns0:r>
          </ns0:p>
        </ns0:tc>
        <ns0:tc>
          <ns0:tcPr>
            <ns0:tcW ns0:w="1385" ns0:type="dxa"/>
            <ns0:vAlign ns0:val="center"/>
          </ns0:tcPr>
          <ns0:p>
            <ns0:pPr>
              <ns0:spacing ns0:before="0" ns0:after="0" ns0:line="240" ns0:lineRule="auto"/>
              <ns0:jc ns0:val="left"/>
            </ns0:pPr>
            <ns0:r>
              <ns0:rPr>
                <ns0:rFonts ns0:ascii="Microsoft JhengHei" ns0:hAnsi="Microsoft JhengHei" ns0:eastAsia="Microsoft JhengHei" ns0:cs="Microsoft JhengHei"/>
                <ns0:sz ns0:val="17"/>
                <ns0:szCs ns0:val="17"/>
              </ns0:rPr>
              <ns0:t xml:space="preserve">10/10</ns0:t>
            </ns0:r>
          </ns0:p>
        </ns0:tc>
      </ns0:tr>
    </ns0:tbl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淺負載下學習式策略平均 JCT 低 12.7%–14.5%。依觀察到的 P50/P99 結構，較大的差異主要與 Backfill 少數長工作落入極端尾端相符；這是根據已觀察結果的機制解讀，並非單靠此 A/B 即能確認的因果結論。整體三點負載中，各臂實際改善範圍為 9.7%–14.5%；不宜以 11%–13% 概括所有 arm/load 組合。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6.2 動態與靜態優先權對照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同一批 seed 的對照評估 rdsac-cvar、oversub=2 與 6。動態方法週期性依現況更新 Priority；靜態方法只在開始時設定一次。結果顯示動態重排於淺負載平均 JCT 比靜態低 12.0%（p=0.002），深負載平均 JCT 接近（+0.6%，p=0.846）；兩負載 P99 分別低 11.0% 和 13.1%。這支持持續更新可能比一次性靜態排序更能維持尾端表現，但機制歸因仍應以「與觀察相符」表述。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6.3 Placement-only 消融與效益邊界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另一條實機路徑在提交前選擇節點並以 `sbatch -w` 綁定，但讓 Slurm 控制 job 順序。這條路徑未展現穩健的學習式優勢，且學習臂 P99 約 500–600 秒，重載案例可達約 640–668 秒，高於 Slurm-native 約 255–270 秒的量級。它與 6.1 的 priority-reorder campaign 在控制變因與派工路徑上不同，不應將數據合併成一張 A/B 表，也不能將 6.1 的 JCT 改善歸因於 DRL GPU placement。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6.4 模擬排序天花板與派遣行為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在固定 placement 的模擬排序上限分析中，最佳 ordering 相對 score baseline 的 headroom 隨工作數增加：40 jobs 約 0.1%，60 約 0.7%，80 約 2.0%，100 約 4.1%，125 約 10.3%，150 約 14.0%。這是搜尋估計的排序上限，不是 DRL 實測提升；實機結果僅表示在指定設定中學習策略捕捉到部分排序空間。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論文另以實際派遣順序分析其與 runtime、arrival 的相關性，觀察到排序具有隨負載改變的行為。相關性可用來描述已觀察的排程型態，不能單獨證明「避免飢餓」是效能改善的因果來源。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6.5 訓練曲線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以下收斂圖用於檢查訓練過程中的 reward 與 critic loss 是否維持有限，不用來判斷排程策略勝負；不同 critic loss 的數值尺度也不可直接互比。</ns0:t>
      </ns0:r>
    </ns0:p>
    <ns0:p>
      <ns0:pPr>
        <ns0:jc ns0:val="center"/>
        <ns0:spacing ns0:before="80" ns0:after="80"/>
      </ns0:pPr>
      <ns0:r>
        <ns0:drawing>
          <ns2:inline distT="0" distB="0" distL="0" distR="0">
            <ns2:extent cx="5500000" cy="1980000"/>
            <ns2:docPr id="1" name="Training convergence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training_convergence.png"/>
                    <ns4:cNvPicPr/>
                  </ns4:nvPicPr>
                  <ns4:blipFill>
                    <ns3:blip ns5:embed="rId19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500000" cy="1980000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ns2:inline>
        </ns0:drawing>
      </ns0:r>
    </ns0:p>
    <ns0:p>
      <ns0:r>
        <ns0:br ns0:type="page"/>
      </ns0:r>
    </ns0:p>
    <ns0:p>
      <ns0:pPr>
        <ns0:spacing ns0:before="0" ns0:after="130" ns0:line="330" ns0:lineRule="auto"/>
        <ns0:widowControl/>
        <ns0:keepNext/>
        <ns0:outlineLvl ns0:val="0"/>
      </ns0:pPr>
      <ns0:r>
        <ns0:rPr>
          <ns0:rFonts ns0:ascii="Microsoft JhengHei" ns0:hAnsi="Microsoft JhengHei" ns0:eastAsia="Microsoft JhengHei" ns0:cs="Microsoft JhengHei"/>
          <ns0:sz ns0:val="34"/>
          <ns0:szCs ns0:val="34"/>
          <ns0:b/>
          <ns0:color ns0:val="1F4E78"/>
        </ns0:rPr>
        <ns0:t xml:space="preserve">第七章 結論、限制與未來工作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7.1 結論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本研究建立異質 GPU 與 MPS 配額限制下的 Slurm 排程研究平台，並提出以離散 DRL policy 建模工作選擇和 GPU placement 的策略介面。主要實機效能證據來自真實 CUDA 工作與 Poisson 到達序列上的動態 Slurm Priority 重排：在兩張 RTX 4070／RTX 3080、單一 AiMix workload、三種 oversub 負載和每負載 10 seeds 的條件下，學習式策略相較設定過 PriorityMaxAge 的 Backfill，其平均 JCT 低 9.7%–14.5%，P99 的 seed-level 勝數亦支持本實驗中的改善。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結論的邊界同樣重要：主實機結果識別的是排序路徑，不是 GPU placement 或 MPS quota 最佳化；placement-only 消融沒有證明學習式方法具穩健效益；策略 daemon 的生產部署尚未整合進 Helm；現有結果也沒有量化 GPU/SM/MPS utilization 的跨策略改善。因此，本研究提供的是小型異質 GPU 叢集的研究原型與實機排序證據，不能宣稱已完成一般化的生產排程系統。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7.2 研究限制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1. 實體平台僅 2 張 GPU、2 個節點，無法評估較大叢集中的網路、排程競爭與擴展成本。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2. 最終實機 workload 為單一比例的 trace-derived AiMix，並非原始 trace 重播；未覆蓋更廣泛 LLM serving、長短工作混合和多租戶負載。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3. 每個 seed 僅 150 jobs、每負載 10 seeds。P99 的有限樣本估計尤其依賴少數尾端工作，需避免把結果外推成普遍尾端保證。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4. MPS fraction 是工作需求與容量限制，不是目前 DRL 的直接配置決策；主實機 priority-reorder 結果也沒有評估 placement 改善。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5. RLPD 的 `jct_aligned` reward 與其餘學習策略的 reward 不同，演算法間的純粹因果比較受此限制。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6. 成功的重排效能結果來自評估 harness。正式常駐 daemon 的 Slurm I/O、Helm Deployment、故障復原及長期運行尚未整合與驗證。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7. 主實驗 raw JSON 位於本機 `runs/`，目前由 Git 忽略；存檔與 run metadata 尚未形成乾淨 checkout 可直接重算的研究 artifact。執行 log 顯示 reorder arm，但腳本預設 ACTUATION 與實驗覆寫值未一併記錄，降低獨立重現性。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8. GUI API 使用 synthetic data；正式 Slurm API adapter 與 per-job GPU 使用率來源仍待實作。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7.3 未來工作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後續應先完成可重現性與部署收尾：保存最終實驗 JSON、版本、checkpoint、arm/actuation 環境變數與 aggregation 命令，並把原始輸出及摘要封存為可取得的研究 artifact。接著將 reorder daemon 接入正式 Slurm state/priority adapter 與 Helm Deployment，加入真實故障與 fail-safe 測試；再以多節點、多 workload mix、更多 seeds 和工作數驗證 scalability 與尾端穩健性。若要主張 GPU utilization 或 job-level 資源使用，必須實際量測且提供正確 job-to-device 映射。長期方向可擴展到 MIG/MPS 混合切分、energy-aware scheduling、offline RL 與 LLM serving SLO [3][18][6][21]。</ns0:t>
      </ns0:r>
    </ns0:p>
    <ns0:p>
      <ns0:r>
        <ns0:br ns0:type="page"/>
      </ns0:r>
    </ns0:p>
    <ns0:p>
      <ns0:pPr>
        <ns0:spacing ns0:before="0" ns0:after="130" ns0:line="330" ns0:lineRule="auto"/>
        <ns0:widowControl/>
        <ns0:keepNext/>
        <ns0:outlineLvl ns0:val="0"/>
      </ns0:pPr>
      <ns0:r>
        <ns0:rPr>
          <ns0:rFonts ns0:ascii="Microsoft JhengHei" ns0:hAnsi="Microsoft JhengHei" ns0:eastAsia="Microsoft JhengHei" ns0:cs="Microsoft JhengHei"/>
          <ns0:sz ns0:val="34"/>
          <ns0:szCs ns0:val="34"/>
          <ns0:b/>
          <ns0:color ns0:val="1F4E78"/>
        </ns0:rPr>
        <ns0:t xml:space="preserve">附錄 A 專案重現與驗證摘要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A.1 實驗資料與重算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主表由 `eval/scripts/aggregate_optB_deploy.py` 從 per-seed JSON 聚合，統計單位為 seed。原始 campaign 名稱為 `step3prio_optB_ov24_6arm_20260901-004843` 與 `step3prio_optB_5arm_20260831-085943`。目前兩個 campaign 的原始 JSON 在本機可供重算，但 `runs/` 被 Git 忽略，並未隨 repository 提交。正式公開或交付時應將必要的原始輸出、摘要及執行參數另行封存。</ns0:t>
      </ns0:r>
    </ns0:p>
    <ns0:p>
      <ns0:pPr>
        <ns0:spacing ns0:before="180" ns0:after="130" ns0:line="330" ns0:lineRule="auto"/>
        <ns0:widowControl/>
        <ns0:keepNext/>
        <ns0:outlineLvl ns0:val="1"/>
      </ns0:pPr>
      <ns0:r>
        <ns0:rPr>
          <ns0:rFonts ns0:ascii="Microsoft JhengHei" ns0:hAnsi="Microsoft JhengHei" ns0:eastAsia="Microsoft JhengHei" ns0:cs="Microsoft JhengHei"/>
          <ns0:sz ns0:val="28"/>
          <ns0:szCs ns0:val="28"/>
          <ns0:b/>
          <ns0:color ns0:val="1F4E78"/>
        </ns0:rPr>
        <ns0:t xml:space="preserve">A.2 程式測試狀態</ns0:t>
      </ns0:r>
    </ns0:p>
    <ns0:p>
      <ns0:pPr>
        <ns0:spacing ns0:before="0" ns0:after="120" ns0:line="330" ns0:lineRule="auto"/>
        <ns0:ind ns0:firstLine="420"/>
        <ns0:widowControl/>
      </ns0:pPr>
      <ns0:r>
        <ns0:rPr>
          <ns0:rFonts ns0:ascii="Microsoft JhengHei" ns0:hAnsi="Microsoft JhengHei" ns0:eastAsia="Microsoft JhengHei" ns0:cs="Microsoft JhengHei"/>
          <ns0:sz ns0:val="22"/>
          <ns0:szCs ns0:val="22"/>
        </ns0:rPr>
        <ns0:t xml:space="preserve">本次專案檢視所核對的測試結果：sim 75 passed；RL scheduler 69 passed；operator 30 passed；eval 36 passed；Helm lint 通過，Helm unittest 12 suites／110 tests 通過。LuaJIT 不在驗證環境，兩個 Lua 測試未執行；亦未執行 live GPU cluster integration。上述測試驗證單元程式與 chart 模板，不等同於 production daemon 已部署。</ns0:t>
      </ns0:r>
    </ns0:p>
    <ns0:p>
      <ns0:r>
        <ns0:br ns0:type="page"/>
      </ns0:r>
    </ns0:p>
    <ns0:p>
      <ns0:pPr>
        <ns0:spacing ns0:before="0" ns0:after="130" ns0:line="330" ns0:lineRule="auto"/>
        <ns0:widowControl/>
        <ns0:keepNext/>
        <ns0:outlineLvl ns0:val="0"/>
      </ns0:pPr>
      <ns0:r>
        <ns0:rPr>
          <ns0:rFonts ns0:ascii="Microsoft JhengHei" ns0:hAnsi="Microsoft JhengHei" ns0:eastAsia="Microsoft JhengHei" ns0:cs="Microsoft JhengHei"/>
          <ns0:sz ns0:val="34"/>
          <ns0:szCs ns0:val="34"/>
          <ns0:b/>
          <ns0:color ns0:val="1F4E78"/>
        </ns0:rPr>
        <ns0:t xml:space="preserve">參考文獻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[1] M. Jeon, S. Venkataraman, A. Phanishayee, et al., "Analysis of large-scale multi-tenant GPU clusters for DNN training workloads," in USENIX ATC, 2019.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[2] Q. Weng, W. Xiao, Y. Yu, et al., "MLaaS in the wild: workload analysis and scheduling in large-scale heterogeneous GPU clusters," in USENIX NSDI, 2022.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[3] NVIDIA Corporation, "Multi-Process service (MPS)," NVIDIA Documentation, 2024.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[4] SchedMD, "Slurm workload manager," https://slurm.schedmd.com, 2024.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[5] Kubernetes Authors, "Kubernetes," https://kubernetes.io, 2024.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[6] E. Lipe, N. Karia, C. Espenshade, C. Stein, A. Tantawi, and O. Tardieu, "Energy efficient scheduling of AI/ML workloads on Multi-Instance GPUs with dynamic repartitioning," in IEEE CCGrid, 2025.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[7] S. Choi, S. Lee, Y. Kim, J. Park, Y. Kwon, and J. Huh, "Serving heterogeneous machine learning models on multi-GPU servers with spatio-temporal sharing," in USENIX ATC, 2022.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[8] U. Saroliya, E. Arima, D. Liu, and M. Schulz, "Hierarchical resource partitioning on modern GPUs: a reinforcement learning approach," in IEEE CLUSTER, 2023.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[9] Y.-D. Lin, Y.-T. Ling, Y.-C. Lai, and D. Sudyana, "Reinforcement learning for AI as a service: CPU-GPU task scheduling for preprocessing, training, and inference tasks," IEEE Transactions on Network and Service Management, vol. 22, no. 4, 2025.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[10] G. Zhang, W. Guo, Z. Tan, Q. Guan, and H. Jiang, "KIS-S: a GPU-aware Kubernetes inference simulator with RL-based auto-scaling," arXiv:2507.07932, 2025 (unpublished).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[11] Q. Wu, P. Chen, and Y. Wang, "Defragmentation scheduling with deep reinforcement learning in shared GPU clusters," in ACM SoCC, 2025.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[12] W. Xiao, R. Bhardwaj, R. Ramjee, et al., "Gandiva: introspective cluster scheduling for deep learning," in USENIX OSDI, 2018.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[13] J. Gu, M. Chowdhury, K. G. Shin, et al., "Tiresias: a GPU cluster manager for distributed deep learning," in USENIX NSDI, 2019.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[14] P. Christodoulou, "Soft actor-critic for discrete action settings," arXiv:1910.07207, 2019 (unpublished).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[15] W. Dabney, G. Ostrovski, D. Silver, and R. Munos, "Implicit quantile networks for distributional reinforcement learning," in ICML, 2018.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[16] X. Ma, J. Chen, L. Xia, J. Yang, Q. Zhao, and Z. Zhou, "DSAC: distributional soft actor-critic for risk-sensitive reinforcement learning," Journal of Artificial Intelligence Research, vol. 83, 2025.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[17] J. Duan, Y. Guan, S. E. Li, Y. Ren, and B. Cheng, "Distributional soft actor-critic: off-policy reinforcement learning for addressing value estimation errors," IEEE Transactions on Neural Networks and Learning Systems, 2021.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[18] P. J. Ball, L. Smith, I. Kostrikov, and S. Levine, "Efficient online reinforcement learning with offline data (RLPD)," in ICML, 2023.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[19] S. Dong, B. Zheng, L. Pan, and S. Liu, "A reinforcement learning-based approach for scheduling machine learning training tasks in heterogeneous Kubernetes clusters," Future Generation Computer Systems, vol. 182, art. 108459, 2026.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[20] S. Dongare, R. I. S. Khan, H. Albahar, N. Zhao, D. Melendez Maita, and A. R. Butt, "Hybrid learning and optimization-based dynamic scheduling for DL workloads on heterogeneous GPU clusters," in ACM SoCC, 2025.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[21] Y. Wang, Y. Hu, A. Klimovic, X. Zhang, Y. Wen, G. Sun, and J. Lin, "Semantic-aware scheduling for GPU clusters with large language models," arXiv:2510.03334, 2025 (unpublished).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[22] SchedMD, "Slinky: Slurm in Kubernetes," https://github.com/SlinkyProject, 2024.</ns0:t>
      </ns0:r>
    </ns0:p>
    <ns0:p>
      <ns0:pPr>
        <ns0:spacing ns0:before="0" ns0:after="70" ns0:line="330" ns0:lineRule="auto"/>
        <ns0:widowControl/>
      </ns0:pPr>
      <ns0:r>
        <ns0:rPr>
          <ns0:rFonts ns0:ascii="Microsoft JhengHei" ns0:hAnsi="Microsoft JhengHei" ns0:eastAsia="Microsoft JhengHei" ns0:cs="Microsoft JhengHei"/>
          <ns0:sz ns0:val="18"/>
          <ns0:szCs ns0:val="18"/>
        </ns0:rPr>
        <ns0:t xml:space="preserve">[23] Kubernetes Authors, "Dynamic resource allocation (DRA)," Kubernetes Documentation, 2025.</ns0:t>
      </ns0:r>
    </ns0:p>
    <ns0:sectPr ns0:rsidR="001B10ED" ns0:rsidRPr="00C6690B" ns0:rsidSect="003C6AC2">
      <ns0:footerReference ns0:type="default" ns5:id="rId16"/>
      <ns0:pgSz ns0:w="11906" ns0:h="16838"/>
      <ns0:pgMar ns0:top="1800" ns0:right="1800" ns0:bottom="1800" ns0:left="1800" ns0:header="708" ns0:footer="624" ns0:gutter="0"/>
      <ns0:pgNumType ns0:start="1"/>
      <ns0:cols ns0:space="720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7A2FF" w14:textId="77777777" w:rsidR="00684393" w:rsidRDefault="00684393">
      <w:r>
        <w:separator/>
      </w:r>
    </w:p>
  </w:endnote>
  <w:endnote w:type="continuationSeparator" w:id="0">
    <w:p w14:paraId="3ECC6055" w14:textId="77777777" w:rsidR="00684393" w:rsidRDefault="006843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968F3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53674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28F53" w14:textId="77777777" w:rsidR="00684393" w:rsidRDefault="00684393">
      <w:r>
        <w:separator/>
      </w:r>
    </w:p>
  </w:footnote>
  <w:footnote w:type="continuationSeparator" w:id="0">
    <w:p w14:paraId="4B006875" w14:textId="77777777" w:rsidR="00684393" w:rsidRDefault="006843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650C4"/>
    <w:multiLevelType w:val="hybridMultilevel"/>
    <w:tmpl w:val="884E85A8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" w15:restartNumberingAfterBreak="0">
    <w:nsid w:val="0C4D13EC"/>
    <w:multiLevelType w:val="hybridMultilevel"/>
    <w:tmpl w:val="F530F1F4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2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3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4" w15:restartNumberingAfterBreak="0">
    <w:nsid w:val="29F562C6"/>
    <w:multiLevelType w:val="hybridMultilevel"/>
    <w:tmpl w:val="0EC03BBA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5" w15:restartNumberingAfterBreak="0">
    <w:nsid w:val="35C0448C"/>
    <w:multiLevelType w:val="hybridMultilevel"/>
    <w:tmpl w:val="DAFEBE1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6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7" w15:restartNumberingAfterBreak="0">
    <w:nsid w:val="41A51B13"/>
    <w:multiLevelType w:val="hybridMultilevel"/>
    <w:tmpl w:val="B44A095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8" w15:restartNumberingAfterBreak="0">
    <w:nsid w:val="429475D5"/>
    <w:multiLevelType w:val="hybridMultilevel"/>
    <w:tmpl w:val="6FA0AE5A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9" w15:restartNumberingAfterBreak="0">
    <w:nsid w:val="43B83A69"/>
    <w:multiLevelType w:val="hybridMultilevel"/>
    <w:tmpl w:val="243EA8A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0" w15:restartNumberingAfterBreak="0">
    <w:nsid w:val="44177309"/>
    <w:multiLevelType w:val="hybridMultilevel"/>
    <w:tmpl w:val="F830004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1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2" w15:restartNumberingAfterBreak="0">
    <w:nsid w:val="475B21FF"/>
    <w:multiLevelType w:val="hybridMultilevel"/>
    <w:tmpl w:val="D8F6FB2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3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15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6" w15:restartNumberingAfterBreak="0">
    <w:nsid w:val="5EF35FCE"/>
    <w:multiLevelType w:val="hybridMultilevel"/>
    <w:tmpl w:val="727C8B8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7" w15:restartNumberingAfterBreak="0">
    <w:nsid w:val="60254243"/>
    <w:multiLevelType w:val="hybridMultilevel"/>
    <w:tmpl w:val="6F5ED438"/>
    <w:lvl w:ilvl="0" w:tplc="2F9A9522">
      <w:start w:val="1"/>
      <w:numFmt w:val="decimal"/>
      <w:lvlText w:val="[%1]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05C06F0"/>
    <w:multiLevelType w:val="hybridMultilevel"/>
    <w:tmpl w:val="98F6B514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9" w15:restartNumberingAfterBreak="0">
    <w:nsid w:val="607407F9"/>
    <w:multiLevelType w:val="hybridMultilevel"/>
    <w:tmpl w:val="39FCEA88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0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21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22" w15:restartNumberingAfterBreak="0">
    <w:nsid w:val="6FA72616"/>
    <w:multiLevelType w:val="hybridMultilevel"/>
    <w:tmpl w:val="84AE77AC"/>
    <w:lvl w:ilvl="0" w:tplc="2BA2754C">
      <w:start w:val="1"/>
      <w:numFmt w:val="bullet"/>
      <w:lvlText w:val=""/>
      <w:lvlJc w:val="left"/>
      <w:pPr>
        <w:ind w:left="54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2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0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80"/>
      </w:pPr>
      <w:rPr>
        <w:rFonts w:ascii="Wingdings" w:hAnsi="Wingdings" w:hint="default"/>
      </w:rPr>
    </w:lvl>
  </w:abstractNum>
  <w:abstractNum w:abstractNumId="23" w15:restartNumberingAfterBreak="0">
    <w:nsid w:val="726E3219"/>
    <w:multiLevelType w:val="hybridMultilevel"/>
    <w:tmpl w:val="3A66D48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4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25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6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21"/>
    <w:lvlOverride w:ilvl="0">
      <w:startOverride w:val="1"/>
    </w:lvlOverride>
  </w:num>
  <w:num w:numId="2" w16cid:durableId="699084815">
    <w:abstractNumId w:val="14"/>
    <w:lvlOverride w:ilvl="0">
      <w:startOverride w:val="1"/>
    </w:lvlOverride>
  </w:num>
  <w:num w:numId="3" w16cid:durableId="1203177164">
    <w:abstractNumId w:val="26"/>
  </w:num>
  <w:num w:numId="4" w16cid:durableId="1222979258">
    <w:abstractNumId w:val="20"/>
  </w:num>
  <w:num w:numId="5" w16cid:durableId="992179624">
    <w:abstractNumId w:val="2"/>
  </w:num>
  <w:num w:numId="6" w16cid:durableId="1595238181">
    <w:abstractNumId w:val="6"/>
  </w:num>
  <w:num w:numId="7" w16cid:durableId="1892880699">
    <w:abstractNumId w:val="11"/>
  </w:num>
  <w:num w:numId="8" w16cid:durableId="646281498">
    <w:abstractNumId w:val="3"/>
  </w:num>
  <w:num w:numId="9" w16cid:durableId="7878949">
    <w:abstractNumId w:val="24"/>
  </w:num>
  <w:num w:numId="10" w16cid:durableId="1480657251">
    <w:abstractNumId w:val="15"/>
  </w:num>
  <w:num w:numId="11" w16cid:durableId="507334186">
    <w:abstractNumId w:val="25"/>
  </w:num>
  <w:num w:numId="12" w16cid:durableId="248273354">
    <w:abstractNumId w:val="13"/>
  </w:num>
  <w:num w:numId="13" w16cid:durableId="167865139">
    <w:abstractNumId w:val="19"/>
  </w:num>
  <w:num w:numId="14" w16cid:durableId="280692861">
    <w:abstractNumId w:val="12"/>
  </w:num>
  <w:num w:numId="15" w16cid:durableId="2082824106">
    <w:abstractNumId w:val="7"/>
  </w:num>
  <w:num w:numId="16" w16cid:durableId="48192694">
    <w:abstractNumId w:val="1"/>
  </w:num>
  <w:num w:numId="17" w16cid:durableId="199977131">
    <w:abstractNumId w:val="10"/>
  </w:num>
  <w:num w:numId="18" w16cid:durableId="2043364608">
    <w:abstractNumId w:val="18"/>
  </w:num>
  <w:num w:numId="19" w16cid:durableId="1057515572">
    <w:abstractNumId w:val="23"/>
  </w:num>
  <w:num w:numId="20" w16cid:durableId="1035692978">
    <w:abstractNumId w:val="16"/>
  </w:num>
  <w:num w:numId="21" w16cid:durableId="1498157072">
    <w:abstractNumId w:val="22"/>
  </w:num>
  <w:num w:numId="22" w16cid:durableId="872159615">
    <w:abstractNumId w:val="9"/>
  </w:num>
  <w:num w:numId="23" w16cid:durableId="577248928">
    <w:abstractNumId w:val="4"/>
  </w:num>
  <w:num w:numId="24" w16cid:durableId="369495034">
    <w:abstractNumId w:val="5"/>
  </w:num>
  <w:num w:numId="25" w16cid:durableId="600261254">
    <w:abstractNumId w:val="8"/>
  </w:num>
  <w:num w:numId="26" w16cid:durableId="1244679616">
    <w:abstractNumId w:val="0"/>
  </w:num>
  <w:num w:numId="27" w16cid:durableId="224724160">
    <w:abstractNumId w:val="17"/>
  </w:num>
</w:numbering>
</file>

<file path=word/settings.xml><?xml version="1.0" encoding="utf-8"?>
<w:settings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xmlns:ns6="http://schemas.microsoft.com/office/word/2012/wordml" xmlns:w="http://schemas.openxmlformats.org/wordprocessingml/2006/main" ns1:Ignorable="w14 w15 w16se w16cid w16 w16cex w16sdtdh w16sdtfl w16du">
  <w:zoom w:percent="140"/>
  <w:displayBackgroundShape/>
  <w:bordersDoNotSurroundHeader/>
  <w:bordersDoNotSurroundFooter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02BB0"/>
    <w:rsid w:val="0000303E"/>
    <w:rsid w:val="00005F5A"/>
    <w:rsid w:val="000062C1"/>
    <w:rsid w:val="00006549"/>
    <w:rsid w:val="000207AD"/>
    <w:rsid w:val="00021FA6"/>
    <w:rsid w:val="000222AF"/>
    <w:rsid w:val="0002283A"/>
    <w:rsid w:val="000231EC"/>
    <w:rsid w:val="0002372B"/>
    <w:rsid w:val="000251EB"/>
    <w:rsid w:val="00025BF7"/>
    <w:rsid w:val="00030796"/>
    <w:rsid w:val="00031606"/>
    <w:rsid w:val="00032796"/>
    <w:rsid w:val="00032C60"/>
    <w:rsid w:val="000408A8"/>
    <w:rsid w:val="00041262"/>
    <w:rsid w:val="00042525"/>
    <w:rsid w:val="00043E0D"/>
    <w:rsid w:val="00043FFE"/>
    <w:rsid w:val="00044296"/>
    <w:rsid w:val="0004503E"/>
    <w:rsid w:val="000459B7"/>
    <w:rsid w:val="00046ADE"/>
    <w:rsid w:val="000512FC"/>
    <w:rsid w:val="00052C0B"/>
    <w:rsid w:val="000537D2"/>
    <w:rsid w:val="00054E33"/>
    <w:rsid w:val="00056A4E"/>
    <w:rsid w:val="00056B1B"/>
    <w:rsid w:val="000574EB"/>
    <w:rsid w:val="00057F3D"/>
    <w:rsid w:val="00061028"/>
    <w:rsid w:val="00061410"/>
    <w:rsid w:val="000640BC"/>
    <w:rsid w:val="00065291"/>
    <w:rsid w:val="00065CFE"/>
    <w:rsid w:val="00066871"/>
    <w:rsid w:val="00066B8C"/>
    <w:rsid w:val="000736C1"/>
    <w:rsid w:val="00082543"/>
    <w:rsid w:val="0008265B"/>
    <w:rsid w:val="00084276"/>
    <w:rsid w:val="0008435A"/>
    <w:rsid w:val="000856E7"/>
    <w:rsid w:val="00086100"/>
    <w:rsid w:val="000867C8"/>
    <w:rsid w:val="0008729A"/>
    <w:rsid w:val="000900FB"/>
    <w:rsid w:val="00091A4C"/>
    <w:rsid w:val="00093010"/>
    <w:rsid w:val="00094E54"/>
    <w:rsid w:val="000A1103"/>
    <w:rsid w:val="000A1E9E"/>
    <w:rsid w:val="000A26CB"/>
    <w:rsid w:val="000A3C37"/>
    <w:rsid w:val="000A447A"/>
    <w:rsid w:val="000A4EC6"/>
    <w:rsid w:val="000A4EF6"/>
    <w:rsid w:val="000A72BD"/>
    <w:rsid w:val="000A7905"/>
    <w:rsid w:val="000B132E"/>
    <w:rsid w:val="000B1854"/>
    <w:rsid w:val="000B2CA8"/>
    <w:rsid w:val="000B305A"/>
    <w:rsid w:val="000B30A4"/>
    <w:rsid w:val="000B3FD2"/>
    <w:rsid w:val="000B7EAE"/>
    <w:rsid w:val="000B7F72"/>
    <w:rsid w:val="000C0BEF"/>
    <w:rsid w:val="000C1904"/>
    <w:rsid w:val="000C19F0"/>
    <w:rsid w:val="000C26C7"/>
    <w:rsid w:val="000C2EBA"/>
    <w:rsid w:val="000C33BD"/>
    <w:rsid w:val="000C7AE5"/>
    <w:rsid w:val="000D028B"/>
    <w:rsid w:val="000D1CCE"/>
    <w:rsid w:val="000D2823"/>
    <w:rsid w:val="000D306C"/>
    <w:rsid w:val="000D76FA"/>
    <w:rsid w:val="000E00D6"/>
    <w:rsid w:val="000E06CC"/>
    <w:rsid w:val="000E30CC"/>
    <w:rsid w:val="000E522D"/>
    <w:rsid w:val="000E5974"/>
    <w:rsid w:val="000E65BB"/>
    <w:rsid w:val="000F22AD"/>
    <w:rsid w:val="000F28C1"/>
    <w:rsid w:val="000F34F1"/>
    <w:rsid w:val="000F6C70"/>
    <w:rsid w:val="0010001A"/>
    <w:rsid w:val="00100EFE"/>
    <w:rsid w:val="00101583"/>
    <w:rsid w:val="0010213E"/>
    <w:rsid w:val="00103B8B"/>
    <w:rsid w:val="001047FE"/>
    <w:rsid w:val="0010602A"/>
    <w:rsid w:val="00107823"/>
    <w:rsid w:val="00107A06"/>
    <w:rsid w:val="00110E14"/>
    <w:rsid w:val="001116A6"/>
    <w:rsid w:val="0011350F"/>
    <w:rsid w:val="00114786"/>
    <w:rsid w:val="00114FB5"/>
    <w:rsid w:val="00120603"/>
    <w:rsid w:val="0012090B"/>
    <w:rsid w:val="00121198"/>
    <w:rsid w:val="00121246"/>
    <w:rsid w:val="001236CC"/>
    <w:rsid w:val="00124216"/>
    <w:rsid w:val="00127A6C"/>
    <w:rsid w:val="001301F2"/>
    <w:rsid w:val="00131ADE"/>
    <w:rsid w:val="00131EB2"/>
    <w:rsid w:val="00132D31"/>
    <w:rsid w:val="0013469A"/>
    <w:rsid w:val="00134DC0"/>
    <w:rsid w:val="00136DD1"/>
    <w:rsid w:val="00137BA0"/>
    <w:rsid w:val="00141497"/>
    <w:rsid w:val="00144C83"/>
    <w:rsid w:val="001461EF"/>
    <w:rsid w:val="0015202A"/>
    <w:rsid w:val="00152EA2"/>
    <w:rsid w:val="00153D53"/>
    <w:rsid w:val="00155026"/>
    <w:rsid w:val="001558EF"/>
    <w:rsid w:val="00157085"/>
    <w:rsid w:val="001638CF"/>
    <w:rsid w:val="0016460B"/>
    <w:rsid w:val="0016484A"/>
    <w:rsid w:val="00164AEB"/>
    <w:rsid w:val="00166FC6"/>
    <w:rsid w:val="00174895"/>
    <w:rsid w:val="001759B3"/>
    <w:rsid w:val="001764C2"/>
    <w:rsid w:val="00176877"/>
    <w:rsid w:val="00177475"/>
    <w:rsid w:val="00177DAF"/>
    <w:rsid w:val="001800F6"/>
    <w:rsid w:val="00184341"/>
    <w:rsid w:val="00184929"/>
    <w:rsid w:val="001909BB"/>
    <w:rsid w:val="0019182E"/>
    <w:rsid w:val="00192049"/>
    <w:rsid w:val="00195192"/>
    <w:rsid w:val="00195651"/>
    <w:rsid w:val="001A06E6"/>
    <w:rsid w:val="001A21EB"/>
    <w:rsid w:val="001A2E78"/>
    <w:rsid w:val="001A4E1C"/>
    <w:rsid w:val="001A58D4"/>
    <w:rsid w:val="001A5D83"/>
    <w:rsid w:val="001A65B9"/>
    <w:rsid w:val="001B10ED"/>
    <w:rsid w:val="001B316F"/>
    <w:rsid w:val="001B4887"/>
    <w:rsid w:val="001B5996"/>
    <w:rsid w:val="001C336E"/>
    <w:rsid w:val="001C51F9"/>
    <w:rsid w:val="001C52BB"/>
    <w:rsid w:val="001C5447"/>
    <w:rsid w:val="001C68E4"/>
    <w:rsid w:val="001D1E3C"/>
    <w:rsid w:val="001D4D41"/>
    <w:rsid w:val="001D7A75"/>
    <w:rsid w:val="001D7F6A"/>
    <w:rsid w:val="001E3183"/>
    <w:rsid w:val="001E6E43"/>
    <w:rsid w:val="001E7DE4"/>
    <w:rsid w:val="001F7B35"/>
    <w:rsid w:val="00203290"/>
    <w:rsid w:val="002113B8"/>
    <w:rsid w:val="00213FBF"/>
    <w:rsid w:val="00214CBE"/>
    <w:rsid w:val="0021640B"/>
    <w:rsid w:val="00216ADF"/>
    <w:rsid w:val="00216C8F"/>
    <w:rsid w:val="00220F4F"/>
    <w:rsid w:val="00221262"/>
    <w:rsid w:val="002263F3"/>
    <w:rsid w:val="00230A2F"/>
    <w:rsid w:val="002324EF"/>
    <w:rsid w:val="00232551"/>
    <w:rsid w:val="00234686"/>
    <w:rsid w:val="002376DB"/>
    <w:rsid w:val="002402DA"/>
    <w:rsid w:val="00243E01"/>
    <w:rsid w:val="0024419C"/>
    <w:rsid w:val="002448DF"/>
    <w:rsid w:val="002458A0"/>
    <w:rsid w:val="002507B1"/>
    <w:rsid w:val="002518EA"/>
    <w:rsid w:val="0025262F"/>
    <w:rsid w:val="00254937"/>
    <w:rsid w:val="00260645"/>
    <w:rsid w:val="002621CE"/>
    <w:rsid w:val="00264C7F"/>
    <w:rsid w:val="00265885"/>
    <w:rsid w:val="00265FC1"/>
    <w:rsid w:val="00273D6F"/>
    <w:rsid w:val="0028034A"/>
    <w:rsid w:val="00282A3C"/>
    <w:rsid w:val="00283543"/>
    <w:rsid w:val="002839D4"/>
    <w:rsid w:val="00283B91"/>
    <w:rsid w:val="00285846"/>
    <w:rsid w:val="00285A20"/>
    <w:rsid w:val="00287FAE"/>
    <w:rsid w:val="00290893"/>
    <w:rsid w:val="00290CB7"/>
    <w:rsid w:val="00290E7E"/>
    <w:rsid w:val="002935ED"/>
    <w:rsid w:val="00296749"/>
    <w:rsid w:val="002968B3"/>
    <w:rsid w:val="00296D98"/>
    <w:rsid w:val="002973F7"/>
    <w:rsid w:val="002A2264"/>
    <w:rsid w:val="002A2B37"/>
    <w:rsid w:val="002A5184"/>
    <w:rsid w:val="002A59EE"/>
    <w:rsid w:val="002A73FB"/>
    <w:rsid w:val="002B70A0"/>
    <w:rsid w:val="002C68CD"/>
    <w:rsid w:val="002D066B"/>
    <w:rsid w:val="002D0AE9"/>
    <w:rsid w:val="002D5E02"/>
    <w:rsid w:val="002D799C"/>
    <w:rsid w:val="002E2884"/>
    <w:rsid w:val="002E36B1"/>
    <w:rsid w:val="002E3C77"/>
    <w:rsid w:val="002E57D0"/>
    <w:rsid w:val="002E60E1"/>
    <w:rsid w:val="002E67C3"/>
    <w:rsid w:val="002F0F8C"/>
    <w:rsid w:val="002F4640"/>
    <w:rsid w:val="002F5408"/>
    <w:rsid w:val="002F6BF2"/>
    <w:rsid w:val="002F6F7D"/>
    <w:rsid w:val="002F75A9"/>
    <w:rsid w:val="002F7F7B"/>
    <w:rsid w:val="002F7FC6"/>
    <w:rsid w:val="0030001F"/>
    <w:rsid w:val="0030650B"/>
    <w:rsid w:val="00306981"/>
    <w:rsid w:val="00311975"/>
    <w:rsid w:val="003148AD"/>
    <w:rsid w:val="00316815"/>
    <w:rsid w:val="00321043"/>
    <w:rsid w:val="0032294E"/>
    <w:rsid w:val="00324C71"/>
    <w:rsid w:val="00327CE7"/>
    <w:rsid w:val="00327D91"/>
    <w:rsid w:val="003308CF"/>
    <w:rsid w:val="00332208"/>
    <w:rsid w:val="0033242D"/>
    <w:rsid w:val="00332CFA"/>
    <w:rsid w:val="0033409F"/>
    <w:rsid w:val="0033470E"/>
    <w:rsid w:val="0033699D"/>
    <w:rsid w:val="0033727B"/>
    <w:rsid w:val="00340083"/>
    <w:rsid w:val="00341CE9"/>
    <w:rsid w:val="00346635"/>
    <w:rsid w:val="003501A8"/>
    <w:rsid w:val="00351066"/>
    <w:rsid w:val="00351B5D"/>
    <w:rsid w:val="0035247C"/>
    <w:rsid w:val="00354EE7"/>
    <w:rsid w:val="003570AD"/>
    <w:rsid w:val="00362571"/>
    <w:rsid w:val="003654A7"/>
    <w:rsid w:val="00365568"/>
    <w:rsid w:val="00367E06"/>
    <w:rsid w:val="00370466"/>
    <w:rsid w:val="0037088A"/>
    <w:rsid w:val="003723D7"/>
    <w:rsid w:val="00375522"/>
    <w:rsid w:val="00380128"/>
    <w:rsid w:val="00380CD2"/>
    <w:rsid w:val="00383F4B"/>
    <w:rsid w:val="00384174"/>
    <w:rsid w:val="00385C16"/>
    <w:rsid w:val="00387297"/>
    <w:rsid w:val="003872AA"/>
    <w:rsid w:val="00387885"/>
    <w:rsid w:val="003913CA"/>
    <w:rsid w:val="0039185C"/>
    <w:rsid w:val="003948BF"/>
    <w:rsid w:val="003969E7"/>
    <w:rsid w:val="00396BC4"/>
    <w:rsid w:val="00397E6B"/>
    <w:rsid w:val="003A0692"/>
    <w:rsid w:val="003A06B1"/>
    <w:rsid w:val="003A134E"/>
    <w:rsid w:val="003A1C60"/>
    <w:rsid w:val="003A1F1E"/>
    <w:rsid w:val="003A573C"/>
    <w:rsid w:val="003A5D9F"/>
    <w:rsid w:val="003A702F"/>
    <w:rsid w:val="003B0A2B"/>
    <w:rsid w:val="003B5170"/>
    <w:rsid w:val="003B599C"/>
    <w:rsid w:val="003B5C59"/>
    <w:rsid w:val="003B710F"/>
    <w:rsid w:val="003B78ED"/>
    <w:rsid w:val="003C0098"/>
    <w:rsid w:val="003C1355"/>
    <w:rsid w:val="003C1D64"/>
    <w:rsid w:val="003C1DDE"/>
    <w:rsid w:val="003C264A"/>
    <w:rsid w:val="003C3263"/>
    <w:rsid w:val="003C3743"/>
    <w:rsid w:val="003C6AC2"/>
    <w:rsid w:val="003D0274"/>
    <w:rsid w:val="003D1107"/>
    <w:rsid w:val="003D175C"/>
    <w:rsid w:val="003D37A8"/>
    <w:rsid w:val="003D3AAE"/>
    <w:rsid w:val="003D59C8"/>
    <w:rsid w:val="003D7B5F"/>
    <w:rsid w:val="003E13BC"/>
    <w:rsid w:val="003E1C72"/>
    <w:rsid w:val="003E2F5E"/>
    <w:rsid w:val="003E3D30"/>
    <w:rsid w:val="003E4E6A"/>
    <w:rsid w:val="003E4FBA"/>
    <w:rsid w:val="003E673B"/>
    <w:rsid w:val="003F1044"/>
    <w:rsid w:val="003F1166"/>
    <w:rsid w:val="003F15A4"/>
    <w:rsid w:val="003F1A67"/>
    <w:rsid w:val="003F2E00"/>
    <w:rsid w:val="003F7707"/>
    <w:rsid w:val="003F7A18"/>
    <w:rsid w:val="003F7B19"/>
    <w:rsid w:val="003F7F93"/>
    <w:rsid w:val="00401F86"/>
    <w:rsid w:val="00403BF2"/>
    <w:rsid w:val="0040508B"/>
    <w:rsid w:val="004050D2"/>
    <w:rsid w:val="004054BB"/>
    <w:rsid w:val="00407F19"/>
    <w:rsid w:val="0041001C"/>
    <w:rsid w:val="004125CA"/>
    <w:rsid w:val="00417BB9"/>
    <w:rsid w:val="00417D1A"/>
    <w:rsid w:val="004209A9"/>
    <w:rsid w:val="00421EEC"/>
    <w:rsid w:val="00423025"/>
    <w:rsid w:val="004256E5"/>
    <w:rsid w:val="00425B01"/>
    <w:rsid w:val="00425D78"/>
    <w:rsid w:val="004267BA"/>
    <w:rsid w:val="0043001F"/>
    <w:rsid w:val="0043071F"/>
    <w:rsid w:val="00434EBE"/>
    <w:rsid w:val="00435255"/>
    <w:rsid w:val="004419D3"/>
    <w:rsid w:val="0044328A"/>
    <w:rsid w:val="00444395"/>
    <w:rsid w:val="00444BE4"/>
    <w:rsid w:val="00446570"/>
    <w:rsid w:val="00446B90"/>
    <w:rsid w:val="00447917"/>
    <w:rsid w:val="004515C0"/>
    <w:rsid w:val="00451C23"/>
    <w:rsid w:val="00452994"/>
    <w:rsid w:val="00454334"/>
    <w:rsid w:val="004543B7"/>
    <w:rsid w:val="004571D2"/>
    <w:rsid w:val="00463340"/>
    <w:rsid w:val="004658E4"/>
    <w:rsid w:val="00467FE2"/>
    <w:rsid w:val="00470334"/>
    <w:rsid w:val="00473F91"/>
    <w:rsid w:val="00476BFF"/>
    <w:rsid w:val="004831D8"/>
    <w:rsid w:val="0048504E"/>
    <w:rsid w:val="0048595B"/>
    <w:rsid w:val="004A3D70"/>
    <w:rsid w:val="004A475C"/>
    <w:rsid w:val="004A4EA2"/>
    <w:rsid w:val="004A52F8"/>
    <w:rsid w:val="004B38DB"/>
    <w:rsid w:val="004B3B6C"/>
    <w:rsid w:val="004B62F0"/>
    <w:rsid w:val="004C0638"/>
    <w:rsid w:val="004C0D73"/>
    <w:rsid w:val="004C1873"/>
    <w:rsid w:val="004C1BA6"/>
    <w:rsid w:val="004C7226"/>
    <w:rsid w:val="004D02CF"/>
    <w:rsid w:val="004D05B4"/>
    <w:rsid w:val="004D33C4"/>
    <w:rsid w:val="004E364E"/>
    <w:rsid w:val="004E4053"/>
    <w:rsid w:val="004E4774"/>
    <w:rsid w:val="004F12B3"/>
    <w:rsid w:val="004F56B2"/>
    <w:rsid w:val="004F7237"/>
    <w:rsid w:val="0050302F"/>
    <w:rsid w:val="005036B1"/>
    <w:rsid w:val="005036FB"/>
    <w:rsid w:val="00511C43"/>
    <w:rsid w:val="00512350"/>
    <w:rsid w:val="005134BD"/>
    <w:rsid w:val="00514117"/>
    <w:rsid w:val="00517F6A"/>
    <w:rsid w:val="005202B7"/>
    <w:rsid w:val="005222DF"/>
    <w:rsid w:val="00524351"/>
    <w:rsid w:val="005251D2"/>
    <w:rsid w:val="005259B8"/>
    <w:rsid w:val="00526482"/>
    <w:rsid w:val="00531D20"/>
    <w:rsid w:val="00535557"/>
    <w:rsid w:val="005358D9"/>
    <w:rsid w:val="00535D7B"/>
    <w:rsid w:val="00536035"/>
    <w:rsid w:val="00536933"/>
    <w:rsid w:val="00536B71"/>
    <w:rsid w:val="00540D7B"/>
    <w:rsid w:val="00541602"/>
    <w:rsid w:val="00541C52"/>
    <w:rsid w:val="00542628"/>
    <w:rsid w:val="00543D4A"/>
    <w:rsid w:val="00544860"/>
    <w:rsid w:val="00544E5B"/>
    <w:rsid w:val="0055198C"/>
    <w:rsid w:val="0055245B"/>
    <w:rsid w:val="0055298C"/>
    <w:rsid w:val="00561F67"/>
    <w:rsid w:val="00562C29"/>
    <w:rsid w:val="0057466C"/>
    <w:rsid w:val="00576CB0"/>
    <w:rsid w:val="005771EF"/>
    <w:rsid w:val="005840DE"/>
    <w:rsid w:val="00585485"/>
    <w:rsid w:val="0058799C"/>
    <w:rsid w:val="00587F2C"/>
    <w:rsid w:val="00590E4F"/>
    <w:rsid w:val="0059112E"/>
    <w:rsid w:val="005924FE"/>
    <w:rsid w:val="00594EB7"/>
    <w:rsid w:val="0059618B"/>
    <w:rsid w:val="005A0D1E"/>
    <w:rsid w:val="005A1DCC"/>
    <w:rsid w:val="005A311B"/>
    <w:rsid w:val="005A44FD"/>
    <w:rsid w:val="005A48F3"/>
    <w:rsid w:val="005A5498"/>
    <w:rsid w:val="005A6F12"/>
    <w:rsid w:val="005B1937"/>
    <w:rsid w:val="005B638F"/>
    <w:rsid w:val="005C02D8"/>
    <w:rsid w:val="005C18DF"/>
    <w:rsid w:val="005C1A69"/>
    <w:rsid w:val="005C3AF2"/>
    <w:rsid w:val="005C7993"/>
    <w:rsid w:val="005D14CF"/>
    <w:rsid w:val="005D6DC0"/>
    <w:rsid w:val="005D7A70"/>
    <w:rsid w:val="005D7E78"/>
    <w:rsid w:val="005D7E91"/>
    <w:rsid w:val="005E0269"/>
    <w:rsid w:val="005E0D8F"/>
    <w:rsid w:val="005E21B2"/>
    <w:rsid w:val="005E2695"/>
    <w:rsid w:val="005E2CFF"/>
    <w:rsid w:val="005E5D47"/>
    <w:rsid w:val="005E63CC"/>
    <w:rsid w:val="005F172B"/>
    <w:rsid w:val="005F24CB"/>
    <w:rsid w:val="005F56F2"/>
    <w:rsid w:val="005F5BC1"/>
    <w:rsid w:val="005F63EF"/>
    <w:rsid w:val="005F6466"/>
    <w:rsid w:val="005F6E3D"/>
    <w:rsid w:val="005F765D"/>
    <w:rsid w:val="0060250A"/>
    <w:rsid w:val="00603919"/>
    <w:rsid w:val="00605095"/>
    <w:rsid w:val="006067F8"/>
    <w:rsid w:val="006121A7"/>
    <w:rsid w:val="00612D1F"/>
    <w:rsid w:val="006130FC"/>
    <w:rsid w:val="0061319D"/>
    <w:rsid w:val="00615E3B"/>
    <w:rsid w:val="00617250"/>
    <w:rsid w:val="00617467"/>
    <w:rsid w:val="0062161C"/>
    <w:rsid w:val="006219AF"/>
    <w:rsid w:val="00621D24"/>
    <w:rsid w:val="006223D8"/>
    <w:rsid w:val="0062599B"/>
    <w:rsid w:val="00627118"/>
    <w:rsid w:val="00630230"/>
    <w:rsid w:val="00634FCE"/>
    <w:rsid w:val="00636B3D"/>
    <w:rsid w:val="0064206D"/>
    <w:rsid w:val="00645669"/>
    <w:rsid w:val="00646A93"/>
    <w:rsid w:val="006503D6"/>
    <w:rsid w:val="006514FE"/>
    <w:rsid w:val="006517AC"/>
    <w:rsid w:val="00651B33"/>
    <w:rsid w:val="00651D0F"/>
    <w:rsid w:val="00652094"/>
    <w:rsid w:val="00652F3F"/>
    <w:rsid w:val="0065627E"/>
    <w:rsid w:val="0065698F"/>
    <w:rsid w:val="0066060A"/>
    <w:rsid w:val="006609AC"/>
    <w:rsid w:val="0066198F"/>
    <w:rsid w:val="00662F54"/>
    <w:rsid w:val="00670C3A"/>
    <w:rsid w:val="0067144F"/>
    <w:rsid w:val="0067257A"/>
    <w:rsid w:val="006731A8"/>
    <w:rsid w:val="006761CF"/>
    <w:rsid w:val="00677360"/>
    <w:rsid w:val="00677999"/>
    <w:rsid w:val="00681571"/>
    <w:rsid w:val="00681BBB"/>
    <w:rsid w:val="00681BCD"/>
    <w:rsid w:val="00682B19"/>
    <w:rsid w:val="00684393"/>
    <w:rsid w:val="00685197"/>
    <w:rsid w:val="00691B76"/>
    <w:rsid w:val="00694FD9"/>
    <w:rsid w:val="00695003"/>
    <w:rsid w:val="00695810"/>
    <w:rsid w:val="00695BCD"/>
    <w:rsid w:val="006961DE"/>
    <w:rsid w:val="00697357"/>
    <w:rsid w:val="006A0421"/>
    <w:rsid w:val="006A0B1D"/>
    <w:rsid w:val="006A368E"/>
    <w:rsid w:val="006A4634"/>
    <w:rsid w:val="006A53AB"/>
    <w:rsid w:val="006A6B11"/>
    <w:rsid w:val="006A78EE"/>
    <w:rsid w:val="006B11A9"/>
    <w:rsid w:val="006B3F05"/>
    <w:rsid w:val="006B50B1"/>
    <w:rsid w:val="006C5A55"/>
    <w:rsid w:val="006C68B2"/>
    <w:rsid w:val="006C79EC"/>
    <w:rsid w:val="006C7AC5"/>
    <w:rsid w:val="006D61A8"/>
    <w:rsid w:val="006D78B9"/>
    <w:rsid w:val="006E5638"/>
    <w:rsid w:val="006E5E8F"/>
    <w:rsid w:val="006E77BB"/>
    <w:rsid w:val="006F1E65"/>
    <w:rsid w:val="006F259C"/>
    <w:rsid w:val="006F35EC"/>
    <w:rsid w:val="006F44AA"/>
    <w:rsid w:val="006F52B2"/>
    <w:rsid w:val="006F584E"/>
    <w:rsid w:val="006F78A8"/>
    <w:rsid w:val="007009C5"/>
    <w:rsid w:val="00701058"/>
    <w:rsid w:val="0070466A"/>
    <w:rsid w:val="007059BB"/>
    <w:rsid w:val="00707EF1"/>
    <w:rsid w:val="0071062C"/>
    <w:rsid w:val="00711F11"/>
    <w:rsid w:val="0071208C"/>
    <w:rsid w:val="00713323"/>
    <w:rsid w:val="00716F1B"/>
    <w:rsid w:val="007201B6"/>
    <w:rsid w:val="00720BD9"/>
    <w:rsid w:val="007236B1"/>
    <w:rsid w:val="00723720"/>
    <w:rsid w:val="00723835"/>
    <w:rsid w:val="007239B6"/>
    <w:rsid w:val="00724D93"/>
    <w:rsid w:val="0072649D"/>
    <w:rsid w:val="007275BE"/>
    <w:rsid w:val="007330EC"/>
    <w:rsid w:val="00734DCE"/>
    <w:rsid w:val="007356C8"/>
    <w:rsid w:val="00736727"/>
    <w:rsid w:val="00741433"/>
    <w:rsid w:val="00741AEB"/>
    <w:rsid w:val="007429E7"/>
    <w:rsid w:val="00743A4A"/>
    <w:rsid w:val="00744724"/>
    <w:rsid w:val="00745473"/>
    <w:rsid w:val="00745601"/>
    <w:rsid w:val="0074579A"/>
    <w:rsid w:val="00745DB4"/>
    <w:rsid w:val="00745F71"/>
    <w:rsid w:val="0074660B"/>
    <w:rsid w:val="00746AE4"/>
    <w:rsid w:val="00746FBD"/>
    <w:rsid w:val="0074795A"/>
    <w:rsid w:val="00751CCE"/>
    <w:rsid w:val="00754885"/>
    <w:rsid w:val="007571E8"/>
    <w:rsid w:val="00757B7B"/>
    <w:rsid w:val="00761E63"/>
    <w:rsid w:val="00762EF3"/>
    <w:rsid w:val="007655C4"/>
    <w:rsid w:val="00766A9C"/>
    <w:rsid w:val="00772218"/>
    <w:rsid w:val="00773890"/>
    <w:rsid w:val="00773DA6"/>
    <w:rsid w:val="007755B7"/>
    <w:rsid w:val="00777E78"/>
    <w:rsid w:val="00784D78"/>
    <w:rsid w:val="007921C8"/>
    <w:rsid w:val="007921E2"/>
    <w:rsid w:val="0079262E"/>
    <w:rsid w:val="00793863"/>
    <w:rsid w:val="007975F8"/>
    <w:rsid w:val="007A0827"/>
    <w:rsid w:val="007A0ED1"/>
    <w:rsid w:val="007A1848"/>
    <w:rsid w:val="007A7102"/>
    <w:rsid w:val="007B4CC0"/>
    <w:rsid w:val="007B7411"/>
    <w:rsid w:val="007B7933"/>
    <w:rsid w:val="007C0A2B"/>
    <w:rsid w:val="007C2ACC"/>
    <w:rsid w:val="007C3CC8"/>
    <w:rsid w:val="007C68C6"/>
    <w:rsid w:val="007C7373"/>
    <w:rsid w:val="007D007A"/>
    <w:rsid w:val="007D087A"/>
    <w:rsid w:val="007D0B07"/>
    <w:rsid w:val="007D5D13"/>
    <w:rsid w:val="007D6EBD"/>
    <w:rsid w:val="007E07E0"/>
    <w:rsid w:val="007E10C0"/>
    <w:rsid w:val="007E218D"/>
    <w:rsid w:val="007E28BA"/>
    <w:rsid w:val="007E3C6A"/>
    <w:rsid w:val="007E42B7"/>
    <w:rsid w:val="007E76E7"/>
    <w:rsid w:val="007F0DF4"/>
    <w:rsid w:val="007F2509"/>
    <w:rsid w:val="007F25CD"/>
    <w:rsid w:val="007F2B21"/>
    <w:rsid w:val="007F7B9A"/>
    <w:rsid w:val="00800434"/>
    <w:rsid w:val="00801BAC"/>
    <w:rsid w:val="00802E36"/>
    <w:rsid w:val="00803CC4"/>
    <w:rsid w:val="00805C41"/>
    <w:rsid w:val="00806B3F"/>
    <w:rsid w:val="0081020C"/>
    <w:rsid w:val="0081030A"/>
    <w:rsid w:val="00810D53"/>
    <w:rsid w:val="00810FDC"/>
    <w:rsid w:val="00814068"/>
    <w:rsid w:val="00815732"/>
    <w:rsid w:val="00816C0F"/>
    <w:rsid w:val="00816FC2"/>
    <w:rsid w:val="008171C0"/>
    <w:rsid w:val="00817FB8"/>
    <w:rsid w:val="008203F9"/>
    <w:rsid w:val="00822F54"/>
    <w:rsid w:val="008235A1"/>
    <w:rsid w:val="00824742"/>
    <w:rsid w:val="00826A4A"/>
    <w:rsid w:val="00827D74"/>
    <w:rsid w:val="008306C3"/>
    <w:rsid w:val="008336B2"/>
    <w:rsid w:val="008349A2"/>
    <w:rsid w:val="00836CC0"/>
    <w:rsid w:val="00836DD4"/>
    <w:rsid w:val="00837A20"/>
    <w:rsid w:val="008413AD"/>
    <w:rsid w:val="008419AF"/>
    <w:rsid w:val="008430A1"/>
    <w:rsid w:val="00843343"/>
    <w:rsid w:val="00845612"/>
    <w:rsid w:val="00845A92"/>
    <w:rsid w:val="008463AA"/>
    <w:rsid w:val="00846CE2"/>
    <w:rsid w:val="008472CB"/>
    <w:rsid w:val="008473B2"/>
    <w:rsid w:val="008502BF"/>
    <w:rsid w:val="00853652"/>
    <w:rsid w:val="008562D8"/>
    <w:rsid w:val="00857AFD"/>
    <w:rsid w:val="00857DCB"/>
    <w:rsid w:val="00860696"/>
    <w:rsid w:val="008625B1"/>
    <w:rsid w:val="008642F3"/>
    <w:rsid w:val="00864765"/>
    <w:rsid w:val="00864CC7"/>
    <w:rsid w:val="00871581"/>
    <w:rsid w:val="008765F6"/>
    <w:rsid w:val="008768CF"/>
    <w:rsid w:val="0088194E"/>
    <w:rsid w:val="008821B4"/>
    <w:rsid w:val="00882E1D"/>
    <w:rsid w:val="00883884"/>
    <w:rsid w:val="00887114"/>
    <w:rsid w:val="00896B04"/>
    <w:rsid w:val="00897D83"/>
    <w:rsid w:val="008A0236"/>
    <w:rsid w:val="008A02B5"/>
    <w:rsid w:val="008A1290"/>
    <w:rsid w:val="008A48E5"/>
    <w:rsid w:val="008A5516"/>
    <w:rsid w:val="008A6056"/>
    <w:rsid w:val="008A6347"/>
    <w:rsid w:val="008A6425"/>
    <w:rsid w:val="008B4593"/>
    <w:rsid w:val="008B4B06"/>
    <w:rsid w:val="008B56EB"/>
    <w:rsid w:val="008B671C"/>
    <w:rsid w:val="008B7140"/>
    <w:rsid w:val="008C1B08"/>
    <w:rsid w:val="008C238B"/>
    <w:rsid w:val="008D09C4"/>
    <w:rsid w:val="008D1FED"/>
    <w:rsid w:val="008D2F07"/>
    <w:rsid w:val="008D3263"/>
    <w:rsid w:val="008D64B9"/>
    <w:rsid w:val="008D66D4"/>
    <w:rsid w:val="008E23A4"/>
    <w:rsid w:val="008E2655"/>
    <w:rsid w:val="008E3AAB"/>
    <w:rsid w:val="008E589E"/>
    <w:rsid w:val="008E6AD9"/>
    <w:rsid w:val="008E7BE2"/>
    <w:rsid w:val="008F02D9"/>
    <w:rsid w:val="008F0B20"/>
    <w:rsid w:val="008F13A3"/>
    <w:rsid w:val="008F5AF7"/>
    <w:rsid w:val="008F5D83"/>
    <w:rsid w:val="00900D80"/>
    <w:rsid w:val="00901C76"/>
    <w:rsid w:val="00903875"/>
    <w:rsid w:val="00903ACF"/>
    <w:rsid w:val="009060F3"/>
    <w:rsid w:val="00906D9D"/>
    <w:rsid w:val="0091076A"/>
    <w:rsid w:val="009124D9"/>
    <w:rsid w:val="00914F01"/>
    <w:rsid w:val="00916470"/>
    <w:rsid w:val="009206C4"/>
    <w:rsid w:val="0092247F"/>
    <w:rsid w:val="00925CDC"/>
    <w:rsid w:val="00931920"/>
    <w:rsid w:val="009324D7"/>
    <w:rsid w:val="009342A3"/>
    <w:rsid w:val="009347B8"/>
    <w:rsid w:val="00937563"/>
    <w:rsid w:val="00937796"/>
    <w:rsid w:val="00937FF9"/>
    <w:rsid w:val="009530C6"/>
    <w:rsid w:val="00955BB2"/>
    <w:rsid w:val="00957A9F"/>
    <w:rsid w:val="00961F88"/>
    <w:rsid w:val="00963638"/>
    <w:rsid w:val="00963737"/>
    <w:rsid w:val="009649B3"/>
    <w:rsid w:val="00966E99"/>
    <w:rsid w:val="00975E74"/>
    <w:rsid w:val="009772A7"/>
    <w:rsid w:val="009825D3"/>
    <w:rsid w:val="009837AC"/>
    <w:rsid w:val="00985871"/>
    <w:rsid w:val="009863E8"/>
    <w:rsid w:val="0098734B"/>
    <w:rsid w:val="00990ACC"/>
    <w:rsid w:val="00993AD0"/>
    <w:rsid w:val="00994637"/>
    <w:rsid w:val="009946D8"/>
    <w:rsid w:val="00995114"/>
    <w:rsid w:val="009A1E96"/>
    <w:rsid w:val="009A53E4"/>
    <w:rsid w:val="009A5AD7"/>
    <w:rsid w:val="009B4214"/>
    <w:rsid w:val="009B6570"/>
    <w:rsid w:val="009C13D7"/>
    <w:rsid w:val="009C204C"/>
    <w:rsid w:val="009C240F"/>
    <w:rsid w:val="009C4557"/>
    <w:rsid w:val="009C4D4C"/>
    <w:rsid w:val="009D0BA7"/>
    <w:rsid w:val="009D1055"/>
    <w:rsid w:val="009D1AA2"/>
    <w:rsid w:val="009D1AFB"/>
    <w:rsid w:val="009D2DF1"/>
    <w:rsid w:val="009D6892"/>
    <w:rsid w:val="009D6C19"/>
    <w:rsid w:val="009D7D99"/>
    <w:rsid w:val="009E3B58"/>
    <w:rsid w:val="009E454C"/>
    <w:rsid w:val="009E49C9"/>
    <w:rsid w:val="009E5E0E"/>
    <w:rsid w:val="009E5F30"/>
    <w:rsid w:val="009E6F5B"/>
    <w:rsid w:val="009F056E"/>
    <w:rsid w:val="009F21B9"/>
    <w:rsid w:val="009F468A"/>
    <w:rsid w:val="009F50AE"/>
    <w:rsid w:val="009F6B4A"/>
    <w:rsid w:val="00A016BB"/>
    <w:rsid w:val="00A029EC"/>
    <w:rsid w:val="00A05111"/>
    <w:rsid w:val="00A06381"/>
    <w:rsid w:val="00A118C1"/>
    <w:rsid w:val="00A12B93"/>
    <w:rsid w:val="00A1363E"/>
    <w:rsid w:val="00A156C4"/>
    <w:rsid w:val="00A161B2"/>
    <w:rsid w:val="00A16A5E"/>
    <w:rsid w:val="00A26AEA"/>
    <w:rsid w:val="00A30B9F"/>
    <w:rsid w:val="00A36172"/>
    <w:rsid w:val="00A361D3"/>
    <w:rsid w:val="00A36A87"/>
    <w:rsid w:val="00A42C58"/>
    <w:rsid w:val="00A46064"/>
    <w:rsid w:val="00A47479"/>
    <w:rsid w:val="00A51D07"/>
    <w:rsid w:val="00A52426"/>
    <w:rsid w:val="00A53D96"/>
    <w:rsid w:val="00A569EE"/>
    <w:rsid w:val="00A570C2"/>
    <w:rsid w:val="00A62ED9"/>
    <w:rsid w:val="00A63B33"/>
    <w:rsid w:val="00A65B6F"/>
    <w:rsid w:val="00A66837"/>
    <w:rsid w:val="00A67C9D"/>
    <w:rsid w:val="00A75B40"/>
    <w:rsid w:val="00A765CA"/>
    <w:rsid w:val="00A80B13"/>
    <w:rsid w:val="00A80D4C"/>
    <w:rsid w:val="00A8139F"/>
    <w:rsid w:val="00A842AD"/>
    <w:rsid w:val="00A84416"/>
    <w:rsid w:val="00A85C11"/>
    <w:rsid w:val="00A872AA"/>
    <w:rsid w:val="00A933A6"/>
    <w:rsid w:val="00A95693"/>
    <w:rsid w:val="00A95BB1"/>
    <w:rsid w:val="00A96713"/>
    <w:rsid w:val="00AA3019"/>
    <w:rsid w:val="00AA4E57"/>
    <w:rsid w:val="00AA5218"/>
    <w:rsid w:val="00AA78CF"/>
    <w:rsid w:val="00AB550F"/>
    <w:rsid w:val="00AB69E7"/>
    <w:rsid w:val="00AB7379"/>
    <w:rsid w:val="00AB77D4"/>
    <w:rsid w:val="00AC16A8"/>
    <w:rsid w:val="00AC3861"/>
    <w:rsid w:val="00AC3E59"/>
    <w:rsid w:val="00AC4F4D"/>
    <w:rsid w:val="00AC5590"/>
    <w:rsid w:val="00AD0C0C"/>
    <w:rsid w:val="00AD1950"/>
    <w:rsid w:val="00AD2237"/>
    <w:rsid w:val="00AD27B4"/>
    <w:rsid w:val="00AD4011"/>
    <w:rsid w:val="00AD7508"/>
    <w:rsid w:val="00AE66EA"/>
    <w:rsid w:val="00AF1A09"/>
    <w:rsid w:val="00AF1DC5"/>
    <w:rsid w:val="00AF25C2"/>
    <w:rsid w:val="00AF30B2"/>
    <w:rsid w:val="00AF67C1"/>
    <w:rsid w:val="00B02D44"/>
    <w:rsid w:val="00B03A3C"/>
    <w:rsid w:val="00B03DB0"/>
    <w:rsid w:val="00B058FF"/>
    <w:rsid w:val="00B05C0F"/>
    <w:rsid w:val="00B05D09"/>
    <w:rsid w:val="00B12D61"/>
    <w:rsid w:val="00B13BEB"/>
    <w:rsid w:val="00B17A59"/>
    <w:rsid w:val="00B21C62"/>
    <w:rsid w:val="00B221D2"/>
    <w:rsid w:val="00B26550"/>
    <w:rsid w:val="00B26A06"/>
    <w:rsid w:val="00B31AE5"/>
    <w:rsid w:val="00B35CF7"/>
    <w:rsid w:val="00B35EBE"/>
    <w:rsid w:val="00B36FE9"/>
    <w:rsid w:val="00B4069B"/>
    <w:rsid w:val="00B42F26"/>
    <w:rsid w:val="00B52A7D"/>
    <w:rsid w:val="00B534EF"/>
    <w:rsid w:val="00B5360A"/>
    <w:rsid w:val="00B620D8"/>
    <w:rsid w:val="00B62AED"/>
    <w:rsid w:val="00B636D0"/>
    <w:rsid w:val="00B64AE5"/>
    <w:rsid w:val="00B66774"/>
    <w:rsid w:val="00B7034A"/>
    <w:rsid w:val="00B716C1"/>
    <w:rsid w:val="00B724FE"/>
    <w:rsid w:val="00B73A84"/>
    <w:rsid w:val="00B743B2"/>
    <w:rsid w:val="00B75851"/>
    <w:rsid w:val="00B765D8"/>
    <w:rsid w:val="00B77F9B"/>
    <w:rsid w:val="00B80D4E"/>
    <w:rsid w:val="00B82DAE"/>
    <w:rsid w:val="00B91938"/>
    <w:rsid w:val="00B92816"/>
    <w:rsid w:val="00B92C2F"/>
    <w:rsid w:val="00BA199A"/>
    <w:rsid w:val="00BA2ECD"/>
    <w:rsid w:val="00BA648E"/>
    <w:rsid w:val="00BA72AB"/>
    <w:rsid w:val="00BB0740"/>
    <w:rsid w:val="00BB0CF8"/>
    <w:rsid w:val="00BB420E"/>
    <w:rsid w:val="00BC10B3"/>
    <w:rsid w:val="00BC269D"/>
    <w:rsid w:val="00BC334C"/>
    <w:rsid w:val="00BC3789"/>
    <w:rsid w:val="00BD12C4"/>
    <w:rsid w:val="00BD50B7"/>
    <w:rsid w:val="00BD550B"/>
    <w:rsid w:val="00BD589C"/>
    <w:rsid w:val="00BD5A9B"/>
    <w:rsid w:val="00BD79DB"/>
    <w:rsid w:val="00BE3EF7"/>
    <w:rsid w:val="00BE4642"/>
    <w:rsid w:val="00BE7335"/>
    <w:rsid w:val="00BE7489"/>
    <w:rsid w:val="00BE791C"/>
    <w:rsid w:val="00BE79EA"/>
    <w:rsid w:val="00BE7FD4"/>
    <w:rsid w:val="00BF197C"/>
    <w:rsid w:val="00BF1C90"/>
    <w:rsid w:val="00BF27C7"/>
    <w:rsid w:val="00BF4145"/>
    <w:rsid w:val="00BF464D"/>
    <w:rsid w:val="00BF4BE2"/>
    <w:rsid w:val="00C0041D"/>
    <w:rsid w:val="00C00524"/>
    <w:rsid w:val="00C033E8"/>
    <w:rsid w:val="00C0452B"/>
    <w:rsid w:val="00C04BFF"/>
    <w:rsid w:val="00C05224"/>
    <w:rsid w:val="00C05F63"/>
    <w:rsid w:val="00C06972"/>
    <w:rsid w:val="00C07A5C"/>
    <w:rsid w:val="00C101A8"/>
    <w:rsid w:val="00C110DF"/>
    <w:rsid w:val="00C1278D"/>
    <w:rsid w:val="00C15FBD"/>
    <w:rsid w:val="00C20101"/>
    <w:rsid w:val="00C23192"/>
    <w:rsid w:val="00C251A4"/>
    <w:rsid w:val="00C25E69"/>
    <w:rsid w:val="00C32099"/>
    <w:rsid w:val="00C35AE9"/>
    <w:rsid w:val="00C35B09"/>
    <w:rsid w:val="00C35BF2"/>
    <w:rsid w:val="00C3654E"/>
    <w:rsid w:val="00C36A3C"/>
    <w:rsid w:val="00C41688"/>
    <w:rsid w:val="00C4235E"/>
    <w:rsid w:val="00C457AF"/>
    <w:rsid w:val="00C467CD"/>
    <w:rsid w:val="00C47F12"/>
    <w:rsid w:val="00C5276A"/>
    <w:rsid w:val="00C54BC1"/>
    <w:rsid w:val="00C54FB9"/>
    <w:rsid w:val="00C63873"/>
    <w:rsid w:val="00C641D8"/>
    <w:rsid w:val="00C6430D"/>
    <w:rsid w:val="00C64CA8"/>
    <w:rsid w:val="00C66821"/>
    <w:rsid w:val="00C6690B"/>
    <w:rsid w:val="00C67044"/>
    <w:rsid w:val="00C70728"/>
    <w:rsid w:val="00C71322"/>
    <w:rsid w:val="00C72E40"/>
    <w:rsid w:val="00C74444"/>
    <w:rsid w:val="00C76806"/>
    <w:rsid w:val="00C779EC"/>
    <w:rsid w:val="00C81728"/>
    <w:rsid w:val="00C83D54"/>
    <w:rsid w:val="00C83DBB"/>
    <w:rsid w:val="00C84B1B"/>
    <w:rsid w:val="00C855EF"/>
    <w:rsid w:val="00C904F8"/>
    <w:rsid w:val="00C90BD3"/>
    <w:rsid w:val="00C90ECD"/>
    <w:rsid w:val="00C91023"/>
    <w:rsid w:val="00C93601"/>
    <w:rsid w:val="00CA285C"/>
    <w:rsid w:val="00CA3430"/>
    <w:rsid w:val="00CA4164"/>
    <w:rsid w:val="00CA46F4"/>
    <w:rsid w:val="00CA5D7E"/>
    <w:rsid w:val="00CA65BB"/>
    <w:rsid w:val="00CA6B85"/>
    <w:rsid w:val="00CB046D"/>
    <w:rsid w:val="00CB1F18"/>
    <w:rsid w:val="00CB2376"/>
    <w:rsid w:val="00CB2763"/>
    <w:rsid w:val="00CB295B"/>
    <w:rsid w:val="00CB7921"/>
    <w:rsid w:val="00CC074A"/>
    <w:rsid w:val="00CC48D9"/>
    <w:rsid w:val="00CC4DEB"/>
    <w:rsid w:val="00CC7B73"/>
    <w:rsid w:val="00CD175A"/>
    <w:rsid w:val="00CD20A6"/>
    <w:rsid w:val="00CD2D8C"/>
    <w:rsid w:val="00CD56B6"/>
    <w:rsid w:val="00CD6BE5"/>
    <w:rsid w:val="00CE0FEA"/>
    <w:rsid w:val="00CE162B"/>
    <w:rsid w:val="00CE2392"/>
    <w:rsid w:val="00CE36C2"/>
    <w:rsid w:val="00CE38C4"/>
    <w:rsid w:val="00CE3DF7"/>
    <w:rsid w:val="00CE44DD"/>
    <w:rsid w:val="00CE4E4F"/>
    <w:rsid w:val="00CE5C01"/>
    <w:rsid w:val="00CE5C45"/>
    <w:rsid w:val="00CE71BD"/>
    <w:rsid w:val="00CF022E"/>
    <w:rsid w:val="00CF0E61"/>
    <w:rsid w:val="00CF371E"/>
    <w:rsid w:val="00CF3D92"/>
    <w:rsid w:val="00CF45E0"/>
    <w:rsid w:val="00CF4F00"/>
    <w:rsid w:val="00CF59DE"/>
    <w:rsid w:val="00D0104D"/>
    <w:rsid w:val="00D06A59"/>
    <w:rsid w:val="00D14F40"/>
    <w:rsid w:val="00D17D32"/>
    <w:rsid w:val="00D20F8E"/>
    <w:rsid w:val="00D2331B"/>
    <w:rsid w:val="00D24C2A"/>
    <w:rsid w:val="00D24D09"/>
    <w:rsid w:val="00D25305"/>
    <w:rsid w:val="00D25667"/>
    <w:rsid w:val="00D27AD0"/>
    <w:rsid w:val="00D30978"/>
    <w:rsid w:val="00D311E5"/>
    <w:rsid w:val="00D31357"/>
    <w:rsid w:val="00D411DF"/>
    <w:rsid w:val="00D4165C"/>
    <w:rsid w:val="00D444AA"/>
    <w:rsid w:val="00D45790"/>
    <w:rsid w:val="00D46EB9"/>
    <w:rsid w:val="00D50FD8"/>
    <w:rsid w:val="00D519B9"/>
    <w:rsid w:val="00D532FC"/>
    <w:rsid w:val="00D56E9C"/>
    <w:rsid w:val="00D61253"/>
    <w:rsid w:val="00D6130B"/>
    <w:rsid w:val="00D61700"/>
    <w:rsid w:val="00D61723"/>
    <w:rsid w:val="00D62702"/>
    <w:rsid w:val="00D652F0"/>
    <w:rsid w:val="00D659E9"/>
    <w:rsid w:val="00D709C7"/>
    <w:rsid w:val="00D761F7"/>
    <w:rsid w:val="00D836D6"/>
    <w:rsid w:val="00D83DED"/>
    <w:rsid w:val="00D85A74"/>
    <w:rsid w:val="00D873C6"/>
    <w:rsid w:val="00D90D12"/>
    <w:rsid w:val="00D94143"/>
    <w:rsid w:val="00D96906"/>
    <w:rsid w:val="00DA0814"/>
    <w:rsid w:val="00DA0C31"/>
    <w:rsid w:val="00DA3458"/>
    <w:rsid w:val="00DA5F11"/>
    <w:rsid w:val="00DA7468"/>
    <w:rsid w:val="00DB29EA"/>
    <w:rsid w:val="00DB31CB"/>
    <w:rsid w:val="00DB3369"/>
    <w:rsid w:val="00DB3399"/>
    <w:rsid w:val="00DB33F8"/>
    <w:rsid w:val="00DB55E1"/>
    <w:rsid w:val="00DB6098"/>
    <w:rsid w:val="00DB6262"/>
    <w:rsid w:val="00DB6F64"/>
    <w:rsid w:val="00DC2153"/>
    <w:rsid w:val="00DC2EF2"/>
    <w:rsid w:val="00DC3611"/>
    <w:rsid w:val="00DC3751"/>
    <w:rsid w:val="00DC3A78"/>
    <w:rsid w:val="00DC5939"/>
    <w:rsid w:val="00DC5C65"/>
    <w:rsid w:val="00DC643C"/>
    <w:rsid w:val="00DD4582"/>
    <w:rsid w:val="00DE39F8"/>
    <w:rsid w:val="00DE5C71"/>
    <w:rsid w:val="00DF06A2"/>
    <w:rsid w:val="00DF143B"/>
    <w:rsid w:val="00DF3D89"/>
    <w:rsid w:val="00DF5721"/>
    <w:rsid w:val="00DF63DD"/>
    <w:rsid w:val="00DF6D59"/>
    <w:rsid w:val="00DF7797"/>
    <w:rsid w:val="00DF7DB2"/>
    <w:rsid w:val="00DF7EDE"/>
    <w:rsid w:val="00E00F2F"/>
    <w:rsid w:val="00E017ED"/>
    <w:rsid w:val="00E01E81"/>
    <w:rsid w:val="00E02EFE"/>
    <w:rsid w:val="00E04A16"/>
    <w:rsid w:val="00E04ABB"/>
    <w:rsid w:val="00E05962"/>
    <w:rsid w:val="00E07B57"/>
    <w:rsid w:val="00E07DA6"/>
    <w:rsid w:val="00E1112F"/>
    <w:rsid w:val="00E14825"/>
    <w:rsid w:val="00E166C4"/>
    <w:rsid w:val="00E17056"/>
    <w:rsid w:val="00E17504"/>
    <w:rsid w:val="00E20457"/>
    <w:rsid w:val="00E21E46"/>
    <w:rsid w:val="00E22391"/>
    <w:rsid w:val="00E23003"/>
    <w:rsid w:val="00E231E6"/>
    <w:rsid w:val="00E25EBE"/>
    <w:rsid w:val="00E26E6E"/>
    <w:rsid w:val="00E304FC"/>
    <w:rsid w:val="00E30772"/>
    <w:rsid w:val="00E31D7F"/>
    <w:rsid w:val="00E35012"/>
    <w:rsid w:val="00E36276"/>
    <w:rsid w:val="00E40541"/>
    <w:rsid w:val="00E40763"/>
    <w:rsid w:val="00E40F38"/>
    <w:rsid w:val="00E4158C"/>
    <w:rsid w:val="00E415FF"/>
    <w:rsid w:val="00E41AC6"/>
    <w:rsid w:val="00E42C6B"/>
    <w:rsid w:val="00E44231"/>
    <w:rsid w:val="00E447ED"/>
    <w:rsid w:val="00E45C6A"/>
    <w:rsid w:val="00E46855"/>
    <w:rsid w:val="00E46954"/>
    <w:rsid w:val="00E46C50"/>
    <w:rsid w:val="00E476EC"/>
    <w:rsid w:val="00E4790E"/>
    <w:rsid w:val="00E52EF0"/>
    <w:rsid w:val="00E545DD"/>
    <w:rsid w:val="00E56CFC"/>
    <w:rsid w:val="00E57B5D"/>
    <w:rsid w:val="00E61D72"/>
    <w:rsid w:val="00E62C8D"/>
    <w:rsid w:val="00E66AEE"/>
    <w:rsid w:val="00E674F2"/>
    <w:rsid w:val="00E679BA"/>
    <w:rsid w:val="00E743BA"/>
    <w:rsid w:val="00E80778"/>
    <w:rsid w:val="00E823CA"/>
    <w:rsid w:val="00E846F0"/>
    <w:rsid w:val="00E85C72"/>
    <w:rsid w:val="00E86A95"/>
    <w:rsid w:val="00E90E94"/>
    <w:rsid w:val="00E95A17"/>
    <w:rsid w:val="00E95A2F"/>
    <w:rsid w:val="00E96FC8"/>
    <w:rsid w:val="00E9756E"/>
    <w:rsid w:val="00EA4CD4"/>
    <w:rsid w:val="00EA5E06"/>
    <w:rsid w:val="00EA6A9E"/>
    <w:rsid w:val="00EA7220"/>
    <w:rsid w:val="00EB0B41"/>
    <w:rsid w:val="00EB0F3F"/>
    <w:rsid w:val="00EB2846"/>
    <w:rsid w:val="00EB383F"/>
    <w:rsid w:val="00EB4B61"/>
    <w:rsid w:val="00EB4F23"/>
    <w:rsid w:val="00EC279A"/>
    <w:rsid w:val="00EC3DC2"/>
    <w:rsid w:val="00EC6C04"/>
    <w:rsid w:val="00ED0D93"/>
    <w:rsid w:val="00ED5ADC"/>
    <w:rsid w:val="00EE1EBA"/>
    <w:rsid w:val="00EE2212"/>
    <w:rsid w:val="00EE232B"/>
    <w:rsid w:val="00EE3255"/>
    <w:rsid w:val="00EE353A"/>
    <w:rsid w:val="00EE41BA"/>
    <w:rsid w:val="00EE4462"/>
    <w:rsid w:val="00EE742D"/>
    <w:rsid w:val="00EF3090"/>
    <w:rsid w:val="00EF4287"/>
    <w:rsid w:val="00EF6227"/>
    <w:rsid w:val="00F01E53"/>
    <w:rsid w:val="00F02AED"/>
    <w:rsid w:val="00F06212"/>
    <w:rsid w:val="00F06555"/>
    <w:rsid w:val="00F06C2B"/>
    <w:rsid w:val="00F06F8A"/>
    <w:rsid w:val="00F11815"/>
    <w:rsid w:val="00F17B21"/>
    <w:rsid w:val="00F17F07"/>
    <w:rsid w:val="00F21723"/>
    <w:rsid w:val="00F2370E"/>
    <w:rsid w:val="00F309B6"/>
    <w:rsid w:val="00F31CCD"/>
    <w:rsid w:val="00F32C68"/>
    <w:rsid w:val="00F3389E"/>
    <w:rsid w:val="00F34A2E"/>
    <w:rsid w:val="00F362AD"/>
    <w:rsid w:val="00F370D4"/>
    <w:rsid w:val="00F3760F"/>
    <w:rsid w:val="00F416FB"/>
    <w:rsid w:val="00F41858"/>
    <w:rsid w:val="00F4631F"/>
    <w:rsid w:val="00F50AE6"/>
    <w:rsid w:val="00F520E4"/>
    <w:rsid w:val="00F53984"/>
    <w:rsid w:val="00F53B95"/>
    <w:rsid w:val="00F55F11"/>
    <w:rsid w:val="00F61E3A"/>
    <w:rsid w:val="00F63771"/>
    <w:rsid w:val="00F669D1"/>
    <w:rsid w:val="00F670BA"/>
    <w:rsid w:val="00F67EE5"/>
    <w:rsid w:val="00F7135B"/>
    <w:rsid w:val="00F71AAC"/>
    <w:rsid w:val="00F74068"/>
    <w:rsid w:val="00F76F38"/>
    <w:rsid w:val="00F77896"/>
    <w:rsid w:val="00F77E67"/>
    <w:rsid w:val="00F77EB5"/>
    <w:rsid w:val="00F803DC"/>
    <w:rsid w:val="00F8183E"/>
    <w:rsid w:val="00F83768"/>
    <w:rsid w:val="00F84E01"/>
    <w:rsid w:val="00F859C8"/>
    <w:rsid w:val="00F85CB4"/>
    <w:rsid w:val="00F87731"/>
    <w:rsid w:val="00F925C0"/>
    <w:rsid w:val="00F96EDB"/>
    <w:rsid w:val="00FA07C5"/>
    <w:rsid w:val="00FA3C89"/>
    <w:rsid w:val="00FA6CFE"/>
    <w:rsid w:val="00FA77B5"/>
    <w:rsid w:val="00FB0F7E"/>
    <w:rsid w:val="00FB19F1"/>
    <w:rsid w:val="00FB2617"/>
    <w:rsid w:val="00FC0D94"/>
    <w:rsid w:val="00FC13E5"/>
    <w:rsid w:val="00FC1AFE"/>
    <w:rsid w:val="00FC2A3D"/>
    <w:rsid w:val="00FC4F13"/>
    <w:rsid w:val="00FD1A5C"/>
    <w:rsid w:val="00FD262B"/>
    <w:rsid w:val="00FD3375"/>
    <w:rsid w:val="00FD3758"/>
    <w:rsid w:val="00FD49FD"/>
    <w:rsid w:val="00FD58DE"/>
    <w:rsid w:val="00FD72A2"/>
    <w:rsid w:val="00FE2EA9"/>
    <w:rsid w:val="00FE34E4"/>
    <w:rsid w:val="00FE3B67"/>
    <w:rsid w:val="00FE7747"/>
    <w:rsid w:val="00FF09BD"/>
    <w:rsid w:val="00FF4746"/>
    <w:rsid w:val="00FF526B"/>
  </w:rsids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ns3:shapedefaults ns4:ext="edit" spidmax="1026"/>
    <ns3:shapelayout ns4:ext="edit">
      <ns3:idmap ns4:ext="edit" data="1"/>
    </ns3:shapelayout>
  </w:shapeDefaults>
  <w:decimalSymbol w:val="."/>
  <w:listSeparator w:val=","/>
  <ns5:docId ns5:val="531EC5A6"/>
  <ns6:docId ns6:val="{228222F3-43A5-48C0-BD0F-C9AE61D87967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55C4"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14825"/>
    <w:pPr>
      <w:tabs>
        <w:tab w:val="right" w:leader="dot" w:pos="8296"/>
      </w:tabs>
    </w:pPr>
    <w:rPr>
      <w:rFonts w:ascii="Times New Roman" w:hAnsi="Times New Roman" w:cs="Times New Roman"/>
      <w:b/>
      <w:bCs/>
      <w:noProof/>
    </w:rPr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0A1103"/>
    <w:rPr>
      <w:color w:val="666666"/>
    </w:rPr>
  </w:style>
  <w:style w:type="character" w:styleId="af">
    <w:name w:val="FollowedHyperlink"/>
    <w:basedOn w:val="a0"/>
    <w:uiPriority w:val="99"/>
    <w:semiHidden/>
    <w:unhideWhenUsed/>
    <w:rsid w:val="002D066B"/>
    <w:rPr>
      <w:color w:val="954F72" w:themeColor="followedHyperlink"/>
      <w:u w:val="single"/>
    </w:rPr>
  </w:style>
  <w:style w:type="paragraph" w:styleId="af0">
    <w:name w:val="header"/>
    <w:basedOn w:val="a"/>
    <w:link w:val="af1"/>
    <w:uiPriority w:val="99"/>
    <w:unhideWhenUsed/>
    <w:rsid w:val="003C6A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3C6AC2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3C6A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3C6AC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footer" Target="footer1.xml" /><ns0:Relationship Id="rId13" Type="http://schemas.openxmlformats.org/officeDocument/2006/relationships/image" Target="media/image5.png" /><ns0:Relationship Id="rId18" Type="http://schemas.openxmlformats.org/officeDocument/2006/relationships/theme" Target="theme/theme1.xml" /><ns0:Relationship Id="rId3" Type="http://schemas.openxmlformats.org/officeDocument/2006/relationships/styles" Target="styles.xml" /><ns0:Relationship Id="rId7" Type="http://schemas.openxmlformats.org/officeDocument/2006/relationships/endnotes" Target="endnotes.xml" /><ns0:Relationship Id="rId12" Type="http://schemas.openxmlformats.org/officeDocument/2006/relationships/image" Target="media/image4.png" /><ns0:Relationship Id="rId17" Type="http://schemas.openxmlformats.org/officeDocument/2006/relationships/fontTable" Target="fontTable.xml" /><ns0:Relationship Id="rId2" Type="http://schemas.openxmlformats.org/officeDocument/2006/relationships/numbering" Target="numbering.xml" /><ns0:Relationship Id="rId16" Type="http://schemas.openxmlformats.org/officeDocument/2006/relationships/footer" Target="footer2.xml" /><ns0:Relationship Id="rId1" Type="http://schemas.openxmlformats.org/officeDocument/2006/relationships/customXml" Target="../customXml/item1.xml" /><ns0:Relationship Id="rId6" Type="http://schemas.openxmlformats.org/officeDocument/2006/relationships/footnotes" Target="footnotes.xml" /><ns0:Relationship Id="rId11" Type="http://schemas.openxmlformats.org/officeDocument/2006/relationships/image" Target="media/image3.png" /><ns0:Relationship Id="rId5" Type="http://schemas.openxmlformats.org/officeDocument/2006/relationships/webSettings" Target="webSettings.xml" /><ns0:Relationship Id="rId15" Type="http://schemas.openxmlformats.org/officeDocument/2006/relationships/image" Target="media/image7.png" /><ns0:Relationship Id="rId10" Type="http://schemas.openxmlformats.org/officeDocument/2006/relationships/image" Target="media/image2.png" /><ns0:Relationship Id="rId4" Type="http://schemas.openxmlformats.org/officeDocument/2006/relationships/settings" Target="settings.xml" /><ns0:Relationship Id="rId9" Type="http://schemas.openxmlformats.org/officeDocument/2006/relationships/image" Target="media/image1.png" /><ns0:Relationship Id="rId14" Type="http://schemas.openxmlformats.org/officeDocument/2006/relationships/image" Target="media/image6.png" /><ns0:Relationship Id="rId19" Type="http://schemas.openxmlformats.org/officeDocument/2006/relationships/image" Target="media/report_training_convergence.png" /></ns0: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46113-FEC0-49FB-9051-D69134DD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18</Pages>
  <Words>2593</Words>
  <Characters>14781</Characters>
  <Application>Microsoft Office Word</Application>
  <DocSecurity>0</DocSecurity>
  <Lines>123</Lines>
  <Paragraphs>34</Paragraphs>
  <ScaleCrop>false</ScaleCrop>
  <Company/>
  <LinksUpToDate>false</LinksUpToDate>
  <CharactersWithSpaces>17340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creator>Un-named</dc:creator>
  <ns0:lastModifiedBy>珽升 鄭</ns0:lastModifiedBy>
  <ns0:revision>1174</ns0:revision>
  <ns0:lastPrinted>2026-06-25T08:31:00Z</ns0:lastPrinted>
  <ns2:created xsi:type="dcterms:W3CDTF">2026-06-05T05:44:00Z</ns2:created>
  <ns2:modified xsi:type="dcterms:W3CDTF">2026-06-25T08:33:00Z</ns2:modified>
</ns0:coreProperties>
</file>