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bookmarkStart w:colFirst="0" w:colLast="0" w:name="_i9rxzdppxn5j" w:id="0"/>
      <w:bookmarkEnd w:id="0"/>
      <w:r w:rsidDel="00000000" w:rsidR="00000000" w:rsidRPr="00000000">
        <w:rPr>
          <w:rtl w:val="0"/>
        </w:rPr>
        <w:t xml:space="preserve">Cancer </w:t>
      </w:r>
    </w:p>
    <w:p w:rsidR="00000000" w:rsidDel="00000000" w:rsidP="00000000" w:rsidRDefault="00000000" w:rsidRPr="00000000" w14:paraId="00000002">
      <w:pPr>
        <w:pStyle w:val="Heading1"/>
        <w:jc w:val="center"/>
        <w:rPr/>
      </w:pPr>
      <w:bookmarkStart w:colFirst="0" w:colLast="0" w:name="_78zf90l914hb" w:id="1"/>
      <w:bookmarkEnd w:id="1"/>
      <w:r w:rsidDel="00000000" w:rsidR="00000000" w:rsidRPr="00000000">
        <w:rPr>
          <w:rtl w:val="0"/>
        </w:rPr>
        <w:t xml:space="preserve">Resistance </w:t>
      </w:r>
    </w:p>
    <w:p w:rsidR="00000000" w:rsidDel="00000000" w:rsidP="00000000" w:rsidRDefault="00000000" w:rsidRPr="00000000" w14:paraId="00000003">
      <w:pPr>
        <w:pStyle w:val="Heading2"/>
        <w:jc w:val="center"/>
        <w:rPr/>
      </w:pPr>
      <w:bookmarkStart w:colFirst="0" w:colLast="0" w:name="_nmtud8r1vu4" w:id="2"/>
      <w:bookmarkEnd w:id="2"/>
      <w:r w:rsidDel="00000000" w:rsidR="00000000" w:rsidRPr="00000000">
        <w:rPr>
          <w:rtl w:val="0"/>
        </w:rPr>
        <w:t xml:space="preserve">and Interventions to Mitigate Resistance </w:t>
      </w:r>
    </w:p>
    <w:p w:rsidR="00000000" w:rsidDel="00000000" w:rsidP="00000000" w:rsidRDefault="00000000" w:rsidRPr="00000000" w14:paraId="00000004">
      <w:pPr>
        <w:pStyle w:val="Heading2"/>
        <w:jc w:val="center"/>
        <w:rPr/>
      </w:pPr>
      <w:bookmarkStart w:colFirst="0" w:colLast="0" w:name="_5i3yx536pkgc" w:id="3"/>
      <w:bookmarkEnd w:id="3"/>
      <w:r w:rsidDel="00000000" w:rsidR="00000000" w:rsidRPr="00000000">
        <w:rPr>
          <w:rtl w:val="0"/>
        </w:rPr>
        <w:t xml:space="preserve">Paul E. Marik, MD, FCCM, FCCP </w:t>
      </w:r>
    </w:p>
    <w:p w:rsidR="00000000" w:rsidDel="00000000" w:rsidP="00000000" w:rsidRDefault="00000000" w:rsidRPr="00000000" w14:paraId="00000005">
      <w:pPr>
        <w:pStyle w:val="Heading2"/>
        <w:jc w:val="center"/>
        <w:rPr/>
      </w:pPr>
      <w:bookmarkStart w:colFirst="0" w:colLast="0" w:name="_vsfr1p93oqrp" w:id="4"/>
      <w:bookmarkEnd w:id="4"/>
      <w:r w:rsidDel="00000000" w:rsidR="00000000" w:rsidRPr="00000000">
        <w:rPr>
          <w:rtl w:val="0"/>
        </w:rPr>
        <w:t xml:space="preserve">Justus R. Hope, MD</w:t>
      </w:r>
    </w:p>
    <w:p w:rsidR="00000000" w:rsidDel="00000000" w:rsidP="00000000" w:rsidRDefault="00000000" w:rsidRPr="00000000" w14:paraId="00000006">
      <w:pP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This guide outlines our complementary approach to the use of repurposed drugs in cancer treatment. It is not intended as a comprehensive reference. The full guide, "Cancer Care: The Role of Repurposed Drugs and Metabolic Interventions in Treating Cancer," including all scientific references, is available at imahealth.org/research/cancer-care.</w:t>
      </w:r>
      <w:r w:rsidDel="00000000" w:rsidR="00000000" w:rsidRPr="00000000">
        <w:br w:type="page"/>
      </w:r>
      <w:r w:rsidDel="00000000" w:rsidR="00000000" w:rsidRPr="00000000">
        <w:rPr>
          <w:rtl w:val="0"/>
        </w:rPr>
      </w:r>
    </w:p>
    <w:p w:rsidR="00000000" w:rsidDel="00000000" w:rsidP="00000000" w:rsidRDefault="00000000" w:rsidRPr="00000000" w14:paraId="00000008">
      <w:pP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09">
      <w:pPr>
        <w:pStyle w:val="Heading2"/>
        <w:jc w:val="center"/>
        <w:rPr/>
      </w:pPr>
      <w:bookmarkStart w:colFirst="0" w:colLast="0" w:name="_mxrnymtposy5" w:id="5"/>
      <w:bookmarkEnd w:id="5"/>
      <w:r w:rsidDel="00000000" w:rsidR="00000000" w:rsidRPr="00000000">
        <w:rPr>
          <w:rtl w:val="0"/>
        </w:rPr>
        <w:t xml:space="preserve">Introduction</w:t>
      </w:r>
    </w:p>
    <w:p w:rsidR="00000000" w:rsidDel="00000000" w:rsidP="00000000" w:rsidRDefault="00000000" w:rsidRPr="00000000" w14:paraId="0000000A">
      <w:pPr>
        <w:rPr>
          <w:rFonts w:ascii="Calibri" w:cs="Calibri" w:eastAsia="Calibri" w:hAnsi="Calibri"/>
        </w:rPr>
      </w:pPr>
      <w:r w:rsidDel="00000000" w:rsidR="00000000" w:rsidRPr="00000000">
        <w:rPr>
          <w:rFonts w:ascii="Calibri" w:cs="Calibri" w:eastAsia="Calibri" w:hAnsi="Calibri"/>
          <w:b w:val="1"/>
          <w:bCs w:val="1"/>
          <w:rtl w:val="0"/>
        </w:rPr>
        <w:t xml:space="preserve">Caution to the reader:</w:t>
      </w:r>
      <w:r w:rsidDel="00000000" w:rsidR="00000000" w:rsidRPr="00000000">
        <w:rPr>
          <w:rFonts w:ascii="Calibri" w:cs="Calibri" w:eastAsia="Calibri" w:hAnsi="Calibri"/>
          <w:rtl w:val="0"/>
        </w:rPr>
        <w:t xml:space="preserve"> This is a complex and evolving topic that depends heavily on an understanding of molecular biology. The material has been distilled to remain accessible while preserving mechanistic accuracy. Please refer to Figures 2–4</w:t>
      </w:r>
      <w:r w:rsidDel="00000000" w:rsidR="00000000" w:rsidRPr="00000000">
        <w:rPr>
          <w:rFonts w:ascii="Calibri" w:cs="Calibri" w:eastAsia="Calibri" w:hAnsi="Calibri"/>
          <w:b w:val="1"/>
          <w:bCs w:val="1"/>
          <w:rtl w:val="0"/>
        </w:rPr>
        <w:t xml:space="preserve">,</w:t>
      </w:r>
      <w:r w:rsidDel="00000000" w:rsidR="00000000" w:rsidRPr="00000000">
        <w:rPr>
          <w:rFonts w:ascii="Calibri" w:cs="Calibri" w:eastAsia="Calibri" w:hAnsi="Calibri"/>
          <w:rtl w:val="0"/>
        </w:rPr>
        <w:t xml:space="preserve"> which outline simplified and practical approaches to managing resistance. </w:t>
      </w:r>
    </w:p>
    <w:p w:rsidR="00000000" w:rsidDel="00000000" w:rsidP="00000000" w:rsidRDefault="00000000" w:rsidRPr="00000000" w14:paraId="0000000B">
      <w:pPr>
        <w:rPr>
          <w:rFonts w:ascii="Calibri" w:cs="Calibri" w:eastAsia="Calibri" w:hAnsi="Calibri"/>
        </w:rPr>
      </w:pPr>
      <w:r w:rsidDel="00000000" w:rsidR="00000000" w:rsidRPr="00000000">
        <w:rPr>
          <w:rFonts w:ascii="Calibri" w:cs="Calibri" w:eastAsia="Calibri" w:hAnsi="Calibri"/>
          <w:rtl w:val="0"/>
        </w:rPr>
        <w:t xml:space="preserve">Clinicians using a metabolic framework informed by the work of Thomas Seyfried and Paul Marik may combine four to five repurposed prescription agents with four to five nutraceuticals. After approximately two years of this approach, acquired resistance may begin to emerge, and a disease that was previously stable can progress, in some cases rapidly. </w:t>
      </w:r>
    </w:p>
    <w:p w:rsidR="00000000" w:rsidDel="00000000" w:rsidP="00000000" w:rsidRDefault="00000000" w:rsidRPr="00000000" w14:paraId="0000000C">
      <w:pPr>
        <w:rPr>
          <w:rFonts w:ascii="Calibri" w:cs="Calibri" w:eastAsia="Calibri" w:hAnsi="Calibri"/>
        </w:rPr>
      </w:pPr>
      <w:r w:rsidDel="00000000" w:rsidR="00000000" w:rsidRPr="00000000">
        <w:rPr>
          <w:rFonts w:ascii="Calibri" w:cs="Calibri" w:eastAsia="Calibri" w:hAnsi="Calibri"/>
          <w:rtl w:val="0"/>
        </w:rPr>
        <w:t xml:space="preserve">This raises critical questions:</w:t>
      </w:r>
    </w:p>
    <w:p w:rsidR="00000000" w:rsidDel="00000000" w:rsidP="00000000" w:rsidRDefault="00000000" w:rsidRPr="00000000" w14:paraId="0000000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z w:val="24"/>
          <w:szCs w:val="24"/>
          <w:u w:val="none"/>
          <w:shd w:fill="auto" w:val="clear"/>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How should this strategy be modified? </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z w:val="24"/>
          <w:szCs w:val="24"/>
          <w:u w:val="none"/>
          <w:shd w:fill="auto" w:val="clear"/>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Should mechanistically similar agents be cycled or alternated more frequently? </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z w:val="24"/>
          <w:szCs w:val="24"/>
          <w:u w:val="none"/>
          <w:shd w:fill="auto" w:val="clear"/>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Should dosing be intermittent rather than continuous? </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0"/>
          <w:bCs w:val="0"/>
          <w:i w:val="0"/>
          <w:iCs w:val="0"/>
          <w:sz w:val="24"/>
          <w:szCs w:val="24"/>
          <w:u w:val="none"/>
          <w:shd w:fill="auto" w:val="clear"/>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What approaches have been developed to prevent resistance to cancer therapy?</w:t>
      </w:r>
      <w:r w:rsidDel="00000000" w:rsidR="00000000" w:rsidRPr="00000000">
        <w:rPr>
          <w:rtl w:val="0"/>
        </w:rPr>
      </w:r>
    </w:p>
    <w:p w:rsidR="00000000" w:rsidDel="00000000" w:rsidP="00000000" w:rsidRDefault="00000000" w:rsidRPr="00000000" w14:paraId="00000011">
      <w:pPr>
        <w:spacing w:after="280" w:before="280" w:line="240" w:lineRule="auto"/>
        <w:rPr>
          <w:rFonts w:ascii="Calibri" w:cs="Calibri" w:eastAsia="Calibri" w:hAnsi="Calibri"/>
        </w:rPr>
      </w:pPr>
      <w:r w:rsidDel="00000000" w:rsidR="00000000" w:rsidRPr="00000000">
        <w:rPr>
          <w:rFonts w:ascii="Calibri" w:cs="Calibri" w:eastAsia="Calibri" w:hAnsi="Calibri"/>
          <w:rtl w:val="0"/>
        </w:rPr>
        <w:t xml:space="preserve">Acquired resistance under chronic metabolic therapy is not a failure of targeting but a predictable evolutionary response. The central issue is not whether multi-agent metabolic therapy works initially, but how tumor populations adapt over time under sustained selective pressure.</w:t>
      </w:r>
    </w:p>
    <w:p w:rsidR="00000000" w:rsidDel="00000000" w:rsidP="00000000" w:rsidRDefault="00000000" w:rsidRPr="00000000" w14:paraId="00000012">
      <w:pPr>
        <w:spacing w:after="280" w:before="280" w:line="240" w:lineRule="auto"/>
        <w:rPr>
          <w:rFonts w:ascii="Calibri" w:cs="Calibri" w:eastAsia="Calibri" w:hAnsi="Calibri"/>
        </w:rPr>
      </w:pPr>
      <w:r w:rsidDel="00000000" w:rsidR="00000000" w:rsidRPr="00000000">
        <w:rPr>
          <w:rFonts w:ascii="Calibri" w:cs="Calibri" w:eastAsia="Calibri" w:hAnsi="Calibri"/>
          <w:rtl w:val="0"/>
        </w:rPr>
        <w:t xml:space="preserve">Cancer is a complicated disease, and patient care should be supervised by an integrative clinician; patients should not treat themselves. Biological Basis of Metabolic Resistance. Evolutionary dynamics under chronic pressure</w:t>
      </w:r>
    </w:p>
    <w:p w:rsidR="00000000" w:rsidDel="00000000" w:rsidP="00000000" w:rsidRDefault="00000000" w:rsidRPr="00000000" w14:paraId="00000013">
      <w:pPr>
        <w:spacing w:after="280" w:before="28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4">
      <w:pPr>
        <w:rPr>
          <w:rFonts w:ascii="Calibri" w:cs="Calibri" w:eastAsia="Calibri" w:hAnsi="Calibri"/>
        </w:rPr>
      </w:pPr>
      <w:r w:rsidDel="00000000" w:rsidR="00000000" w:rsidRPr="00000000">
        <w:br w:type="page"/>
      </w:r>
      <w:r w:rsidDel="00000000" w:rsidR="00000000" w:rsidRPr="00000000">
        <w:rPr>
          <w:rFonts w:ascii="Calibri" w:cs="Calibri" w:eastAsia="Calibri" w:hAnsi="Calibri"/>
          <w:rtl w:val="0"/>
        </w:rPr>
        <w:t xml:space="preserve">This scenario reflects acquired therapeutic resistance under chronic multi-agent metabolic pressure—a well-established phenomenon in oncology, even when regimens fall outside conventional protocols. Cancers develop resistance because metabolically flexible, stress-tolerant subclones—often enriched for cancer stem cell (CSC)-like properties—survive and adapt through layered metabolic, signaling, and microenvironmental rewiring. Preventing resistance requires constraining metabolic plasticity, limiting tolerable stress, and periodically reshaping the selective landscape rather than applying static, continuous pressure.</w:t>
      </w:r>
    </w:p>
    <w:p w:rsidR="00000000" w:rsidDel="00000000" w:rsidP="00000000" w:rsidRDefault="00000000" w:rsidRPr="00000000" w14:paraId="00000015">
      <w:pPr>
        <w:spacing w:after="280" w:before="280" w:line="240" w:lineRule="auto"/>
        <w:rPr>
          <w:rFonts w:ascii="Calibri" w:cs="Calibri" w:eastAsia="Calibri" w:hAnsi="Calibri"/>
        </w:rPr>
      </w:pPr>
      <w:r w:rsidDel="00000000" w:rsidR="00000000" w:rsidRPr="00000000">
        <w:rPr>
          <w:rFonts w:ascii="Calibri" w:cs="Calibri" w:eastAsia="Calibri" w:hAnsi="Calibri"/>
          <w:rtl w:val="0"/>
        </w:rPr>
        <w:t xml:space="preserve">Under chronic low-to-moderate metabolic stress from repurposed drugs and nutraceuticals such as metformin, statins, EGCG, and curcumin, tumor populations are not simply suppressed; they are evolutionarily trained to survive in a perturbed metabolic niche. This selects subpopulations with enhanced metabolic plasticity, stress-response signaling, and CSC-like traits, which together drive resistance and relapse.(1-3)</w:t>
      </w:r>
    </w:p>
    <w:p w:rsidR="00000000" w:rsidDel="00000000" w:rsidP="00000000" w:rsidRDefault="00000000" w:rsidRPr="00000000" w14:paraId="00000016">
      <w:pPr>
        <w:spacing w:after="280" w:before="280" w:line="240" w:lineRule="auto"/>
        <w:rPr>
          <w:rFonts w:ascii="Calibri" w:cs="Calibri" w:eastAsia="Calibri" w:hAnsi="Calibri"/>
        </w:rPr>
      </w:pPr>
      <w:r w:rsidDel="00000000" w:rsidR="00000000" w:rsidRPr="00000000">
        <w:rPr>
          <w:rFonts w:ascii="Calibri" w:cs="Calibri" w:eastAsia="Calibri" w:hAnsi="Calibri"/>
          <w:rtl w:val="0"/>
        </w:rPr>
        <w:t xml:space="preserve">Under chronic exposure to repurposed drugs and nutraceuticals, the cells that survive are those capable of rewiring metabolism, repairing damage, and occupying protective niches, thereby enriching tumors with highly adaptable, therapy-tolerant clones over time.(2) These conditions favor slowcycling, quasi--dormant, CSC-like populations that can shift between glycolysis and oxidative phosphorylation (OXPHOS), exploit lipids and glutamine, and upregulate stress response programs, -rendering subsequent therapies less effective.(4)</w:t>
      </w:r>
    </w:p>
    <w:p w:rsidR="00000000" w:rsidDel="00000000" w:rsidP="00000000" w:rsidRDefault="00000000" w:rsidRPr="00000000" w14:paraId="00000017">
      <w:pPr>
        <w:pStyle w:val="Heading3"/>
        <w:spacing w:after="280" w:before="280" w:line="240" w:lineRule="auto"/>
        <w:rPr/>
      </w:pPr>
      <w:bookmarkStart w:colFirst="0" w:colLast="0" w:name="_hw18jibs0k76" w:id="6"/>
      <w:bookmarkEnd w:id="6"/>
      <w:r w:rsidDel="00000000" w:rsidR="00000000" w:rsidRPr="00000000">
        <w:rPr>
          <w:rtl w:val="0"/>
        </w:rPr>
        <w:t xml:space="preserve">Metabolic plasticity as a central driver</w:t>
      </w:r>
    </w:p>
    <w:p w:rsidR="00000000" w:rsidDel="00000000" w:rsidP="00000000" w:rsidRDefault="00000000" w:rsidRPr="00000000" w14:paraId="00000018">
      <w:pPr>
        <w:spacing w:after="280" w:before="280" w:line="240" w:lineRule="auto"/>
        <w:rPr>
          <w:rFonts w:ascii="Calibri" w:cs="Calibri" w:eastAsia="Calibri" w:hAnsi="Calibri"/>
        </w:rPr>
      </w:pPr>
      <w:r w:rsidDel="00000000" w:rsidR="00000000" w:rsidRPr="00000000">
        <w:rPr>
          <w:rFonts w:ascii="Calibri" w:cs="Calibri" w:eastAsia="Calibri" w:hAnsi="Calibri"/>
          <w:rtl w:val="0"/>
        </w:rPr>
        <w:t xml:space="preserve">This adaptive flexibility is rooted in metabolic plasticity. Metabolic plasticity enables cancer cells to toggle between glycolytic and oxidative states or adopt hybrid phenotypes that utilize both pathways while maintaining reactive oxygen species (ROS) at survivable levels, thereby promoting survival under diverse metabolic therapies.(5) Repurposed agents such as metformin and statins typically target specific metabolic nodes (e.g., AMPK–mTOR signaling, complex I, lipogenesis), but chronic partial inhibition can drive a shift toward alternative fuel sources, including fatty acid oxidation, glutamine, and lactate, along with increased mitochondrial biogenesis, ultimately creating a more resilient metabolic network.(6)</w:t>
      </w:r>
      <w:r w:rsidDel="00000000" w:rsidR="00000000" w:rsidRPr="00000000">
        <w:br w:type="page"/>
      </w:r>
      <w:r w:rsidDel="00000000" w:rsidR="00000000" w:rsidRPr="00000000">
        <w:rPr>
          <w:rtl w:val="0"/>
        </w:rPr>
      </w:r>
    </w:p>
    <w:p w:rsidR="00000000" w:rsidDel="00000000" w:rsidP="00000000" w:rsidRDefault="00000000" w:rsidRPr="00000000" w14:paraId="00000019">
      <w:pPr>
        <w:spacing w:after="280" w:before="28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A">
      <w:pPr>
        <w:pStyle w:val="Heading3"/>
        <w:spacing w:after="280" w:before="280" w:line="240" w:lineRule="auto"/>
        <w:rPr/>
      </w:pPr>
      <w:bookmarkStart w:colFirst="0" w:colLast="0" w:name="_t8xwvm2hcnxr" w:id="7"/>
      <w:bookmarkEnd w:id="7"/>
      <w:r w:rsidDel="00000000" w:rsidR="00000000" w:rsidRPr="00000000">
        <w:rPr>
          <w:rtl w:val="0"/>
        </w:rPr>
        <w:t xml:space="preserve">Stress signaling, epigenetic adaptation, and redox remodeling</w:t>
      </w:r>
    </w:p>
    <w:p w:rsidR="00000000" w:rsidDel="00000000" w:rsidP="00000000" w:rsidRDefault="00000000" w:rsidRPr="00000000" w14:paraId="0000001B">
      <w:pPr>
        <w:spacing w:after="280" w:before="280" w:line="240" w:lineRule="auto"/>
        <w:rPr>
          <w:rFonts w:ascii="Calibri" w:cs="Calibri" w:eastAsia="Calibri" w:hAnsi="Calibri"/>
        </w:rPr>
      </w:pPr>
      <w:r w:rsidDel="00000000" w:rsidR="00000000" w:rsidRPr="00000000">
        <w:rPr>
          <w:rFonts w:ascii="Calibri" w:cs="Calibri" w:eastAsia="Calibri" w:hAnsi="Calibri"/>
          <w:rtl w:val="0"/>
        </w:rPr>
        <w:t xml:space="preserve">Continuous exposure to polyphenols and metabolic drugs can remodel signaling (e.g., NF-κB, Nrf2, STAT3, PI3K–AKT) and alter epigenetic marks, facilitating the emergence of a stable, tolerant phenotype rather than outright cell death.(7) Some nutraceuticals, such as EGCG, induce cytoprotective responses, including activation of the Nrf2–HO1- axis; combinations such as EGCG plus metformin may enhance tumor cell kill, but if underdosed or poorly timed, they may permit selection of cells with reinforced antioxidant defenses.(8)</w:t>
      </w:r>
    </w:p>
    <w:p w:rsidR="00000000" w:rsidDel="00000000" w:rsidP="00000000" w:rsidRDefault="00000000" w:rsidRPr="00000000" w14:paraId="0000001C">
      <w:pPr>
        <w:spacing w:after="280" w:before="280" w:line="240" w:lineRule="auto"/>
        <w:rPr>
          <w:rFonts w:ascii="Calibri" w:cs="Calibri" w:eastAsia="Calibri" w:hAnsi="Calibri"/>
        </w:rPr>
      </w:pPr>
      <w:r w:rsidDel="00000000" w:rsidR="00000000" w:rsidRPr="00000000">
        <w:rPr>
          <w:rFonts w:ascii="Calibri" w:cs="Calibri" w:eastAsia="Calibri" w:hAnsi="Calibri"/>
          <w:rtl w:val="0"/>
        </w:rPr>
        <w:t xml:space="preserve">Taken together, the following factors are the most common drivers of resistance under sustained metabolic pressure.</w:t>
      </w:r>
    </w:p>
    <w:p w:rsidR="00000000" w:rsidDel="00000000" w:rsidP="00000000" w:rsidRDefault="00000000" w:rsidRPr="00000000" w14:paraId="0000001D">
      <w:pPr>
        <w:spacing w:before="280" w:line="240" w:lineRule="auto"/>
        <w:rPr>
          <w:rFonts w:ascii="Calibri" w:cs="Calibri" w:eastAsia="Calibri" w:hAnsi="Calibri"/>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2"/>
        <w:spacing w:before="280" w:line="240" w:lineRule="auto"/>
        <w:jc w:val="center"/>
        <w:rPr/>
      </w:pPr>
      <w:bookmarkStart w:colFirst="0" w:colLast="0" w:name="_r7trfdp1b370" w:id="8"/>
      <w:bookmarkEnd w:id="8"/>
      <w:r w:rsidDel="00000000" w:rsidR="00000000" w:rsidRPr="00000000">
        <w:rPr>
          <w:rtl w:val="0"/>
        </w:rPr>
        <w:t xml:space="preserve">Key Drivers of Resistance Under Metabolic Pressure</w:t>
      </w:r>
    </w:p>
    <w:p w:rsidR="00000000" w:rsidDel="00000000" w:rsidP="00000000" w:rsidRDefault="00000000" w:rsidRPr="00000000" w14:paraId="0000001F">
      <w:pPr>
        <w:pStyle w:val="Heading3"/>
        <w:spacing w:after="280" w:line="240" w:lineRule="auto"/>
        <w:rPr/>
      </w:pPr>
      <w:bookmarkStart w:colFirst="0" w:colLast="0" w:name="_tzpvfw65g7w" w:id="9"/>
      <w:bookmarkEnd w:id="9"/>
      <w:r w:rsidDel="00000000" w:rsidR="00000000" w:rsidRPr="00000000">
        <w:rPr>
          <w:rtl w:val="0"/>
        </w:rPr>
        <w:t xml:space="preserve">Metabolic plasticity and switching</w:t>
      </w:r>
    </w:p>
    <w:p w:rsidR="00000000" w:rsidDel="00000000" w:rsidP="00000000" w:rsidRDefault="00000000" w:rsidRPr="00000000" w14:paraId="0000002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280" w:line="240"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Tumors and CSCs switch between glycolysis and OXPHOS in response to metabolic therapies; inhibition of Warburg-type glycolysis may promote an OXPHOS-dominant, more quiescent, stress-resistant state.(3)</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40"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Metabolic therapies (including dietary modulation and pharmacologic agents) can induce a glycolysis↔OXPHOS shift that sustains survival despite initial growth inhibition.(9) </w:t>
      </w:r>
      <w:r w:rsidDel="00000000" w:rsidR="00000000" w:rsidRPr="00000000">
        <w:rPr>
          <w:rtl w:val="0"/>
        </w:rPr>
      </w:r>
    </w:p>
    <w:p w:rsidR="00000000" w:rsidDel="00000000" w:rsidP="00000000" w:rsidRDefault="00000000" w:rsidRPr="00000000" w14:paraId="00000022">
      <w:pPr>
        <w:pStyle w:val="Heading3"/>
        <w:spacing w:before="280" w:line="240" w:lineRule="auto"/>
        <w:rPr/>
      </w:pPr>
      <w:bookmarkStart w:colFirst="0" w:colLast="0" w:name="_5g7nomfkuxw0" w:id="10"/>
      <w:bookmarkEnd w:id="10"/>
      <w:r w:rsidDel="00000000" w:rsidR="00000000" w:rsidRPr="00000000">
        <w:rPr>
          <w:rtl w:val="0"/>
        </w:rPr>
        <w:t xml:space="preserve">Enrichment of CSC-like subpopulations</w:t>
      </w:r>
    </w:p>
    <w:p w:rsidR="00000000" w:rsidDel="00000000" w:rsidP="00000000" w:rsidRDefault="00000000" w:rsidRPr="00000000" w14:paraId="0000002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CSCs exhibit marked metabolic flexibility—glycolytic in some contexts, OXPHOS- or fatty-acid-oxidation–dependent in others—enabling survival under nutrient restriction, hypoxia, and drug-induced stress.(10)</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8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Chronic metabolic stress may increase CSC markers, enhance sphere-forming capacity, and promote quiescence via pathways such as Notch, Wnt/βcatenin, and JARID1B-associated programs-, supporting survival and delayed relapse.</w:t>
      </w:r>
      <w:r w:rsidDel="00000000" w:rsidR="00000000" w:rsidRPr="00000000">
        <w:rPr>
          <w:rtl w:val="0"/>
        </w:rPr>
      </w:r>
    </w:p>
    <w:p w:rsidR="00000000" w:rsidDel="00000000" w:rsidP="00000000" w:rsidRDefault="00000000" w:rsidRPr="00000000" w14:paraId="00000025">
      <w:pPr>
        <w:pStyle w:val="Heading3"/>
        <w:spacing w:before="280" w:line="240" w:lineRule="auto"/>
        <w:rPr/>
      </w:pPr>
      <w:bookmarkStart w:colFirst="0" w:colLast="0" w:name="_rer3gqes7c0s" w:id="11"/>
      <w:bookmarkEnd w:id="11"/>
      <w:r w:rsidDel="00000000" w:rsidR="00000000" w:rsidRPr="00000000">
        <w:rPr>
          <w:rtl w:val="0"/>
        </w:rPr>
        <w:t xml:space="preserve">Adaptive stress signaling and transcriptional reprogramming</w:t>
      </w:r>
    </w:p>
    <w:p w:rsidR="00000000" w:rsidDel="00000000" w:rsidP="00000000" w:rsidRDefault="00000000" w:rsidRPr="00000000" w14:paraId="0000002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280" w:line="240"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Targeted inhibition of oncogenic signaling often triggers compensatory activation of survival pathways (e.g., STAT3–IL-6, Notch, stress granule–associated programs), providing early adaptive resistance that precedes stable genetic changes.(11)</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40" w:lineRule="auto"/>
        <w:ind w:left="36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Metabolic stress activates the integrated stress response (ISR), unfolded protein response, autophagy, and antioxidant systems, allowing cells to tolerate ROS and energy depletion while maintaining viability.(12)</w:t>
      </w:r>
      <w:r w:rsidDel="00000000" w:rsidR="00000000" w:rsidRPr="00000000">
        <w:rPr>
          <w:rtl w:val="0"/>
        </w:rPr>
      </w:r>
    </w:p>
    <w:p w:rsidR="00000000" w:rsidDel="00000000" w:rsidP="00000000" w:rsidRDefault="00000000" w:rsidRPr="00000000" w14:paraId="00000028">
      <w:pPr>
        <w:pStyle w:val="Heading3"/>
        <w:spacing w:after="0" w:lineRule="auto"/>
        <w:rPr/>
      </w:pPr>
      <w:bookmarkStart w:colFirst="0" w:colLast="0" w:name="_gxqado6d92jn" w:id="12"/>
      <w:bookmarkEnd w:id="12"/>
      <w:r w:rsidDel="00000000" w:rsidR="00000000" w:rsidRPr="00000000">
        <w:rPr>
          <w:rFonts w:ascii="Calibri" w:cs="Calibri" w:eastAsia="Calibri" w:hAnsi="Calibri"/>
          <w:b w:val="1"/>
          <w:bCs w:val="1"/>
          <w:rtl w:val="0"/>
        </w:rPr>
        <w:t xml:space="preserve">Microenvironmental and niche-level adaptation</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280" w:line="240"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Stromal cells, immune infiltrates, and the extracellular matrix remodel in response to chronic stress, buffering cancer cells metabolically through lactate and amino acid shuttling and exosome-mediated transfer of metabolites and microRNA.(2)</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Dietary inputs and nutraceutical exposure may shape CSC metabolic phenotypes and niche signals, affecting the balance between differentiation and stemness under ongoing therapy.(13)</w:t>
      </w:r>
      <w:r w:rsidDel="00000000" w:rsidR="00000000" w:rsidRPr="00000000">
        <w:rPr>
          <w:rtl w:val="0"/>
        </w:rPr>
      </w:r>
    </w:p>
    <w:p w:rsidR="00000000" w:rsidDel="00000000" w:rsidP="00000000" w:rsidRDefault="00000000" w:rsidRPr="00000000" w14:paraId="0000002B">
      <w:pPr>
        <w:spacing w:after="0" w:line="240" w:lineRule="auto"/>
        <w:ind w:left="36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C">
      <w:pPr>
        <w:spacing w:line="240" w:lineRule="auto"/>
        <w:rPr>
          <w:rFonts w:ascii="Calibri" w:cs="Calibri" w:eastAsia="Calibri" w:hAnsi="Calibri"/>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2D">
      <w:pPr>
        <w:pStyle w:val="Heading3"/>
        <w:spacing w:line="240" w:lineRule="auto"/>
        <w:rPr>
          <w:rFonts w:ascii="Calibri" w:cs="Calibri" w:eastAsia="Calibri" w:hAnsi="Calibri"/>
          <w:b w:val="1"/>
          <w:bCs w:val="1"/>
        </w:rPr>
      </w:pPr>
      <w:bookmarkStart w:colFirst="0" w:colLast="0" w:name="_xai3o97zhtqw" w:id="13"/>
      <w:bookmarkEnd w:id="13"/>
      <w:r w:rsidDel="00000000" w:rsidR="00000000" w:rsidRPr="00000000">
        <w:rPr>
          <w:rFonts w:ascii="Calibri" w:cs="Calibri" w:eastAsia="Calibri" w:hAnsi="Calibri"/>
          <w:b w:val="1"/>
          <w:bCs w:val="1"/>
          <w:rtl w:val="0"/>
        </w:rPr>
        <w:t xml:space="preserve">Genetic and epigenetic hardening over time</w:t>
      </w:r>
    </w:p>
    <w:p w:rsidR="00000000" w:rsidDel="00000000" w:rsidP="00000000" w:rsidRDefault="00000000" w:rsidRPr="00000000" w14:paraId="0000002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Repeated or chronic sublethal stress selects for clones with mutations or stable epigenetic programs that further stabilize adaptable phenotypes, such as those driven by chromatin modifiers like JARID1B that support slow-cycling, therapy-tolerant cells.(9)</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Drug repurposing targets multiple pathways (AMPK–mTOR, EMT, angiogenesis, inflammation), but incomplete suppression may favor cells that integrate these signals into a more resilient state rather than undergoing apoptosis.</w:t>
      </w:r>
      <w:r w:rsidDel="00000000" w:rsidR="00000000" w:rsidRPr="00000000">
        <w:rPr>
          <w:rtl w:val="0"/>
        </w:rPr>
      </w:r>
    </w:p>
    <w:p w:rsidR="00000000" w:rsidDel="00000000" w:rsidP="00000000" w:rsidRDefault="00000000" w:rsidRPr="00000000" w14:paraId="00000030">
      <w:pPr>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1">
      <w:pPr>
        <w:pStyle w:val="Heading2"/>
        <w:jc w:val="center"/>
        <w:rPr/>
      </w:pPr>
      <w:bookmarkStart w:colFirst="0" w:colLast="0" w:name="_vf0cbpnc1qp5" w:id="14"/>
      <w:bookmarkEnd w:id="14"/>
      <w:r w:rsidDel="00000000" w:rsidR="00000000" w:rsidRPr="00000000">
        <w:rPr>
          <w:rtl w:val="0"/>
        </w:rPr>
        <w:t xml:space="preserve">Why Multi-Agent Metabolic Regimens Are Double-Edged</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Multi-agent metabolic combinations (e.g., metformin plus statins, beta-blockers, and nutraceuticals such as EGCG and curcumin) aim to exert synergistic pressure across tumor metabolism, angiogenesis, EMT, inflammatory signaling, and CSC pathways. Yet this broad metabolic pressure can be double-edged:</w:t>
      </w:r>
    </w:p>
    <w:p w:rsidR="00000000" w:rsidDel="00000000" w:rsidP="00000000" w:rsidRDefault="00000000" w:rsidRPr="00000000" w14:paraId="00000033">
      <w:pPr>
        <w:numPr>
          <w:ilvl w:val="0"/>
          <w:numId w:val="12"/>
        </w:numPr>
        <w:spacing w:after="0" w:before="280" w:line="240" w:lineRule="auto"/>
        <w:ind w:left="360" w:hanging="360"/>
        <w:rPr/>
      </w:pPr>
      <w:r w:rsidDel="00000000" w:rsidR="00000000" w:rsidRPr="00000000">
        <w:rPr>
          <w:rFonts w:ascii="Calibri" w:cs="Calibri" w:eastAsia="Calibri" w:hAnsi="Calibri"/>
          <w:rtl w:val="0"/>
        </w:rPr>
        <w:t xml:space="preserve">If dosing intensity is kept in a tolerable band, cells experience chronic, nonlethal </w:t>
      </w:r>
      <w:bookmarkStart w:colFirst="0" w:colLast="0" w:name="i3rxj67dp9pd" w:id="15"/>
      <w:bookmarkEnd w:id="15"/>
      <w:r w:rsidDel="00000000" w:rsidR="00000000" w:rsidRPr="00000000">
        <w:rPr>
          <w:rFonts w:ascii="Calibri" w:cs="Calibri" w:eastAsia="Calibri" w:hAnsi="Calibri"/>
          <w:rtl w:val="0"/>
        </w:rPr>
        <w:t xml:space="preserve">glycometabolic stress that can enhance metabolic flexibility and CSC-like properties through altered </w:t>
      </w:r>
      <w:r w:rsidDel="00000000" w:rsidR="00000000" w:rsidRPr="00000000">
        <w:rPr>
          <w:rFonts w:ascii="Georgia" w:cs="Georgia" w:eastAsia="Georgia" w:hAnsi="Georgia"/>
          <w:i w:val="1"/>
          <w:iCs w:val="1"/>
          <w:rtl w:val="0"/>
        </w:rPr>
        <w:t xml:space="preserve">N</w:t>
      </w:r>
      <w:r w:rsidDel="00000000" w:rsidR="00000000" w:rsidRPr="00000000">
        <w:rPr>
          <w:rFonts w:ascii="Georgia" w:cs="Georgia" w:eastAsia="Georgia" w:hAnsi="Georgia"/>
          <w:rtl w:val="0"/>
        </w:rPr>
        <w:t xml:space="preserve">-glycosylation</w:t>
      </w:r>
      <w:r w:rsidDel="00000000" w:rsidR="00000000" w:rsidRPr="00000000">
        <w:rPr>
          <w:rFonts w:ascii="Calibri" w:cs="Calibri" w:eastAsia="Calibri" w:hAnsi="Calibri"/>
          <w:rtl w:val="0"/>
        </w:rPr>
        <w:t xml:space="preserve"> and Notch activation.(1)</w:t>
      </w:r>
      <w:r w:rsidDel="00000000" w:rsidR="00000000" w:rsidRPr="00000000">
        <w:rPr>
          <w:rtl w:val="0"/>
        </w:rPr>
      </w:r>
    </w:p>
    <w:p w:rsidR="00000000" w:rsidDel="00000000" w:rsidP="00000000" w:rsidRDefault="00000000" w:rsidRPr="00000000" w14:paraId="00000034">
      <w:pPr>
        <w:numPr>
          <w:ilvl w:val="0"/>
          <w:numId w:val="12"/>
        </w:numPr>
        <w:spacing w:after="280" w:before="0" w:line="240" w:lineRule="auto"/>
        <w:ind w:left="360" w:hanging="360"/>
        <w:rPr>
          <w:b w:val="1"/>
          <w:bCs w:val="1"/>
        </w:rPr>
      </w:pPr>
      <w:r w:rsidDel="00000000" w:rsidR="00000000" w:rsidRPr="00000000">
        <w:rPr>
          <w:rFonts w:ascii="Calibri" w:cs="Calibri" w:eastAsia="Calibri" w:hAnsi="Calibri"/>
          <w:rtl w:val="0"/>
        </w:rPr>
        <w:t xml:space="preserve">Incomplete, static pathway blockade can encourage rewiring rather than collapse of network function, so combination regimens that are not optimized for depth of target engagement may inadvertently act as training pressure rather than curative pressure.(11,14)</w:t>
      </w:r>
      <w:r w:rsidDel="00000000" w:rsidR="00000000" w:rsidRPr="00000000">
        <w:rPr>
          <w:rtl w:val="0"/>
        </w:rPr>
      </w:r>
    </w:p>
    <w:p w:rsidR="00000000" w:rsidDel="00000000" w:rsidP="00000000" w:rsidRDefault="00000000" w:rsidRPr="00000000" w14:paraId="00000035">
      <w:pPr>
        <w:spacing w:after="0" w:before="280" w:line="240" w:lineRule="auto"/>
        <w:rPr>
          <w:rFonts w:ascii="Calibri" w:cs="Calibri" w:eastAsia="Calibri" w:hAnsi="Calibri"/>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2"/>
        <w:spacing w:after="0" w:before="280" w:line="240" w:lineRule="auto"/>
        <w:jc w:val="center"/>
        <w:rPr/>
      </w:pPr>
      <w:bookmarkStart w:colFirst="0" w:colLast="0" w:name="_o4xyp81kzx28" w:id="16"/>
      <w:bookmarkEnd w:id="16"/>
      <w:r w:rsidDel="00000000" w:rsidR="00000000" w:rsidRPr="00000000">
        <w:rPr>
          <w:rtl w:val="0"/>
        </w:rPr>
        <w:t xml:space="preserve">Why Chronic, Flat Multi-Agent Regimens Are Risky</w:t>
      </w:r>
    </w:p>
    <w:p w:rsidR="00000000" w:rsidDel="00000000" w:rsidP="00000000" w:rsidRDefault="00000000" w:rsidRPr="00000000" w14:paraId="00000037">
      <w:pPr>
        <w:spacing w:after="280" w:before="280" w:line="240" w:lineRule="auto"/>
        <w:rPr>
          <w:rFonts w:ascii="Calibri" w:cs="Calibri" w:eastAsia="Calibri" w:hAnsi="Calibri"/>
        </w:rPr>
      </w:pPr>
      <w:r w:rsidDel="00000000" w:rsidR="00000000" w:rsidRPr="00000000">
        <w:rPr>
          <w:rFonts w:ascii="Calibri" w:cs="Calibri" w:eastAsia="Calibri" w:hAnsi="Calibri"/>
          <w:rtl w:val="0"/>
        </w:rPr>
        <w:t xml:space="preserve">Flat, continuous dosing of multiple repurposed drugs and nutraceuticals at tolerable levels can create a relatively stable, nonlethal environment—strong enough to stress but not eradicate cancer cells—thereby maximizing evolutionary time for adaptation.(5) Because many metabolic agents converge on overlapping pathways (e.g., AMPK activation, mTOR inhibition, glycolysis dampening), chronic multiagent use may canalize evolution toward subclones optimized for oxidative metabolism, fatty-acid utilization, autophagy, and CSC-like traits, enabling improved survival during subsequent therapies.(15,16)</w:t>
      </w:r>
    </w:p>
    <w:p w:rsidR="00000000" w:rsidDel="00000000" w:rsidP="00000000" w:rsidRDefault="00000000" w:rsidRPr="00000000" w14:paraId="00000038">
      <w:pPr>
        <w:pStyle w:val="Heading2"/>
        <w:spacing w:after="0" w:before="280" w:line="240" w:lineRule="auto"/>
        <w:jc w:val="center"/>
        <w:rPr/>
      </w:pPr>
      <w:bookmarkStart w:colFirst="0" w:colLast="0" w:name="_ylbodnder2qd" w:id="17"/>
      <w:bookmarkEnd w:id="17"/>
      <w:r w:rsidDel="00000000" w:rsidR="00000000" w:rsidRPr="00000000">
        <w:rPr>
          <w:rtl w:val="0"/>
        </w:rPr>
        <w:t xml:space="preserve">Role of Press–Pulse and Adaptive Therapy</w:t>
      </w:r>
    </w:p>
    <w:p w:rsidR="00000000" w:rsidDel="00000000" w:rsidP="00000000" w:rsidRDefault="00000000" w:rsidRPr="00000000" w14:paraId="00000039">
      <w:pPr>
        <w:spacing w:after="280" w:line="240" w:lineRule="auto"/>
        <w:rPr>
          <w:rFonts w:ascii="Calibri" w:cs="Calibri" w:eastAsia="Calibri" w:hAnsi="Calibri"/>
        </w:rPr>
      </w:pPr>
      <w:r w:rsidDel="00000000" w:rsidR="00000000" w:rsidRPr="00000000">
        <w:rPr>
          <w:rFonts w:ascii="Calibri" w:cs="Calibri" w:eastAsia="Calibri" w:hAnsi="Calibri"/>
          <w:rtl w:val="0"/>
        </w:rPr>
        <w:t xml:space="preserve">Press–pulse strategies apply a chronic press (e.g., a calorie-restricted ketogenic diet, low-dose metabolic modulators) to maintain sustained energy stress, while using intermittent pulses (cytotoxic drugs, ablative radiotherapy, higher intensity metabolic blocks) to debulk stressed cells.-(16) Adaptive therapy and press–pulse regimens deliberately avoid driving the tumor toward a single, maximally resistant state by modulating timing and intensity in response to tumor burden and biomarkers, preserving a population of therapy-sensitive cells to competitively suppress resistant clones.(5,16)</w:t>
      </w:r>
    </w:p>
    <w:p w:rsidR="00000000" w:rsidDel="00000000" w:rsidP="00000000" w:rsidRDefault="00000000" w:rsidRPr="00000000" w14:paraId="0000003A">
      <w:pPr>
        <w:spacing w:after="0" w:before="280" w:line="240" w:lineRule="auto"/>
        <w:rPr>
          <w:rFonts w:ascii="Calibri" w:cs="Calibri" w:eastAsia="Calibri" w:hAnsi="Calibri"/>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B">
      <w:pPr>
        <w:pStyle w:val="Heading2"/>
        <w:spacing w:after="0" w:before="280" w:line="240" w:lineRule="auto"/>
        <w:jc w:val="center"/>
        <w:rPr/>
      </w:pPr>
      <w:bookmarkStart w:colFirst="0" w:colLast="0" w:name="_jd5hfrrp4e9r" w:id="18"/>
      <w:bookmarkEnd w:id="18"/>
      <w:r w:rsidDel="00000000" w:rsidR="00000000" w:rsidRPr="00000000">
        <w:rPr>
          <w:rtl w:val="0"/>
        </w:rPr>
        <w:t xml:space="preserve">Practical Design Strategies</w:t>
      </w:r>
    </w:p>
    <w:p w:rsidR="00000000" w:rsidDel="00000000" w:rsidP="00000000" w:rsidRDefault="00000000" w:rsidRPr="00000000" w14:paraId="0000003C">
      <w:pPr>
        <w:spacing w:after="280" w:line="240" w:lineRule="auto"/>
        <w:rPr>
          <w:rFonts w:ascii="Calibri" w:cs="Calibri" w:eastAsia="Calibri" w:hAnsi="Calibri"/>
        </w:rPr>
      </w:pPr>
      <w:r w:rsidDel="00000000" w:rsidR="00000000" w:rsidRPr="00000000">
        <w:rPr>
          <w:rFonts w:ascii="Calibri" w:cs="Calibri" w:eastAsia="Calibri" w:hAnsi="Calibri"/>
          <w:rtl w:val="0"/>
        </w:rPr>
        <w:t xml:space="preserve">When building multi-agent protocols centered on repurposed drugs and nutraceuticals, several design elements can help minimize the emergence of adaptive resistance.(6)</w:t>
      </w:r>
    </w:p>
    <w:p w:rsidR="00000000" w:rsidDel="00000000" w:rsidP="00000000" w:rsidRDefault="00000000" w:rsidRPr="00000000" w14:paraId="0000003D">
      <w:pPr>
        <w:pStyle w:val="Heading3"/>
        <w:spacing w:line="240" w:lineRule="auto"/>
        <w:rPr/>
      </w:pPr>
      <w:bookmarkStart w:colFirst="0" w:colLast="0" w:name="_1otjj8h6ip0d" w:id="19"/>
      <w:bookmarkEnd w:id="19"/>
      <w:r w:rsidDel="00000000" w:rsidR="00000000" w:rsidRPr="00000000">
        <w:rPr>
          <w:rtl w:val="0"/>
        </w:rPr>
        <w:t xml:space="preserve">Timestructured press–pulse scheduling(16)</w:t>
      </w:r>
    </w:p>
    <w:p w:rsidR="00000000" w:rsidDel="00000000" w:rsidP="00000000" w:rsidRDefault="00000000" w:rsidRPr="00000000" w14:paraId="0000003E">
      <w:pPr>
        <w:numPr>
          <w:ilvl w:val="0"/>
          <w:numId w:val="1"/>
        </w:numPr>
        <w:spacing w:after="0" w:line="240" w:lineRule="auto"/>
        <w:ind w:left="360" w:hanging="360"/>
        <w:rPr/>
      </w:pPr>
      <w:r w:rsidDel="00000000" w:rsidR="00000000" w:rsidRPr="00000000">
        <w:rPr>
          <w:rFonts w:ascii="Calibri" w:cs="Calibri" w:eastAsia="Calibri" w:hAnsi="Calibri"/>
          <w:rtl w:val="0"/>
        </w:rPr>
        <w:t xml:space="preserve">Use chronic press elements, such as ketogenic or low-glucose diets and a small backbone of well-tolerated agents, rather than deploying the entire arsenal continuously.</w:t>
      </w:r>
      <w:r w:rsidDel="00000000" w:rsidR="00000000" w:rsidRPr="00000000">
        <w:rPr>
          <w:rtl w:val="0"/>
        </w:rPr>
      </w:r>
    </w:p>
    <w:p w:rsidR="00000000" w:rsidDel="00000000" w:rsidP="00000000" w:rsidRDefault="00000000" w:rsidRPr="00000000" w14:paraId="0000003F">
      <w:pPr>
        <w:numPr>
          <w:ilvl w:val="0"/>
          <w:numId w:val="1"/>
        </w:numPr>
        <w:spacing w:after="0" w:before="0" w:line="240" w:lineRule="auto"/>
        <w:ind w:left="360" w:hanging="360"/>
        <w:rPr/>
      </w:pPr>
      <w:r w:rsidDel="00000000" w:rsidR="00000000" w:rsidRPr="00000000">
        <w:rPr>
          <w:rFonts w:ascii="Calibri" w:cs="Calibri" w:eastAsia="Calibri" w:hAnsi="Calibri"/>
          <w:rtl w:val="0"/>
        </w:rPr>
        <w:t xml:space="preserve">Superimpose short pulses in which additional drugs (including cytotoxics or higher-dose metabolic blockers) are layered to produce decisive tumoricidal stress, then de-escalate to allow recovery of normal tissues and reduce selection for hyper-tolerant clones.</w:t>
      </w:r>
      <w:r w:rsidDel="00000000" w:rsidR="00000000" w:rsidRPr="00000000">
        <w:rPr>
          <w:rtl w:val="0"/>
        </w:rPr>
      </w:r>
    </w:p>
    <w:p w:rsidR="00000000" w:rsidDel="00000000" w:rsidP="00000000" w:rsidRDefault="00000000" w:rsidRPr="00000000" w14:paraId="00000040">
      <w:pPr>
        <w:pStyle w:val="Heading3"/>
        <w:spacing w:before="240" w:line="240" w:lineRule="auto"/>
        <w:rPr/>
      </w:pPr>
      <w:bookmarkStart w:colFirst="0" w:colLast="0" w:name="_udpn07vrvjnx" w:id="20"/>
      <w:bookmarkEnd w:id="20"/>
      <w:r w:rsidDel="00000000" w:rsidR="00000000" w:rsidRPr="00000000">
        <w:rPr>
          <w:b w:val="1"/>
          <w:bCs w:val="1"/>
          <w:rtl w:val="0"/>
        </w:rPr>
        <w:t xml:space="preserve">Rotating and modular combinations</w:t>
      </w:r>
      <w:r w:rsidDel="00000000" w:rsidR="00000000" w:rsidRPr="00000000">
        <w:rPr>
          <w:rtl w:val="0"/>
        </w:rPr>
        <w:t xml:space="preserve">(</w:t>
      </w:r>
      <w:r w:rsidDel="00000000" w:rsidR="00000000" w:rsidRPr="00000000">
        <w:rPr>
          <w:b w:val="1"/>
          <w:bCs w:val="1"/>
          <w:rtl w:val="0"/>
        </w:rPr>
        <w:t xml:space="preserve">15)</w:t>
      </w:r>
      <w:r w:rsidDel="00000000" w:rsidR="00000000" w:rsidRPr="00000000">
        <w:rPr>
          <w:rtl w:val="0"/>
        </w:rPr>
      </w:r>
    </w:p>
    <w:p w:rsidR="00000000" w:rsidDel="00000000" w:rsidP="00000000" w:rsidRDefault="00000000" w:rsidRPr="00000000" w14:paraId="00000041">
      <w:pPr>
        <w:numPr>
          <w:ilvl w:val="0"/>
          <w:numId w:val="23"/>
        </w:numPr>
        <w:spacing w:after="0" w:line="240" w:lineRule="auto"/>
        <w:ind w:left="360" w:hanging="360"/>
        <w:rPr/>
      </w:pPr>
      <w:r w:rsidDel="00000000" w:rsidR="00000000" w:rsidRPr="00000000">
        <w:rPr>
          <w:rFonts w:ascii="Calibri" w:cs="Calibri" w:eastAsia="Calibri" w:hAnsi="Calibri"/>
          <w:rtl w:val="0"/>
        </w:rPr>
        <w:t xml:space="preserve">Rotate subsets of agents that share overlapping targets (e.g., alternating OXPHOS-heavy, glycolysis-heavy, or lipogenesis-heavy modules) so tumors cannot stabilize around a single optimal metabolic configuration.</w:t>
      </w:r>
      <w:r w:rsidDel="00000000" w:rsidR="00000000" w:rsidRPr="00000000">
        <w:rPr>
          <w:rtl w:val="0"/>
        </w:rPr>
      </w:r>
    </w:p>
    <w:p w:rsidR="00000000" w:rsidDel="00000000" w:rsidP="00000000" w:rsidRDefault="00000000" w:rsidRPr="00000000" w14:paraId="00000042">
      <w:pPr>
        <w:numPr>
          <w:ilvl w:val="0"/>
          <w:numId w:val="23"/>
        </w:numPr>
        <w:spacing w:after="280" w:before="0" w:line="240" w:lineRule="auto"/>
        <w:ind w:left="360" w:hanging="360"/>
        <w:rPr/>
      </w:pPr>
      <w:r w:rsidDel="00000000" w:rsidR="00000000" w:rsidRPr="00000000">
        <w:rPr>
          <w:rFonts w:ascii="Calibri" w:cs="Calibri" w:eastAsia="Calibri" w:hAnsi="Calibri"/>
          <w:rtl w:val="0"/>
        </w:rPr>
        <w:t xml:space="preserve">Periodically withdraw certain agents (drug holidays) while maintaining overall tumor control with others, analogous to adaptive tyrosine kinase inhibitor strategies that preserve drug-sensitive populations and limit resistant expansion.</w:t>
      </w:r>
      <w:r w:rsidDel="00000000" w:rsidR="00000000" w:rsidRPr="00000000">
        <w:rPr>
          <w:rtl w:val="0"/>
        </w:rPr>
      </w:r>
    </w:p>
    <w:p w:rsidR="00000000" w:rsidDel="00000000" w:rsidP="00000000" w:rsidRDefault="00000000" w:rsidRPr="00000000" w14:paraId="00000043">
      <w:pPr>
        <w:pStyle w:val="Heading3"/>
        <w:spacing w:line="240" w:lineRule="auto"/>
        <w:rPr>
          <w:rFonts w:ascii="Calibri" w:cs="Calibri" w:eastAsia="Calibri" w:hAnsi="Calibri"/>
        </w:rPr>
      </w:pPr>
      <w:bookmarkStart w:colFirst="0" w:colLast="0" w:name="_d5qcis5a3eeb" w:id="21"/>
      <w:bookmarkEnd w:id="21"/>
      <w:r w:rsidDel="00000000" w:rsidR="00000000" w:rsidRPr="00000000">
        <w:rPr>
          <w:rFonts w:ascii="Calibri" w:cs="Calibri" w:eastAsia="Calibri" w:hAnsi="Calibri"/>
          <w:b w:val="1"/>
          <w:bCs w:val="1"/>
          <w:rtl w:val="0"/>
        </w:rPr>
        <w:t xml:space="preserve">Explicit CSC and plasticity targeting(17)</w:t>
      </w:r>
      <w:r w:rsidDel="00000000" w:rsidR="00000000" w:rsidRPr="00000000">
        <w:rPr>
          <w:rtl w:val="0"/>
        </w:rPr>
      </w:r>
    </w:p>
    <w:p w:rsidR="00000000" w:rsidDel="00000000" w:rsidP="00000000" w:rsidRDefault="00000000" w:rsidRPr="00000000" w14:paraId="00000044">
      <w:pPr>
        <w:numPr>
          <w:ilvl w:val="0"/>
          <w:numId w:val="28"/>
        </w:numPr>
        <w:spacing w:after="0" w:line="240" w:lineRule="auto"/>
        <w:ind w:left="360" w:hanging="360"/>
        <w:rPr/>
      </w:pPr>
      <w:r w:rsidDel="00000000" w:rsidR="00000000" w:rsidRPr="00000000">
        <w:rPr>
          <w:rFonts w:ascii="Calibri" w:cs="Calibri" w:eastAsia="Calibri" w:hAnsi="Calibri"/>
          <w:rtl w:val="0"/>
        </w:rPr>
        <w:t xml:space="preserve">Include agents and pulses known to debulk CSC-like cells or collapse hybrid metabolic states (for example, combinations that simultaneously raise ROS and impair antioxidant responses, or pair mitochondrial inhibitors with agents that block glycolytic upshift).</w:t>
      </w:r>
      <w:r w:rsidDel="00000000" w:rsidR="00000000" w:rsidRPr="00000000">
        <w:rPr>
          <w:rtl w:val="0"/>
        </w:rPr>
      </w:r>
    </w:p>
    <w:p w:rsidR="00000000" w:rsidDel="00000000" w:rsidP="00000000" w:rsidRDefault="00000000" w:rsidRPr="00000000" w14:paraId="00000045">
      <w:pPr>
        <w:numPr>
          <w:ilvl w:val="0"/>
          <w:numId w:val="28"/>
        </w:numPr>
        <w:spacing w:after="280" w:before="0" w:line="240" w:lineRule="auto"/>
        <w:ind w:left="360" w:hanging="360"/>
        <w:rPr/>
      </w:pPr>
      <w:r w:rsidDel="00000000" w:rsidR="00000000" w:rsidRPr="00000000">
        <w:rPr>
          <w:rFonts w:ascii="Calibri" w:cs="Calibri" w:eastAsia="Calibri" w:hAnsi="Calibri"/>
          <w:rtl w:val="0"/>
        </w:rPr>
        <w:t xml:space="preserve">Combine metabolic strategies with microenvironmental interventions (e.g., angiogenesis inhibitors or targeting cancer-associated fibroblasts) in metronomic or adaptive schedules to reduce the protective niche that fosters CSC survival and plasticity.</w:t>
      </w:r>
      <w:r w:rsidDel="00000000" w:rsidR="00000000" w:rsidRPr="00000000">
        <w:rPr>
          <w:rtl w:val="0"/>
        </w:rPr>
      </w:r>
    </w:p>
    <w:p w:rsidR="00000000" w:rsidDel="00000000" w:rsidP="00000000" w:rsidRDefault="00000000" w:rsidRPr="00000000" w14:paraId="00000046">
      <w:pPr>
        <w:pStyle w:val="Heading3"/>
        <w:spacing w:before="280" w:line="240" w:lineRule="auto"/>
        <w:rPr>
          <w:rFonts w:ascii="Calibri" w:cs="Calibri" w:eastAsia="Calibri" w:hAnsi="Calibri"/>
        </w:rPr>
      </w:pPr>
      <w:bookmarkStart w:colFirst="0" w:colLast="0" w:name="_vwe0jfble2at" w:id="22"/>
      <w:bookmarkEnd w:id="22"/>
      <w:r w:rsidDel="00000000" w:rsidR="00000000" w:rsidRPr="00000000">
        <w:rPr>
          <w:rFonts w:ascii="Calibri" w:cs="Calibri" w:eastAsia="Calibri" w:hAnsi="Calibri"/>
          <w:b w:val="1"/>
          <w:bCs w:val="1"/>
          <w:rtl w:val="0"/>
        </w:rPr>
        <w:t xml:space="preserve">Dosing intensity and sequence optimization(17)</w:t>
      </w:r>
      <w:r w:rsidDel="00000000" w:rsidR="00000000" w:rsidRPr="00000000">
        <w:rPr>
          <w:rtl w:val="0"/>
        </w:rPr>
      </w:r>
    </w:p>
    <w:p w:rsidR="00000000" w:rsidDel="00000000" w:rsidP="00000000" w:rsidRDefault="00000000" w:rsidRPr="00000000" w14:paraId="00000047">
      <w:pPr>
        <w:spacing w:after="280" w:line="240" w:lineRule="auto"/>
        <w:rPr>
          <w:rFonts w:ascii="Calibri" w:cs="Calibri" w:eastAsia="Calibri" w:hAnsi="Calibri"/>
          <w:b w:val="1"/>
          <w:bCs w:val="1"/>
        </w:rPr>
      </w:pPr>
      <w:r w:rsidDel="00000000" w:rsidR="00000000" w:rsidRPr="00000000">
        <w:rPr>
          <w:rFonts w:ascii="Calibri" w:cs="Calibri" w:eastAsia="Calibri" w:hAnsi="Calibri"/>
          <w:rtl w:val="0"/>
        </w:rPr>
        <w:t xml:space="preserve">Aim for clearly cytotoxic or cytostatic pulses rather than chronic near-threshold exposures; subtherapeutic dosing is more likely to train tolerance than to eradicate.</w:t>
      </w:r>
      <w:r w:rsidDel="00000000" w:rsidR="00000000" w:rsidRPr="00000000">
        <w:rPr>
          <w:rtl w:val="0"/>
        </w:rPr>
      </w:r>
    </w:p>
    <w:p w:rsidR="00000000" w:rsidDel="00000000" w:rsidP="00000000" w:rsidRDefault="00000000" w:rsidRPr="00000000" w14:paraId="00000048">
      <w:pPr>
        <w:spacing w:before="280" w:line="240" w:lineRule="auto"/>
        <w:rPr>
          <w:rFonts w:ascii="Calibri" w:cs="Calibri" w:eastAsia="Calibri" w:hAnsi="Calibri"/>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49">
      <w:pPr>
        <w:pStyle w:val="Heading2"/>
        <w:spacing w:before="280" w:line="240" w:lineRule="auto"/>
        <w:jc w:val="center"/>
        <w:rPr/>
      </w:pPr>
      <w:bookmarkStart w:colFirst="0" w:colLast="0" w:name="_rxslni9ahxqo" w:id="23"/>
      <w:bookmarkEnd w:id="23"/>
      <w:r w:rsidDel="00000000" w:rsidR="00000000" w:rsidRPr="00000000">
        <w:rPr>
          <w:rtl w:val="0"/>
        </w:rPr>
        <w:t xml:space="preserve">Multi-Agent Protocol: Adaptive Resistance Considerations</w:t>
      </w:r>
    </w:p>
    <w:p w:rsidR="00000000" w:rsidDel="00000000" w:rsidP="00000000" w:rsidRDefault="00000000" w:rsidRPr="00000000" w14:paraId="0000004A">
      <w:pPr>
        <w:spacing w:after="280" w:line="240" w:lineRule="auto"/>
        <w:rPr>
          <w:rFonts w:ascii="Calibri" w:cs="Calibri" w:eastAsia="Calibri" w:hAnsi="Calibri"/>
        </w:rPr>
      </w:pPr>
      <w:r w:rsidDel="00000000" w:rsidR="00000000" w:rsidRPr="00000000">
        <w:rPr>
          <w:rFonts w:ascii="Calibri" w:cs="Calibri" w:eastAsia="Calibri" w:hAnsi="Calibri"/>
          <w:rtl w:val="0"/>
        </w:rPr>
        <w:t xml:space="preserve">The proposed multi-agent protocol combines vitamin D, curcumin, EGCG, melatonin, metformin, ivermectin, mebendazole, sulforaphane, resveratrol, and modified citrus pectin. This protocol targets multiple metabolic and CSC pathways; however, given its breadth and likely chronic use, it may strongly select for highly plastic, slow-cycling, OXPHOS and -fatty-acid oxidation (FAO)dependent CSC-like clones unless timing, intensity, and escape routes are deliberately managed.</w:t>
      </w:r>
    </w:p>
    <w:p w:rsidR="00000000" w:rsidDel="00000000" w:rsidP="00000000" w:rsidRDefault="00000000" w:rsidRPr="00000000" w14:paraId="0000004B">
      <w:pPr>
        <w:pStyle w:val="Heading3"/>
        <w:spacing w:before="280" w:line="240" w:lineRule="auto"/>
        <w:rPr/>
      </w:pPr>
      <w:bookmarkStart w:colFirst="0" w:colLast="0" w:name="_agr77tn1p9to" w:id="24"/>
      <w:bookmarkEnd w:id="24"/>
      <w:r w:rsidDel="00000000" w:rsidR="00000000" w:rsidRPr="00000000">
        <w:rPr>
          <w:rtl w:val="0"/>
        </w:rPr>
        <w:t xml:space="preserve">What the protocol is doing</w:t>
      </w:r>
    </w:p>
    <w:p w:rsidR="00000000" w:rsidDel="00000000" w:rsidP="00000000" w:rsidRDefault="00000000" w:rsidRPr="00000000" w14:paraId="0000004C">
      <w:pPr>
        <w:spacing w:line="240" w:lineRule="auto"/>
        <w:rPr>
          <w:rFonts w:ascii="Calibri" w:cs="Calibri" w:eastAsia="Calibri" w:hAnsi="Calibri"/>
        </w:rPr>
      </w:pPr>
      <w:r w:rsidDel="00000000" w:rsidR="00000000" w:rsidRPr="00000000">
        <w:rPr>
          <w:rFonts w:ascii="Calibri" w:cs="Calibri" w:eastAsia="Calibri" w:hAnsi="Calibri"/>
          <w:rtl w:val="0"/>
        </w:rPr>
        <w:t xml:space="preserve">Core elements and dominant pressures:</w:t>
      </w:r>
    </w:p>
    <w:p w:rsidR="00000000" w:rsidDel="00000000" w:rsidP="00000000" w:rsidRDefault="00000000" w:rsidRPr="00000000" w14:paraId="0000004D">
      <w:pPr>
        <w:numPr>
          <w:ilvl w:val="0"/>
          <w:numId w:val="31"/>
        </w:numPr>
        <w:spacing w:after="0" w:line="240" w:lineRule="auto"/>
        <w:ind w:left="360" w:hanging="360"/>
        <w:rPr/>
      </w:pPr>
      <w:r w:rsidDel="00000000" w:rsidR="00000000" w:rsidRPr="00000000">
        <w:rPr>
          <w:rFonts w:ascii="Calibri" w:cs="Calibri" w:eastAsia="Calibri" w:hAnsi="Calibri"/>
          <w:b w:val="1"/>
          <w:bCs w:val="1"/>
          <w:rtl w:val="0"/>
        </w:rPr>
        <w:t xml:space="preserve">Metabolic/AMPK–mTOR axis:</w:t>
      </w:r>
      <w:r w:rsidDel="00000000" w:rsidR="00000000" w:rsidRPr="00000000">
        <w:rPr>
          <w:rFonts w:ascii="Calibri" w:cs="Calibri" w:eastAsia="Calibri" w:hAnsi="Calibri"/>
          <w:rtl w:val="0"/>
        </w:rPr>
        <w:t xml:space="preserve"> Metformin, berberine, resveratrol, and EGCG activate AMPK and dampen mTOR signaling, glycolysis, and biosynthetic pathways, exerting Warburgantagonistic pressure.(18)</w:t>
      </w:r>
      <w:r w:rsidDel="00000000" w:rsidR="00000000" w:rsidRPr="00000000">
        <w:rPr>
          <w:rtl w:val="0"/>
        </w:rPr>
      </w:r>
    </w:p>
    <w:p w:rsidR="00000000" w:rsidDel="00000000" w:rsidP="00000000" w:rsidRDefault="00000000" w:rsidRPr="00000000" w14:paraId="0000004E">
      <w:pPr>
        <w:numPr>
          <w:ilvl w:val="0"/>
          <w:numId w:val="31"/>
        </w:numPr>
        <w:spacing w:after="0" w:before="240" w:line="240" w:lineRule="auto"/>
        <w:ind w:left="360" w:hanging="360"/>
        <w:rPr/>
      </w:pPr>
      <w:r w:rsidDel="00000000" w:rsidR="00000000" w:rsidRPr="00000000">
        <w:rPr>
          <w:rFonts w:ascii="Calibri" w:cs="Calibri" w:eastAsia="Calibri" w:hAnsi="Calibri"/>
          <w:b w:val="1"/>
          <w:bCs w:val="1"/>
          <w:rtl w:val="0"/>
        </w:rPr>
        <w:t xml:space="preserve">CSC-targeting phytochemicals (the “Big Five”):</w:t>
      </w:r>
      <w:r w:rsidDel="00000000" w:rsidR="00000000" w:rsidRPr="00000000">
        <w:rPr>
          <w:rFonts w:ascii="Calibri" w:cs="Calibri" w:eastAsia="Calibri" w:hAnsi="Calibri"/>
          <w:rtl w:val="0"/>
        </w:rPr>
        <w:t xml:space="preserve"> Curcumin, EGCG, resveratrol, sulforaphane, and genistein have documented effects on CSC-related pathways (Notch, Wnt/βcatenin, Hedgehog, PI3K/Akt, NF-κB) and have reduced CSC markers, sphere formation, and tumor-initiating capacity in preclinical models.(19,20) The present protocol incorporates four of these compounds (curcumin, EGCG, resveratrol, sulforaphane).</w:t>
      </w:r>
      <w:r w:rsidDel="00000000" w:rsidR="00000000" w:rsidRPr="00000000">
        <w:rPr>
          <w:rtl w:val="0"/>
        </w:rPr>
      </w:r>
    </w:p>
    <w:p w:rsidR="00000000" w:rsidDel="00000000" w:rsidP="00000000" w:rsidRDefault="00000000" w:rsidRPr="00000000" w14:paraId="0000004F">
      <w:pPr>
        <w:numPr>
          <w:ilvl w:val="0"/>
          <w:numId w:val="31"/>
        </w:numPr>
        <w:spacing w:before="0" w:line="240" w:lineRule="auto"/>
        <w:ind w:left="360" w:hanging="360"/>
        <w:rPr/>
      </w:pPr>
      <w:r w:rsidDel="00000000" w:rsidR="00000000" w:rsidRPr="00000000">
        <w:rPr>
          <w:rFonts w:ascii="Calibri" w:cs="Calibri" w:eastAsia="Calibri" w:hAnsi="Calibri"/>
          <w:b w:val="1"/>
          <w:bCs w:val="1"/>
          <w:rtl w:val="0"/>
        </w:rPr>
        <w:t xml:space="preserve">Anti-CSC repurposed drugs:</w:t>
      </w:r>
      <w:r w:rsidDel="00000000" w:rsidR="00000000" w:rsidRPr="00000000">
        <w:rPr>
          <w:rFonts w:ascii="Calibri" w:cs="Calibri" w:eastAsia="Calibri" w:hAnsi="Calibri"/>
          <w:rtl w:val="0"/>
        </w:rPr>
        <w:t xml:space="preserve"> Ivermectin, mebendazole, and doxycycline each have preclinical data targeting CSC biology (microtubules, Wnt/βcatenin, mitochondrial translation) and are highlighted in repurposing -frameworks as part of foundational CSC-targeting backbones.(20,21)</w:t>
      </w:r>
      <w:r w:rsidDel="00000000" w:rsidR="00000000" w:rsidRPr="00000000">
        <w:rPr>
          <w:rtl w:val="0"/>
        </w:rPr>
      </w:r>
    </w:p>
    <w:p w:rsidR="00000000" w:rsidDel="00000000" w:rsidP="00000000" w:rsidRDefault="00000000" w:rsidRPr="00000000" w14:paraId="00000050">
      <w:pPr>
        <w:numPr>
          <w:ilvl w:val="0"/>
          <w:numId w:val="31"/>
        </w:numPr>
        <w:spacing w:after="280" w:line="240" w:lineRule="auto"/>
        <w:ind w:left="360" w:hanging="360"/>
        <w:rPr/>
      </w:pPr>
      <w:r w:rsidDel="00000000" w:rsidR="00000000" w:rsidRPr="00000000">
        <w:rPr>
          <w:rFonts w:ascii="Calibri" w:cs="Calibri" w:eastAsia="Calibri" w:hAnsi="Calibri"/>
          <w:b w:val="1"/>
          <w:bCs w:val="1"/>
          <w:rtl w:val="0"/>
        </w:rPr>
        <w:t xml:space="preserve">Microenvironment/stress modulation:</w:t>
      </w:r>
      <w:r w:rsidDel="00000000" w:rsidR="00000000" w:rsidRPr="00000000">
        <w:rPr>
          <w:rFonts w:ascii="Calibri" w:cs="Calibri" w:eastAsia="Calibri" w:hAnsi="Calibri"/>
          <w:rtl w:val="0"/>
        </w:rPr>
        <w:t xml:space="preserve"> Propranolol modulates adrenergic signaling, angiogenesis, and immune interactions, whereas melatonin and vitamin D influence circadian regulation, immune function, and differentiation programs.(19–21)</w:t>
      </w:r>
      <w:r w:rsidDel="00000000" w:rsidR="00000000" w:rsidRPr="00000000">
        <w:rPr>
          <w:rtl w:val="0"/>
        </w:rPr>
      </w:r>
    </w:p>
    <w:p w:rsidR="00000000" w:rsidDel="00000000" w:rsidP="00000000" w:rsidRDefault="00000000" w:rsidRPr="00000000" w14:paraId="00000051">
      <w:pPr>
        <w:spacing w:after="280" w:before="280" w:line="240" w:lineRule="auto"/>
        <w:rPr>
          <w:rFonts w:ascii="Calibri" w:cs="Calibri" w:eastAsia="Calibri" w:hAnsi="Calibri"/>
        </w:rPr>
      </w:pPr>
      <w:r w:rsidDel="00000000" w:rsidR="00000000" w:rsidRPr="00000000">
        <w:rPr>
          <w:rFonts w:ascii="Calibri" w:cs="Calibri" w:eastAsia="Calibri" w:hAnsi="Calibri"/>
          <w:rtl w:val="0"/>
        </w:rPr>
        <w:t xml:space="preserve">Net effect: Broad suppression of glycolysis, mTOR signaling, proliferation, angiogenesis, stress signaling, and multiple CSC pathways—largely delivered as continuous low- to moderate-intensity metabolic pressure rather than short, decisive cytotoxic pulses.</w:t>
      </w:r>
    </w:p>
    <w:p w:rsidR="00000000" w:rsidDel="00000000" w:rsidP="00000000" w:rsidRDefault="00000000" w:rsidRPr="00000000" w14:paraId="00000052">
      <w:pPr>
        <w:spacing w:before="280" w:line="240" w:lineRule="auto"/>
        <w:rPr>
          <w:rFonts w:ascii="Calibri" w:cs="Calibri" w:eastAsia="Calibri" w:hAnsi="Calibri"/>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53">
      <w:pPr>
        <w:pStyle w:val="Heading3"/>
        <w:spacing w:before="280" w:line="240" w:lineRule="auto"/>
        <w:rPr/>
      </w:pPr>
      <w:bookmarkStart w:colFirst="0" w:colLast="0" w:name="_hbnwjfheslx1" w:id="25"/>
      <w:bookmarkEnd w:id="25"/>
      <w:r w:rsidDel="00000000" w:rsidR="00000000" w:rsidRPr="00000000">
        <w:rPr>
          <w:rtl w:val="0"/>
        </w:rPr>
        <w:t xml:space="preserve">Likely escape routes under chronic use</w:t>
      </w:r>
    </w:p>
    <w:p w:rsidR="00000000" w:rsidDel="00000000" w:rsidP="00000000" w:rsidRDefault="00000000" w:rsidRPr="00000000" w14:paraId="00000054">
      <w:pPr>
        <w:spacing w:after="280" w:line="240" w:lineRule="auto"/>
        <w:rPr>
          <w:rFonts w:ascii="Calibri" w:cs="Calibri" w:eastAsia="Calibri" w:hAnsi="Calibri"/>
        </w:rPr>
      </w:pPr>
      <w:r w:rsidDel="00000000" w:rsidR="00000000" w:rsidRPr="00000000">
        <w:rPr>
          <w:rFonts w:ascii="Calibri" w:cs="Calibri" w:eastAsia="Calibri" w:hAnsi="Calibri"/>
          <w:rtl w:val="0"/>
        </w:rPr>
        <w:t xml:space="preserve">Even with strong CSC coverage, a static, multi-agent metabolic protocol will tend to select for:</w:t>
      </w:r>
    </w:p>
    <w:p w:rsidR="00000000" w:rsidDel="00000000" w:rsidP="00000000" w:rsidRDefault="00000000" w:rsidRPr="00000000" w14:paraId="00000055">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280" w:line="240" w:lineRule="auto"/>
        <w:ind w:left="360" w:right="0" w:hanging="360"/>
        <w:jc w:val="left"/>
        <w:rPr>
          <w:b w:val="0"/>
          <w:bCs w:val="0"/>
          <w:i w:val="0"/>
          <w:iCs w:val="0"/>
          <w:sz w:val="24"/>
          <w:szCs w:val="24"/>
          <w:u w:val="none"/>
          <w:shd w:fill="auto" w:val="clear"/>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Shift to OXPHOS/FAOdominant metabolism:</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Suppression of glycolysis and mTOR signaling, combined with mitochondrial stress from doxycycline and resveratrol, favors survival of cells with robust mitochondrial biogenesis, FAO, and antioxidant capacity—a recognized CSC phenotype across multiple cancers.(2,14)</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z w:val="24"/>
          <w:szCs w:val="24"/>
          <w:u w:val="none"/>
          <w:shd w:fill="auto" w:val="clear"/>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Emergence of slowcycling, stress--tolerant CSC-like cells: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While natural compounds such as curcumin, EGCG, sulforaphane, and resveratrol may reduce CSC fractions, chronic sublethal exposure can also select for cells with heightened stress-response signaling, autophagy, and DNA repair capacity; CSCs with flexible metabolic programs may adapt rather than be eliminated.(3,19)</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z w:val="24"/>
          <w:szCs w:val="24"/>
          <w:u w:val="none"/>
          <w:shd w:fill="auto" w:val="clear"/>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Microenvironmental buffering:</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Stromal and immune cells may adapt to long-term exposure to propranolol, vitamin D, phytochemicals, and metformin, establishing metabolite shuttles (e.g., lactate, amino acids, lipids) that support resistant clones despite glycolytic suppression.(9,22)</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160" w:before="0" w:line="240" w:lineRule="auto"/>
        <w:ind w:left="360" w:right="0" w:hanging="360"/>
        <w:jc w:val="left"/>
        <w:rPr>
          <w:b w:val="1"/>
          <w:bCs w:val="1"/>
          <w:i w:val="0"/>
          <w:iCs w:val="0"/>
          <w:sz w:val="24"/>
          <w:szCs w:val="24"/>
          <w:u w:val="none"/>
          <w:shd w:fill="auto" w:val="clear"/>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Pharmacokinetic gaps and variable target engagement: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Many nutraceuticals (curcumin, resveratrol, EGCG, sulforaphane) have limited bioavailability and short half-lives, so continuous oral dosing may result in fluctuating subtherapeutic concentrations—conditions more conducive to adaptive training than to the eradication of plastic cells.(13,19,20,23)</w:t>
      </w:r>
      <w:r w:rsidDel="00000000" w:rsidR="00000000" w:rsidRPr="00000000">
        <w:rPr>
          <w:rtl w:val="0"/>
        </w:rPr>
      </w:r>
    </w:p>
    <w:p w:rsidR="00000000" w:rsidDel="00000000" w:rsidP="00000000" w:rsidRDefault="00000000" w:rsidRPr="00000000" w14:paraId="00000059">
      <w:pPr>
        <w:spacing w:after="280" w:before="280" w:line="240" w:lineRule="auto"/>
        <w:rPr>
          <w:rFonts w:ascii="Calibri" w:cs="Calibri" w:eastAsia="Calibri" w:hAnsi="Calibri"/>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5A">
      <w:pPr>
        <w:pStyle w:val="Heading2"/>
        <w:spacing w:after="280" w:before="280" w:line="240" w:lineRule="auto"/>
        <w:jc w:val="center"/>
        <w:rPr/>
      </w:pPr>
      <w:bookmarkStart w:colFirst="0" w:colLast="0" w:name="_z0qz477xuwda" w:id="26"/>
      <w:bookmarkEnd w:id="26"/>
      <w:r w:rsidDel="00000000" w:rsidR="00000000" w:rsidRPr="00000000">
        <w:rPr>
          <w:rtl w:val="0"/>
        </w:rPr>
        <w:t xml:space="preserve">Practical Modifications to Reduce Adaptive Resistance</w:t>
      </w:r>
    </w:p>
    <w:p w:rsidR="00000000" w:rsidDel="00000000" w:rsidP="00000000" w:rsidRDefault="00000000" w:rsidRPr="00000000" w14:paraId="0000005B">
      <w:pPr>
        <w:pStyle w:val="Heading3"/>
        <w:rPr/>
      </w:pPr>
      <w:bookmarkStart w:colFirst="0" w:colLast="0" w:name="_9vxq5fz0kwas" w:id="27"/>
      <w:bookmarkEnd w:id="27"/>
      <w:r w:rsidDel="00000000" w:rsidR="00000000" w:rsidRPr="00000000">
        <w:rPr>
          <w:rtl w:val="0"/>
        </w:rPr>
        <w:t xml:space="preserve">Introduce pulsing and drug rotation</w:t>
      </w:r>
    </w:p>
    <w:p w:rsidR="00000000" w:rsidDel="00000000" w:rsidP="00000000" w:rsidRDefault="00000000" w:rsidRPr="00000000" w14:paraId="0000005C">
      <w:pPr>
        <w:spacing w:after="28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Goal:</w:t>
      </w:r>
      <w:r w:rsidDel="00000000" w:rsidR="00000000" w:rsidRPr="00000000">
        <w:rPr>
          <w:rFonts w:ascii="Calibri" w:cs="Calibri" w:eastAsia="Calibri" w:hAnsi="Calibri"/>
          <w:rtl w:val="0"/>
        </w:rPr>
        <w:t xml:space="preserve"> avoid chronic, tolerable stress by alternating intensified and recovery windows.</w:t>
      </w:r>
    </w:p>
    <w:p w:rsidR="00000000" w:rsidDel="00000000" w:rsidP="00000000" w:rsidRDefault="00000000" w:rsidRPr="00000000" w14:paraId="0000005D">
      <w:pPr>
        <w:spacing w:after="280" w:before="280" w:line="240" w:lineRule="auto"/>
        <w:rPr>
          <w:rFonts w:ascii="Calibri" w:cs="Calibri" w:eastAsia="Calibri" w:hAnsi="Calibri"/>
        </w:rPr>
      </w:pPr>
      <w:r w:rsidDel="00000000" w:rsidR="00000000" w:rsidRPr="00000000">
        <w:rPr>
          <w:rFonts w:ascii="Calibri" w:cs="Calibri" w:eastAsia="Calibri" w:hAnsi="Calibri"/>
          <w:rtl w:val="0"/>
        </w:rPr>
        <w:t xml:space="preserve">Care Oncology–style regimens use a four-drug metabolic backbone (metformin, atorvastatin, doxycycline, mebendazole) and commonly alternate doxycycline and mebendazole month on/month off rather than administering both continuously.(24)</w:t>
      </w:r>
    </w:p>
    <w:p w:rsidR="00000000" w:rsidDel="00000000" w:rsidP="00000000" w:rsidRDefault="00000000" w:rsidRPr="00000000" w14:paraId="0000005E">
      <w:pPr>
        <w:pStyle w:val="Heading3"/>
        <w:spacing w:line="240" w:lineRule="auto"/>
        <w:rPr/>
      </w:pPr>
      <w:bookmarkStart w:colFirst="0" w:colLast="0" w:name="_dwar66w46mpj" w:id="28"/>
      <w:bookmarkEnd w:id="28"/>
      <w:r w:rsidDel="00000000" w:rsidR="00000000" w:rsidRPr="00000000">
        <w:rPr>
          <w:rtl w:val="0"/>
        </w:rPr>
        <w:t xml:space="preserve">Core Care Oncology metabolic protocol drugs</w:t>
      </w:r>
    </w:p>
    <w:p w:rsidR="00000000" w:rsidDel="00000000" w:rsidP="00000000" w:rsidRDefault="00000000" w:rsidRPr="00000000" w14:paraId="0000005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z w:val="24"/>
          <w:szCs w:val="24"/>
          <w:u w:val="none"/>
          <w:shd w:fill="auto" w:val="clear"/>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standard protocol uses metformin, atorvastatin, mebendazole, and doxycycline as a long-term adjunctive metabolic regimen (“Care Metabolic Protocol,” “COC Protocol™”).(24)</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80" w:before="0" w:line="240" w:lineRule="auto"/>
        <w:ind w:left="360" w:right="0" w:hanging="360"/>
        <w:jc w:val="left"/>
        <w:rPr>
          <w:b w:val="0"/>
          <w:bCs w:val="0"/>
          <w:i w:val="0"/>
          <w:iCs w:val="0"/>
          <w:sz w:val="24"/>
          <w:szCs w:val="24"/>
          <w:u w:val="none"/>
          <w:shd w:fill="auto" w:val="clear"/>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Together, these agents target glycolysis/AMPK–mTOR (metformin), cholesterol synthesis and prenylation pathways (atorvastatin), microtubule dynamics and Wnt/β-catenin signaling (mebendazole), mitochondrial translation/CSC functions, and angiogenesis and inflammation (doxycycline).</w:t>
      </w:r>
      <w:r w:rsidDel="00000000" w:rsidR="00000000" w:rsidRPr="00000000">
        <w:rPr>
          <w:rtl w:val="0"/>
        </w:rPr>
      </w:r>
    </w:p>
    <w:p w:rsidR="00000000" w:rsidDel="00000000" w:rsidP="00000000" w:rsidRDefault="00000000" w:rsidRPr="00000000" w14:paraId="00000061">
      <w:pPr>
        <w:pStyle w:val="Heading3"/>
        <w:spacing w:after="0" w:before="280" w:line="240" w:lineRule="auto"/>
        <w:rPr/>
      </w:pPr>
      <w:bookmarkStart w:colFirst="0" w:colLast="0" w:name="_b2l9c9tx009q" w:id="29"/>
      <w:bookmarkEnd w:id="29"/>
      <w:r w:rsidDel="00000000" w:rsidR="00000000" w:rsidRPr="00000000">
        <w:rPr>
          <w:rtl w:val="0"/>
        </w:rPr>
        <w:t xml:space="preserve">How mebendazole and doxycycline are cycled</w:t>
      </w:r>
    </w:p>
    <w:p w:rsidR="00000000" w:rsidDel="00000000" w:rsidP="00000000" w:rsidRDefault="00000000" w:rsidRPr="00000000" w14:paraId="0000006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240" w:line="240" w:lineRule="auto"/>
        <w:ind w:left="360" w:right="0" w:hanging="360"/>
        <w:jc w:val="left"/>
        <w:rPr>
          <w:b w:val="0"/>
          <w:bCs w:val="0"/>
          <w:i w:val="0"/>
          <w:iCs w:val="0"/>
          <w:sz w:val="24"/>
          <w:szCs w:val="24"/>
          <w:u w:val="none"/>
          <w:shd w:fill="auto" w:val="clear"/>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Patient-facing descriptions indicate that Care Oncology typically rotates doxycycline and mebendazole, administering one month of doxycycline followed by one month of mebendazole (or vice versa), rather than both simultaneously.​(24)</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80" w:before="0" w:line="240" w:lineRule="auto"/>
        <w:ind w:left="360" w:right="0" w:hanging="360"/>
        <w:jc w:val="left"/>
        <w:rPr>
          <w:b w:val="0"/>
          <w:bCs w:val="0"/>
          <w:i w:val="0"/>
          <w:iCs w:val="0"/>
          <w:sz w:val="24"/>
          <w:szCs w:val="24"/>
          <w:u w:val="none"/>
          <w:shd w:fill="auto" w:val="clear"/>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This alternation reflects their overlapping antiCSC and anti--angiogenic roles and helps limit prolonged antibiotic exposure while maintaining continuous metabolic pressure through metformin and atorvastatin.</w:t>
      </w:r>
      <w:r w:rsidDel="00000000" w:rsidR="00000000" w:rsidRPr="00000000">
        <w:rPr>
          <w:rtl w:val="0"/>
        </w:rPr>
      </w:r>
    </w:p>
    <w:p w:rsidR="00000000" w:rsidDel="00000000" w:rsidP="00000000" w:rsidRDefault="00000000" w:rsidRPr="00000000" w14:paraId="00000064">
      <w:pPr>
        <w:pStyle w:val="Heading3"/>
        <w:spacing w:before="280" w:line="240" w:lineRule="auto"/>
        <w:rPr/>
      </w:pPr>
      <w:bookmarkStart w:colFirst="0" w:colLast="0" w:name="_orbb1wyfg2qh" w:id="30"/>
      <w:bookmarkEnd w:id="30"/>
      <w:r w:rsidDel="00000000" w:rsidR="00000000" w:rsidRPr="00000000">
        <w:rPr>
          <w:rtl w:val="0"/>
        </w:rPr>
        <w:t xml:space="preserve">Why cycling matters for resistance</w:t>
      </w:r>
    </w:p>
    <w:p w:rsidR="00000000" w:rsidDel="00000000" w:rsidP="00000000" w:rsidRDefault="00000000" w:rsidRPr="00000000" w14:paraId="0000006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z w:val="24"/>
          <w:szCs w:val="24"/>
          <w:u w:val="none"/>
          <w:shd w:fill="auto" w:val="clear"/>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Alternating mebendazole and doxycycline applies sequential pressure to distinct CSC and metabolic vulnerabilities (mitochondrial biogenesis/translation versus microtubules and glucose handling) rather than maintaining a static, unchanging assault on the same targets.</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280" w:before="0" w:line="240" w:lineRule="auto"/>
        <w:ind w:left="360" w:right="0" w:hanging="360"/>
        <w:jc w:val="left"/>
        <w:rPr>
          <w:b w:val="1"/>
          <w:bCs w:val="1"/>
          <w:i w:val="0"/>
          <w:iCs w:val="0"/>
          <w:sz w:val="24"/>
          <w:szCs w:val="24"/>
          <w:u w:val="none"/>
          <w:shd w:fill="auto" w:val="clear"/>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This month-on/month-off design -may also reduce cumulative toxicity and microbiome disruption from chronic doxycycline, preserving longer-term metabolic therapy options without driving antimicrobial resistance or intolerable gastrointestinal effects.</w:t>
      </w:r>
      <w:r w:rsidDel="00000000" w:rsidR="00000000" w:rsidRPr="00000000">
        <w:rPr>
          <w:rtl w:val="0"/>
        </w:rPr>
      </w:r>
    </w:p>
    <w:p w:rsidR="00000000" w:rsidDel="00000000" w:rsidP="00000000" w:rsidRDefault="00000000" w:rsidRPr="00000000" w14:paraId="00000067">
      <w:pPr>
        <w:spacing w:before="280" w:line="240" w:lineRule="auto"/>
        <w:rPr>
          <w:rFonts w:ascii="Calibri" w:cs="Calibri" w:eastAsia="Calibri" w:hAnsi="Calibri"/>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68">
      <w:pPr>
        <w:pStyle w:val="Heading3"/>
        <w:spacing w:before="280" w:line="240" w:lineRule="auto"/>
        <w:rPr/>
      </w:pPr>
      <w:bookmarkStart w:colFirst="0" w:colLast="0" w:name="_s0mk59gtxbuo" w:id="31"/>
      <w:bookmarkEnd w:id="31"/>
      <w:r w:rsidDel="00000000" w:rsidR="00000000" w:rsidRPr="00000000">
        <w:rPr>
          <w:rtl w:val="0"/>
        </w:rPr>
        <w:t xml:space="preserve">Anchor combinations with cytotoxic or local therapies when possible</w:t>
      </w:r>
    </w:p>
    <w:p w:rsidR="00000000" w:rsidDel="00000000" w:rsidP="00000000" w:rsidRDefault="00000000" w:rsidRPr="00000000" w14:paraId="00000069">
      <w:pPr>
        <w:rPr>
          <w:b w:val="1"/>
          <w:bCs w:val="1"/>
          <w:shd w:fill="auto" w:val="clear"/>
        </w:rPr>
      </w:pPr>
      <w:r w:rsidDel="00000000" w:rsidR="00000000" w:rsidRPr="00000000">
        <w:rPr>
          <w:rFonts w:ascii="Calibri" w:cs="Calibri" w:eastAsia="Calibri" w:hAnsi="Calibri"/>
          <w:shd w:fill="auto" w:val="clear"/>
          <w:rtl w:val="0"/>
        </w:rPr>
        <w:t xml:space="preserve">This protocol is inherently adjunctive. Whenever feasible, layer pulses of metabolic/CSC-targeting agents onto cytotoxic or local treatments (chemotherapy, radiotherapy, ablative procedures) so stressed, plastic cells are eliminated rather than allowed to remodel; this can include metronomic chemotherapy strategies.</w:t>
      </w:r>
      <w:r w:rsidDel="00000000" w:rsidR="00000000" w:rsidRPr="00000000">
        <w:rPr>
          <w:rtl w:val="0"/>
        </w:rPr>
      </w:r>
    </w:p>
    <w:p w:rsidR="00000000" w:rsidDel="00000000" w:rsidP="00000000" w:rsidRDefault="00000000" w:rsidRPr="00000000" w14:paraId="0000006A">
      <w:pPr>
        <w:pStyle w:val="Heading3"/>
        <w:spacing w:before="280" w:line="240" w:lineRule="auto"/>
        <w:rPr/>
      </w:pPr>
      <w:bookmarkStart w:colFirst="0" w:colLast="0" w:name="_9zdgpdxr0yzw" w:id="32"/>
      <w:bookmarkEnd w:id="32"/>
      <w:r w:rsidDel="00000000" w:rsidR="00000000" w:rsidRPr="00000000">
        <w:rPr>
          <w:rtl w:val="0"/>
        </w:rPr>
        <w:t xml:space="preserve">Rebalance CSC versus non-CSC pressure</w:t>
      </w:r>
    </w:p>
    <w:p w:rsidR="00000000" w:rsidDel="00000000" w:rsidP="00000000" w:rsidRDefault="00000000" w:rsidRPr="00000000" w14:paraId="0000006B">
      <w:pPr>
        <w:spacing w:after="280" w:line="240" w:lineRule="auto"/>
        <w:rPr>
          <w:rFonts w:ascii="Calibri" w:cs="Calibri" w:eastAsia="Calibri" w:hAnsi="Calibri"/>
        </w:rPr>
      </w:pPr>
      <w:r w:rsidDel="00000000" w:rsidR="00000000" w:rsidRPr="00000000">
        <w:rPr>
          <w:rFonts w:ascii="Calibri" w:cs="Calibri" w:eastAsia="Calibri" w:hAnsi="Calibri"/>
          <w:rtl w:val="0"/>
        </w:rPr>
        <w:t xml:space="preserve">This protocol is heavily CSC-oriented; refinements may reduce the selection of ultra-resistant niches:</w:t>
      </w:r>
    </w:p>
    <w:bookmarkStart w:colFirst="0" w:colLast="0" w:name="qxo1at7dw2ej" w:id="33"/>
    <w:bookmarkEnd w:id="33"/>
    <w:p w:rsidR="00000000" w:rsidDel="00000000" w:rsidP="00000000" w:rsidRDefault="00000000" w:rsidRPr="00000000" w14:paraId="0000006C">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280" w:line="240" w:lineRule="auto"/>
        <w:ind w:left="360" w:right="0" w:hanging="360"/>
        <w:jc w:val="left"/>
        <w:rPr>
          <w:b w:val="0"/>
          <w:bCs w:val="0"/>
          <w:i w:val="0"/>
          <w:iCs w:val="0"/>
          <w:sz w:val="24"/>
          <w:szCs w:val="24"/>
          <w:u w:val="none"/>
          <w:shd w:fill="auto" w:val="clear"/>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Combine core CSC phytochemicals (curcumin, EGCG, sulforaphane, resveratrol) in intervals—e.g., two to three at a time with periodic rotation—at doses supported by available clinical or translational CSC-related data to ensure adequate exposure.</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28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Synchronize ivermectin plus mebendazole pulses with periods of likely CSC activation (e.g., postchemo-therapy or postradiation) to </w:t>
      </w:r>
      <w:r w:rsidDel="00000000" w:rsidR="00000000" w:rsidRPr="00000000">
        <w:rPr>
          <w:rFonts w:ascii="Calibri" w:cs="Calibri" w:eastAsia="Calibri" w:hAnsi="Calibri"/>
          <w:rtl w:val="0"/>
        </w:rPr>
        <w:t xml:space="preserve">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arget cells entering repair or replication phases rather than maintaining unbroken chronic dosing.</w:t>
      </w:r>
      <w:r w:rsidDel="00000000" w:rsidR="00000000" w:rsidRPr="00000000">
        <w:rPr>
          <w:rtl w:val="0"/>
        </w:rPr>
      </w:r>
    </w:p>
    <w:p w:rsidR="00000000" w:rsidDel="00000000" w:rsidP="00000000" w:rsidRDefault="00000000" w:rsidRPr="00000000" w14:paraId="0000006E">
      <w:pPr>
        <w:pStyle w:val="Heading3"/>
        <w:spacing w:before="280" w:line="240" w:lineRule="auto"/>
        <w:rPr/>
      </w:pPr>
      <w:bookmarkStart w:colFirst="0" w:colLast="0" w:name="_ttnt7a8mror6" w:id="34"/>
      <w:bookmarkEnd w:id="34"/>
      <w:r w:rsidDel="00000000" w:rsidR="00000000" w:rsidRPr="00000000">
        <w:rPr>
          <w:rtl w:val="0"/>
        </w:rPr>
        <w:t xml:space="preserve">Use propranolol and melatonin strategically</w:t>
      </w:r>
    </w:p>
    <w:p w:rsidR="00000000" w:rsidDel="00000000" w:rsidP="00000000" w:rsidRDefault="00000000" w:rsidRPr="00000000" w14:paraId="0000006F">
      <w:pPr>
        <w:spacing w:line="240" w:lineRule="auto"/>
        <w:rPr>
          <w:rFonts w:ascii="Calibri" w:cs="Calibri" w:eastAsia="Calibri" w:hAnsi="Calibri"/>
        </w:rPr>
      </w:pPr>
      <w:r w:rsidDel="00000000" w:rsidR="00000000" w:rsidRPr="00000000">
        <w:rPr>
          <w:rFonts w:ascii="Calibri" w:cs="Calibri" w:eastAsia="Calibri" w:hAnsi="Calibri"/>
          <w:rtl w:val="0"/>
        </w:rPr>
        <w:t xml:space="preserve">Rather than background use only:</w:t>
      </w:r>
    </w:p>
    <w:p w:rsidR="00000000" w:rsidDel="00000000" w:rsidP="00000000" w:rsidRDefault="00000000" w:rsidRPr="00000000" w14:paraId="00000070">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280" w:line="240" w:lineRule="auto"/>
        <w:ind w:left="360" w:right="0" w:hanging="360"/>
        <w:jc w:val="left"/>
        <w:rPr>
          <w:i w:val="0"/>
          <w:iCs w:val="0"/>
          <w:sz w:val="24"/>
          <w:szCs w:val="24"/>
          <w:u w:val="none"/>
          <w:shd w:fill="auto" w:val="clear"/>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Propranolol may be most valuable around surgery, high-stress periods, and during cytotoxic therapy to curb adrenergic pro-angiogenic and pro-metastatic signaling; continuous long-term use may be reasonable but can be titrated around those windows.</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28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Melatonin can act as a chronobiotic and oncostatic agent; nightly use is defensible, and timing of metabolic pulses can be aligned with circadian biology (e.g., dosing AMPK activators earlier in the day, when hepatic and tumor metabolic flux are highest).</w:t>
      </w:r>
      <w:r w:rsidDel="00000000" w:rsidR="00000000" w:rsidRPr="00000000">
        <w:rPr>
          <w:rtl w:val="0"/>
        </w:rPr>
      </w:r>
    </w:p>
    <w:p w:rsidR="00000000" w:rsidDel="00000000" w:rsidP="00000000" w:rsidRDefault="00000000" w:rsidRPr="00000000" w14:paraId="00000072">
      <w:pPr>
        <w:spacing w:before="280" w:line="240" w:lineRule="auto"/>
        <w:rPr>
          <w:rFonts w:ascii="Calibri" w:cs="Calibri" w:eastAsia="Calibri" w:hAnsi="Calibri"/>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73">
      <w:pPr>
        <w:pStyle w:val="Heading2"/>
        <w:spacing w:before="280" w:line="240" w:lineRule="auto"/>
        <w:jc w:val="center"/>
        <w:rPr/>
      </w:pPr>
      <w:bookmarkStart w:colFirst="0" w:colLast="0" w:name="_xdi3cs2me6g0" w:id="35"/>
      <w:bookmarkEnd w:id="35"/>
      <w:r w:rsidDel="00000000" w:rsidR="00000000" w:rsidRPr="00000000">
        <w:rPr>
          <w:rtl w:val="0"/>
        </w:rPr>
        <w:t xml:space="preserve">Example Adaptive Schedules</w:t>
      </w:r>
    </w:p>
    <w:p w:rsidR="00000000" w:rsidDel="00000000" w:rsidP="00000000" w:rsidRDefault="00000000" w:rsidRPr="00000000" w14:paraId="00000074">
      <w:pPr>
        <w:pStyle w:val="Heading3"/>
        <w:spacing w:line="240" w:lineRule="auto"/>
        <w:rPr/>
      </w:pPr>
      <w:bookmarkStart w:colFirst="0" w:colLast="0" w:name="_1nil8ise8sn5" w:id="36"/>
      <w:bookmarkEnd w:id="36"/>
      <w:r w:rsidDel="00000000" w:rsidR="00000000" w:rsidRPr="00000000">
        <w:rPr>
          <w:rtl w:val="0"/>
        </w:rPr>
        <w:t xml:space="preserve">Adjunctive anti-resistance schedule (with chemo/RT) (See Figure 2)</w:t>
      </w:r>
    </w:p>
    <w:p w:rsidR="00000000" w:rsidDel="00000000" w:rsidP="00000000" w:rsidRDefault="00000000" w:rsidRPr="00000000" w14:paraId="00000075">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One possible pattern:</w:t>
      </w:r>
    </w:p>
    <w:p w:rsidR="00000000" w:rsidDel="00000000" w:rsidP="00000000" w:rsidRDefault="00000000" w:rsidRPr="00000000" w14:paraId="00000076">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280" w:line="240" w:lineRule="auto"/>
        <w:ind w:left="360" w:right="0" w:hanging="360"/>
        <w:jc w:val="left"/>
        <w:rPr>
          <w:b w:val="0"/>
          <w:bCs w:val="0"/>
          <w:i w:val="0"/>
          <w:iCs w:val="0"/>
          <w:sz w:val="24"/>
          <w:szCs w:val="24"/>
          <w:u w:val="none"/>
          <w:shd w:fill="auto" w:val="clear"/>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Weeks 1–4:</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Metformin + berberine + ivermectin + curcumin + EGCG + resveratrol; nightly melatonin and daily vitamin D; plus doxycycline, omega-3, and propranolol</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z w:val="24"/>
          <w:szCs w:val="24"/>
          <w:u w:val="none"/>
          <w:shd w:fill="auto" w:val="clear"/>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Weeks 5–8:</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Metformin + berberine; pause doxycycline; rotate to ivermectin + mebendazole with EGCG + resveratrol + sulforaphane; continue vitamin D, melatonin and omega-3; reduce propranolol if clinically appropriate</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280" w:before="0" w:line="240" w:lineRule="auto"/>
        <w:ind w:left="360" w:right="0" w:hanging="360"/>
        <w:jc w:val="left"/>
        <w:rPr>
          <w:b w:val="0"/>
          <w:bCs w:val="0"/>
          <w:i w:val="0"/>
          <w:iCs w:val="0"/>
          <w:sz w:val="24"/>
          <w:szCs w:val="24"/>
          <w:u w:val="none"/>
          <w:shd w:fill="auto" w:val="clear"/>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Cytotoxic/RT windows: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Layer intensified metformin + doxycycline + CSC-targeting phytochemicals during chemo or RT weeks, then taper to a lighter maintenance set while monitoring biomarkers and toxicity</w:t>
      </w:r>
      <w:r w:rsidDel="00000000" w:rsidR="00000000" w:rsidRPr="00000000">
        <w:rPr>
          <w:rtl w:val="0"/>
        </w:rPr>
      </w:r>
    </w:p>
    <w:p w:rsidR="00000000" w:rsidDel="00000000" w:rsidP="00000000" w:rsidRDefault="00000000" w:rsidRPr="00000000" w14:paraId="00000079">
      <w:pPr>
        <w:pStyle w:val="Heading3"/>
        <w:spacing w:before="280" w:line="240" w:lineRule="auto"/>
        <w:rPr/>
      </w:pPr>
      <w:bookmarkStart w:colFirst="0" w:colLast="0" w:name="_gr4bbz8xydz7" w:id="37"/>
      <w:bookmarkEnd w:id="37"/>
      <w:r w:rsidDel="00000000" w:rsidR="00000000" w:rsidRPr="00000000">
        <w:rPr>
          <w:rtl w:val="0"/>
        </w:rPr>
        <w:t xml:space="preserve">Stand-alone anti-resistance schedule (no chemo/RT)</w:t>
      </w:r>
    </w:p>
    <w:p w:rsidR="00000000" w:rsidDel="00000000" w:rsidP="00000000" w:rsidRDefault="00000000" w:rsidRPr="00000000" w14:paraId="0000007A">
      <w:pPr>
        <w:spacing w:after="280" w:line="240" w:lineRule="auto"/>
        <w:rPr>
          <w:rFonts w:ascii="Calibri" w:cs="Calibri" w:eastAsia="Calibri" w:hAnsi="Calibri"/>
        </w:rPr>
      </w:pPr>
      <w:r w:rsidDel="00000000" w:rsidR="00000000" w:rsidRPr="00000000">
        <w:rPr>
          <w:rFonts w:ascii="Calibri" w:cs="Calibri" w:eastAsia="Calibri" w:hAnsi="Calibri"/>
          <w:rtl w:val="0"/>
        </w:rPr>
        <w:t xml:space="preserve">For standalone use, the same principles apply, but the protocol itself must provide both attack and maintenance phases.</w:t>
      </w:r>
    </w:p>
    <w:p w:rsidR="00000000" w:rsidDel="00000000" w:rsidP="00000000" w:rsidRDefault="00000000" w:rsidRPr="00000000" w14:paraId="0000007B">
      <w:pPr>
        <w:pStyle w:val="Heading3"/>
        <w:rPr/>
      </w:pPr>
      <w:bookmarkStart w:colFirst="0" w:colLast="0" w:name="_4rpo59z6ida0" w:id="38"/>
      <w:bookmarkEnd w:id="38"/>
      <w:r w:rsidDel="00000000" w:rsidR="00000000" w:rsidRPr="00000000">
        <w:rPr>
          <w:rtl w:val="0"/>
        </w:rPr>
        <w:t xml:space="preserve">Core structure</w:t>
      </w:r>
    </w:p>
    <w:p w:rsidR="00000000" w:rsidDel="00000000" w:rsidP="00000000" w:rsidRDefault="00000000" w:rsidRPr="00000000" w14:paraId="0000007C">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b w:val="1"/>
          <w:bCs w:val="1"/>
          <w:i w:val="0"/>
          <w:iCs w:val="0"/>
          <w:sz w:val="24"/>
          <w:szCs w:val="24"/>
          <w:u w:val="none"/>
          <w:shd w:fill="auto" w:val="clear"/>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Attack windows (intensified phases):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Short blocks (e.g., four weeks) using the full multiagent set to induce strong metabolic and CSC pressure-</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160" w:before="0" w:line="278.00000000000006" w:lineRule="auto"/>
        <w:ind w:left="360" w:right="0" w:hanging="360"/>
        <w:jc w:val="left"/>
        <w:rPr>
          <w:b w:val="1"/>
          <w:bCs w:val="1"/>
          <w:i w:val="0"/>
          <w:iCs w:val="0"/>
          <w:sz w:val="24"/>
          <w:szCs w:val="24"/>
          <w:u w:val="none"/>
          <w:shd w:fill="auto" w:val="clear"/>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Maintenance windows (lighter phases):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Intervals (e.g., four weeks) with </w:t>
      </w:r>
      <w:r w:rsidDel="00000000" w:rsidR="00000000" w:rsidRPr="00000000">
        <w:rPr>
          <w:rFonts w:ascii="Calibri" w:cs="Calibri" w:eastAsia="Calibri" w:hAnsi="Calibri"/>
          <w:rtl w:val="0"/>
        </w:rPr>
        <w:t xml:space="preserve">lower intensity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agents aimed at differentiation, niche modulation, and circadian/immune support- </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right="0"/>
        <w:jc w:val="left"/>
        <w:rPr>
          <w:rFonts w:ascii="Calibri" w:cs="Calibri" w:eastAsia="Calibri" w:hAnsi="Calibri"/>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F">
      <w:pPr>
        <w:pStyle w:val="Heading3"/>
        <w:spacing w:before="240" w:lineRule="auto"/>
        <w:rPr/>
      </w:pPr>
      <w:bookmarkStart w:colFirst="0" w:colLast="0" w:name="_r8eaemadrh30" w:id="39"/>
      <w:bookmarkEnd w:id="39"/>
      <w:r w:rsidDel="00000000" w:rsidR="00000000" w:rsidRPr="00000000">
        <w:rPr>
          <w:rtl w:val="0"/>
        </w:rPr>
        <w:t xml:space="preserve">COC-style one-month doxycycline/one-month mebendazole cycling -(stand-alone, pulsed phytochemical + metformin protocol)(See Figures 3 and 4)</w:t>
      </w:r>
    </w:p>
    <w:p w:rsidR="00000000" w:rsidDel="00000000" w:rsidP="00000000" w:rsidRDefault="00000000" w:rsidRPr="00000000" w14:paraId="00000080">
      <w:pPr>
        <w:rPr>
          <w:rFonts w:ascii="Calibri" w:cs="Calibri" w:eastAsia="Calibri" w:hAnsi="Calibri"/>
        </w:rPr>
      </w:pPr>
      <w:r w:rsidDel="00000000" w:rsidR="00000000" w:rsidRPr="00000000">
        <w:rPr>
          <w:rFonts w:ascii="Calibri" w:cs="Calibri" w:eastAsia="Calibri" w:hAnsi="Calibri"/>
          <w:rtl w:val="0"/>
        </w:rPr>
        <w:t xml:space="preserve">Overall, eight-week cycle</w:t>
      </w:r>
    </w:p>
    <w:p w:rsidR="00000000" w:rsidDel="00000000" w:rsidP="00000000" w:rsidRDefault="00000000" w:rsidRPr="00000000" w14:paraId="00000081">
      <w:pPr>
        <w:rPr/>
      </w:pPr>
      <w:r w:rsidDel="00000000" w:rsidR="00000000" w:rsidRPr="00000000">
        <w:rPr>
          <w:rFonts w:ascii="Calibri" w:cs="Calibri" w:eastAsia="Calibri" w:hAnsi="Calibri"/>
          <w:b w:val="1"/>
          <w:bCs w:val="1"/>
          <w:rtl w:val="0"/>
        </w:rPr>
        <w:t xml:space="preserve">Weeks 1–4 (Attack Block A – doxycycline month) </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Metabolic backbone: Metformin + berberine</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z w:val="24"/>
          <w:szCs w:val="24"/>
          <w:u w:val="none"/>
          <w:shd w:fill="auto" w:val="clear"/>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CSC/mitochondria: Doxycycline (on month), curcumin, EGCG, resveratrol, sulforaphane, ivermectin</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z w:val="24"/>
          <w:szCs w:val="24"/>
          <w:u w:val="none"/>
          <w:shd w:fill="auto" w:val="clear"/>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Microenvironment/support: Propranolol (if clinically appropriate), vitamin D, melatonin, omega-3</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0"/>
          <w:bCs w:val="0"/>
          <w:i w:val="0"/>
          <w:iCs w:val="0"/>
          <w:sz w:val="24"/>
          <w:szCs w:val="24"/>
          <w:u w:val="none"/>
          <w:shd w:fill="auto" w:val="clear"/>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Goal: Strong AMPK–mTOR inhibition, glycolytic pressure, mitochondrial/CSC targeting, and stress of adrenergic/angiogenic axes</w:t>
      </w:r>
      <w:r w:rsidDel="00000000" w:rsidR="00000000" w:rsidRPr="00000000">
        <w:rPr>
          <w:rtl w:val="0"/>
        </w:rPr>
      </w:r>
    </w:p>
    <w:p w:rsidR="00000000" w:rsidDel="00000000" w:rsidP="00000000" w:rsidRDefault="00000000" w:rsidRPr="00000000" w14:paraId="00000086">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Weeks 5–8 (Attack Block B—mebendazole month)</w:t>
      </w:r>
    </w:p>
    <w:p w:rsidR="00000000" w:rsidDel="00000000" w:rsidP="00000000" w:rsidRDefault="00000000" w:rsidRPr="00000000" w14:paraId="00000087">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z w:val="24"/>
          <w:szCs w:val="24"/>
          <w:u w:val="none"/>
          <w:shd w:fill="auto" w:val="clear"/>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Metabolic backbone: Metformin + berberine (continue)</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z w:val="24"/>
          <w:szCs w:val="24"/>
          <w:u w:val="none"/>
          <w:shd w:fill="auto" w:val="clear"/>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CSC/cytoskeleton: Mebendazole (on month), ivermectin, curcumin, resveratrol</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z w:val="24"/>
          <w:szCs w:val="24"/>
          <w:u w:val="none"/>
          <w:shd w:fill="auto" w:val="clear"/>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Microenvironment/support: Propranolol, vitamin D, melatonin, omega-3</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0"/>
          <w:bCs w:val="0"/>
          <w:i w:val="0"/>
          <w:iCs w:val="0"/>
          <w:sz w:val="24"/>
          <w:szCs w:val="24"/>
          <w:u w:val="none"/>
          <w:shd w:fill="auto" w:val="clear"/>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Goal: maintain metabolic stress while shifting CSC pressure to microtubule dynamics and glucose handling, thereby altering the selective landscape relative to Block A</w:t>
      </w:r>
      <w:r w:rsidDel="00000000" w:rsidR="00000000" w:rsidRPr="00000000">
        <w:rPr>
          <w:rtl w:val="0"/>
        </w:rPr>
      </w:r>
    </w:p>
    <w:p w:rsidR="00000000" w:rsidDel="00000000" w:rsidP="00000000" w:rsidRDefault="00000000" w:rsidRPr="00000000" w14:paraId="0000008B">
      <w:pPr>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8C">
      <w:pPr>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8D">
      <w:pPr>
        <w:rPr>
          <w:rFonts w:ascii="Calibri" w:cs="Calibri" w:eastAsia="Calibri" w:hAnsi="Calibri"/>
        </w:rPr>
      </w:pPr>
      <w:r w:rsidDel="00000000" w:rsidR="00000000" w:rsidRPr="00000000">
        <w:rPr>
          <w:rFonts w:ascii="Calibri" w:cs="Calibri" w:eastAsia="Calibri" w:hAnsi="Calibri"/>
          <w:b w:val="1"/>
          <w:bCs w:val="1"/>
          <w:rtl w:val="0"/>
        </w:rPr>
        <w:t xml:space="preserve">Figure 1. </w:t>
      </w:r>
      <w:r w:rsidDel="00000000" w:rsidR="00000000" w:rsidRPr="00000000">
        <w:rPr>
          <w:rFonts w:ascii="Calibri" w:cs="Calibri" w:eastAsia="Calibri" w:hAnsi="Calibri"/>
          <w:rtl w:val="0"/>
        </w:rPr>
        <w:t xml:space="preserve">Approach to prevent adaptive resistance in multi-agent metabolic protocols.</w:t>
      </w:r>
    </w:p>
    <w:p w:rsidR="00000000" w:rsidDel="00000000" w:rsidP="00000000" w:rsidRDefault="00000000" w:rsidRPr="00000000" w14:paraId="0000008E">
      <w:pPr>
        <w:rPr>
          <w:rFonts w:ascii="Calibri" w:cs="Calibri" w:eastAsia="Calibri" w:hAnsi="Calibri"/>
        </w:rPr>
      </w:pPr>
      <w:r w:rsidDel="00000000" w:rsidR="00000000" w:rsidRPr="00000000">
        <w:br w:type="page"/>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285750</wp:posOffset>
            </wp:positionV>
            <wp:extent cx="5595938" cy="3795727"/>
            <wp:effectExtent b="0" l="0" r="0" t="0"/>
            <wp:wrapNone/>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595938" cy="3795727"/>
                    </a:xfrm>
                    <a:prstGeom prst="rect"/>
                    <a:ln/>
                  </pic:spPr>
                </pic:pic>
              </a:graphicData>
            </a:graphic>
          </wp:anchor>
        </w:drawing>
      </w:r>
    </w:p>
    <w:p w:rsidR="00000000" w:rsidDel="00000000" w:rsidP="00000000" w:rsidRDefault="00000000" w:rsidRPr="00000000" w14:paraId="0000008F">
      <w:pPr>
        <w:tabs>
          <w:tab w:val="left" w:leader="none" w:pos="6397"/>
        </w:tabs>
        <w:rPr/>
      </w:pPr>
      <w:r w:rsidDel="00000000" w:rsidR="00000000" w:rsidRPr="00000000">
        <w:rPr>
          <w:b w:val="1"/>
          <w:bCs w:val="1"/>
          <w:rtl w:val="0"/>
        </w:rPr>
        <w:t xml:space="preserve">Figure 2</w:t>
      </w:r>
      <w:r w:rsidDel="00000000" w:rsidR="00000000" w:rsidRPr="00000000">
        <w:rPr>
          <w:rtl w:val="0"/>
        </w:rPr>
        <w:t xml:space="preserve">. Adjunctive adaptive metabolic therapy rotation strategy with chemotherapy or radiotherapy.</w:t>
        <w:tab/>
      </w:r>
    </w:p>
    <w:p w:rsidR="00000000" w:rsidDel="00000000" w:rsidP="00000000" w:rsidRDefault="00000000" w:rsidRPr="00000000" w14:paraId="00000090">
      <w:pPr>
        <w:tabs>
          <w:tab w:val="left" w:leader="none" w:pos="6397"/>
        </w:tabs>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-777238</wp:posOffset>
            </wp:positionH>
            <wp:positionV relativeFrom="paragraph">
              <wp:posOffset>213360</wp:posOffset>
            </wp:positionV>
            <wp:extent cx="7381240" cy="4983480"/>
            <wp:effectExtent b="0" l="0" r="0" t="0"/>
            <wp:wrapNone/>
            <wp:docPr id="2"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7381240" cy="4983480"/>
                    </a:xfrm>
                    <a:prstGeom prst="rect"/>
                    <a:ln/>
                  </pic:spPr>
                </pic:pic>
              </a:graphicData>
            </a:graphic>
          </wp:anchor>
        </w:drawing>
      </w:r>
    </w:p>
    <w:p w:rsidR="00000000" w:rsidDel="00000000" w:rsidP="00000000" w:rsidRDefault="00000000" w:rsidRPr="00000000" w14:paraId="00000091">
      <w:pPr>
        <w:tabs>
          <w:tab w:val="left" w:leader="none" w:pos="6397"/>
        </w:tabs>
        <w:rPr/>
      </w:pPr>
      <w:r w:rsidDel="00000000" w:rsidR="00000000" w:rsidRPr="00000000">
        <w:rPr>
          <w:rtl w:val="0"/>
        </w:rPr>
      </w:r>
    </w:p>
    <w:p w:rsidR="00000000" w:rsidDel="00000000" w:rsidP="00000000" w:rsidRDefault="00000000" w:rsidRPr="00000000" w14:paraId="00000092">
      <w:pPr>
        <w:tabs>
          <w:tab w:val="left" w:leader="none" w:pos="6397"/>
        </w:tabs>
        <w:rPr/>
      </w:pPr>
      <w:r w:rsidDel="00000000" w:rsidR="00000000" w:rsidRPr="00000000">
        <w:rPr>
          <w:rtl w:val="0"/>
        </w:rPr>
      </w:r>
    </w:p>
    <w:p w:rsidR="00000000" w:rsidDel="00000000" w:rsidP="00000000" w:rsidRDefault="00000000" w:rsidRPr="00000000" w14:paraId="00000093">
      <w:pPr>
        <w:tabs>
          <w:tab w:val="left" w:leader="none" w:pos="6397"/>
        </w:tabs>
        <w:rPr/>
      </w:pPr>
      <w:r w:rsidDel="00000000" w:rsidR="00000000" w:rsidRPr="00000000">
        <w:rPr>
          <w:rtl w:val="0"/>
        </w:rPr>
      </w:r>
    </w:p>
    <w:p w:rsidR="00000000" w:rsidDel="00000000" w:rsidP="00000000" w:rsidRDefault="00000000" w:rsidRPr="00000000" w14:paraId="00000094">
      <w:pPr>
        <w:tabs>
          <w:tab w:val="left" w:leader="none" w:pos="6397"/>
        </w:tabs>
        <w:rPr/>
      </w:pPr>
      <w:r w:rsidDel="00000000" w:rsidR="00000000" w:rsidRPr="00000000">
        <w:rPr>
          <w:rtl w:val="0"/>
        </w:rPr>
      </w:r>
    </w:p>
    <w:p w:rsidR="00000000" w:rsidDel="00000000" w:rsidP="00000000" w:rsidRDefault="00000000" w:rsidRPr="00000000" w14:paraId="00000095">
      <w:pPr>
        <w:tabs>
          <w:tab w:val="left" w:leader="none" w:pos="6397"/>
        </w:tabs>
        <w:rPr/>
      </w:pPr>
      <w:r w:rsidDel="00000000" w:rsidR="00000000" w:rsidRPr="00000000">
        <w:rPr>
          <w:rtl w:val="0"/>
        </w:rPr>
      </w:r>
    </w:p>
    <w:p w:rsidR="00000000" w:rsidDel="00000000" w:rsidP="00000000" w:rsidRDefault="00000000" w:rsidRPr="00000000" w14:paraId="00000096">
      <w:pPr>
        <w:tabs>
          <w:tab w:val="left" w:leader="none" w:pos="6397"/>
        </w:tabs>
        <w:rPr/>
      </w:pPr>
      <w:r w:rsidDel="00000000" w:rsidR="00000000" w:rsidRPr="00000000">
        <w:rPr>
          <w:rtl w:val="0"/>
        </w:rPr>
      </w:r>
    </w:p>
    <w:p w:rsidR="00000000" w:rsidDel="00000000" w:rsidP="00000000" w:rsidRDefault="00000000" w:rsidRPr="00000000" w14:paraId="00000097">
      <w:pPr>
        <w:tabs>
          <w:tab w:val="left" w:leader="none" w:pos="6397"/>
        </w:tabs>
        <w:rPr/>
      </w:pPr>
      <w:r w:rsidDel="00000000" w:rsidR="00000000" w:rsidRPr="00000000">
        <w:rPr>
          <w:rtl w:val="0"/>
        </w:rPr>
      </w:r>
    </w:p>
    <w:p w:rsidR="00000000" w:rsidDel="00000000" w:rsidP="00000000" w:rsidRDefault="00000000" w:rsidRPr="00000000" w14:paraId="00000098">
      <w:pPr>
        <w:tabs>
          <w:tab w:val="left" w:leader="none" w:pos="6397"/>
        </w:tabs>
        <w:rPr/>
      </w:pPr>
      <w:r w:rsidDel="00000000" w:rsidR="00000000" w:rsidRPr="00000000">
        <w:rPr>
          <w:rtl w:val="0"/>
        </w:rPr>
      </w:r>
    </w:p>
    <w:p w:rsidR="00000000" w:rsidDel="00000000" w:rsidP="00000000" w:rsidRDefault="00000000" w:rsidRPr="00000000" w14:paraId="00000099">
      <w:pPr>
        <w:tabs>
          <w:tab w:val="left" w:leader="none" w:pos="6397"/>
        </w:tabs>
        <w:rPr/>
      </w:pPr>
      <w:r w:rsidDel="00000000" w:rsidR="00000000" w:rsidRPr="00000000">
        <w:rPr>
          <w:rtl w:val="0"/>
        </w:rPr>
      </w:r>
    </w:p>
    <w:p w:rsidR="00000000" w:rsidDel="00000000" w:rsidP="00000000" w:rsidRDefault="00000000" w:rsidRPr="00000000" w14:paraId="0000009A">
      <w:pPr>
        <w:tabs>
          <w:tab w:val="left" w:leader="none" w:pos="6397"/>
        </w:tabs>
        <w:rPr/>
      </w:pPr>
      <w:r w:rsidDel="00000000" w:rsidR="00000000" w:rsidRPr="00000000">
        <w:rPr>
          <w:rtl w:val="0"/>
        </w:rPr>
      </w:r>
    </w:p>
    <w:p w:rsidR="00000000" w:rsidDel="00000000" w:rsidP="00000000" w:rsidRDefault="00000000" w:rsidRPr="00000000" w14:paraId="0000009B">
      <w:pPr>
        <w:tabs>
          <w:tab w:val="left" w:leader="none" w:pos="6397"/>
        </w:tabs>
        <w:rPr/>
      </w:pPr>
      <w:r w:rsidDel="00000000" w:rsidR="00000000" w:rsidRPr="00000000">
        <w:rPr>
          <w:rtl w:val="0"/>
        </w:rPr>
      </w:r>
    </w:p>
    <w:p w:rsidR="00000000" w:rsidDel="00000000" w:rsidP="00000000" w:rsidRDefault="00000000" w:rsidRPr="00000000" w14:paraId="0000009C">
      <w:pPr>
        <w:tabs>
          <w:tab w:val="left" w:leader="none" w:pos="6397"/>
        </w:tabs>
        <w:rPr/>
      </w:pPr>
      <w:r w:rsidDel="00000000" w:rsidR="00000000" w:rsidRPr="00000000">
        <w:rPr>
          <w:rtl w:val="0"/>
        </w:rPr>
      </w:r>
    </w:p>
    <w:p w:rsidR="00000000" w:rsidDel="00000000" w:rsidP="00000000" w:rsidRDefault="00000000" w:rsidRPr="00000000" w14:paraId="0000009D">
      <w:pPr>
        <w:tabs>
          <w:tab w:val="left" w:leader="none" w:pos="6397"/>
        </w:tabs>
        <w:rPr/>
      </w:pPr>
      <w:r w:rsidDel="00000000" w:rsidR="00000000" w:rsidRPr="00000000">
        <w:rPr>
          <w:rtl w:val="0"/>
        </w:rPr>
      </w:r>
    </w:p>
    <w:p w:rsidR="00000000" w:rsidDel="00000000" w:rsidP="00000000" w:rsidRDefault="00000000" w:rsidRPr="00000000" w14:paraId="0000009E">
      <w:pPr>
        <w:tabs>
          <w:tab w:val="left" w:leader="none" w:pos="6397"/>
        </w:tabs>
        <w:rPr/>
      </w:pPr>
      <w:r w:rsidDel="00000000" w:rsidR="00000000" w:rsidRPr="00000000">
        <w:rPr>
          <w:rtl w:val="0"/>
        </w:rPr>
      </w:r>
    </w:p>
    <w:p w:rsidR="00000000" w:rsidDel="00000000" w:rsidP="00000000" w:rsidRDefault="00000000" w:rsidRPr="00000000" w14:paraId="0000009F">
      <w:pPr>
        <w:tabs>
          <w:tab w:val="left" w:leader="none" w:pos="6397"/>
        </w:tabs>
        <w:rPr/>
      </w:pPr>
      <w:r w:rsidDel="00000000" w:rsidR="00000000" w:rsidRPr="00000000">
        <w:rPr>
          <w:rtl w:val="0"/>
        </w:rPr>
      </w:r>
    </w:p>
    <w:p w:rsidR="00000000" w:rsidDel="00000000" w:rsidP="00000000" w:rsidRDefault="00000000" w:rsidRPr="00000000" w14:paraId="000000A0">
      <w:pPr>
        <w:tabs>
          <w:tab w:val="left" w:leader="none" w:pos="6397"/>
        </w:tabs>
        <w:rPr/>
      </w:pPr>
      <w:r w:rsidDel="00000000" w:rsidR="00000000" w:rsidRPr="00000000">
        <w:rPr>
          <w:rtl w:val="0"/>
        </w:rPr>
        <w:t xml:space="preserve">                          </w:t>
      </w:r>
    </w:p>
    <w:p w:rsidR="00000000" w:rsidDel="00000000" w:rsidP="00000000" w:rsidRDefault="00000000" w:rsidRPr="00000000" w14:paraId="000000A1">
      <w:pPr>
        <w:tabs>
          <w:tab w:val="left" w:leader="none" w:pos="6397"/>
        </w:tabs>
        <w:rPr/>
      </w:pPr>
      <w:r w:rsidDel="00000000" w:rsidR="00000000" w:rsidRPr="00000000">
        <w:rPr>
          <w:rtl w:val="0"/>
        </w:rPr>
      </w:r>
    </w:p>
    <w:p w:rsidR="00000000" w:rsidDel="00000000" w:rsidP="00000000" w:rsidRDefault="00000000" w:rsidRPr="00000000" w14:paraId="000000A2">
      <w:pPr>
        <w:tabs>
          <w:tab w:val="left" w:leader="none" w:pos="6397"/>
        </w:tabs>
        <w:rPr/>
      </w:pPr>
      <w:r w:rsidDel="00000000" w:rsidR="00000000" w:rsidRPr="00000000">
        <w:rPr>
          <w:rtl w:val="0"/>
        </w:rPr>
      </w:r>
    </w:p>
    <w:p w:rsidR="00000000" w:rsidDel="00000000" w:rsidP="00000000" w:rsidRDefault="00000000" w:rsidRPr="00000000" w14:paraId="000000A3">
      <w:pPr>
        <w:tabs>
          <w:tab w:val="left" w:leader="none" w:pos="6397"/>
        </w:tabs>
        <w:rPr/>
      </w:pPr>
      <w:r w:rsidDel="00000000" w:rsidR="00000000" w:rsidRPr="00000000">
        <w:rPr>
          <w:rtl w:val="0"/>
        </w:rPr>
        <w:t xml:space="preserve">                                     </w:t>
      </w:r>
    </w:p>
    <w:p w:rsidR="00000000" w:rsidDel="00000000" w:rsidP="00000000" w:rsidRDefault="00000000" w:rsidRPr="00000000" w14:paraId="000000A4">
      <w:pPr>
        <w:rPr/>
      </w:pPr>
      <w:r w:rsidDel="00000000" w:rsidR="00000000" w:rsidRPr="00000000">
        <w:br w:type="page"/>
      </w:r>
      <w:r w:rsidDel="00000000" w:rsidR="00000000" w:rsidRPr="00000000">
        <w:rPr>
          <w:rtl w:val="0"/>
        </w:rPr>
      </w:r>
    </w:p>
    <w:p w:rsidR="00000000" w:rsidDel="00000000" w:rsidP="00000000" w:rsidRDefault="00000000" w:rsidRPr="00000000" w14:paraId="000000A5">
      <w:pPr>
        <w:tabs>
          <w:tab w:val="left" w:leader="none" w:pos="6397"/>
        </w:tabs>
        <w:rPr>
          <w:rFonts w:ascii="Calibri" w:cs="Calibri" w:eastAsia="Calibri" w:hAnsi="Calibri"/>
        </w:rPr>
      </w:pPr>
      <w:r w:rsidDel="00000000" w:rsidR="00000000" w:rsidRPr="00000000">
        <w:rPr>
          <w:rFonts w:ascii="Calibri" w:cs="Calibri" w:eastAsia="Calibri" w:hAnsi="Calibri"/>
          <w:b w:val="1"/>
          <w:bCs w:val="1"/>
          <w:rtl w:val="0"/>
        </w:rPr>
        <w:t xml:space="preserve">Figure 3. </w:t>
      </w:r>
      <w:r w:rsidDel="00000000" w:rsidR="00000000" w:rsidRPr="00000000">
        <w:rPr>
          <w:rFonts w:ascii="Calibri" w:cs="Calibri" w:eastAsia="Calibri" w:hAnsi="Calibri"/>
          <w:rtl w:val="0"/>
        </w:rPr>
        <w:t xml:space="preserve">Standalone adaptive metabolic therapy dosing strategy (no chemotherapy or radiotherapy).</w:t>
      </w:r>
    </w:p>
    <w:p w:rsidR="00000000" w:rsidDel="00000000" w:rsidP="00000000" w:rsidRDefault="00000000" w:rsidRPr="00000000" w14:paraId="000000A6">
      <w:pPr>
        <w:tabs>
          <w:tab w:val="left" w:leader="none" w:pos="6397"/>
        </w:tabs>
        <w:rPr>
          <w:rFonts w:ascii="Calibri" w:cs="Calibri" w:eastAsia="Calibri" w:hAnsi="Calibri"/>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-609598</wp:posOffset>
            </wp:positionH>
            <wp:positionV relativeFrom="paragraph">
              <wp:posOffset>180975</wp:posOffset>
            </wp:positionV>
            <wp:extent cx="7110413" cy="5086350"/>
            <wp:effectExtent b="0" l="0" r="0" t="0"/>
            <wp:wrapNone/>
            <wp:docPr id="5"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7110413" cy="5086350"/>
                    </a:xfrm>
                    <a:prstGeom prst="rect"/>
                    <a:ln/>
                  </pic:spPr>
                </pic:pic>
              </a:graphicData>
            </a:graphic>
          </wp:anchor>
        </w:drawing>
      </w:r>
    </w:p>
    <w:p w:rsidR="00000000" w:rsidDel="00000000" w:rsidP="00000000" w:rsidRDefault="00000000" w:rsidRPr="00000000" w14:paraId="000000A7">
      <w:pPr>
        <w:tabs>
          <w:tab w:val="left" w:leader="none" w:pos="6397"/>
        </w:tabs>
        <w:rPr>
          <w:rFonts w:ascii="Calibri" w:cs="Calibri" w:eastAsia="Calibri" w:hAnsi="Calibri"/>
        </w:rPr>
      </w:pPr>
      <w:r w:rsidDel="00000000" w:rsidR="00000000" w:rsidRPr="00000000">
        <w:rPr>
          <w:rtl w:val="0"/>
        </w:rPr>
      </w:r>
    </w:p>
    <w:p w:rsidR="00000000" w:rsidDel="00000000" w:rsidP="00000000" w:rsidRDefault="00000000" w:rsidRPr="00000000" w14:paraId="000000A8">
      <w:pPr>
        <w:tabs>
          <w:tab w:val="left" w:leader="none" w:pos="6397"/>
        </w:tabs>
        <w:rPr>
          <w:rFonts w:ascii="Calibri" w:cs="Calibri" w:eastAsia="Calibri" w:hAnsi="Calibri"/>
        </w:rPr>
      </w:pPr>
      <w:r w:rsidDel="00000000" w:rsidR="00000000" w:rsidRPr="00000000">
        <w:rPr>
          <w:rtl w:val="0"/>
        </w:rPr>
      </w:r>
    </w:p>
    <w:p w:rsidR="00000000" w:rsidDel="00000000" w:rsidP="00000000" w:rsidRDefault="00000000" w:rsidRPr="00000000" w14:paraId="000000A9">
      <w:pPr>
        <w:tabs>
          <w:tab w:val="left" w:leader="none" w:pos="6397"/>
        </w:tabs>
        <w:rPr>
          <w:rFonts w:ascii="Calibri" w:cs="Calibri" w:eastAsia="Calibri" w:hAnsi="Calibri"/>
        </w:rPr>
      </w:pPr>
      <w:r w:rsidDel="00000000" w:rsidR="00000000" w:rsidRPr="00000000">
        <w:rPr>
          <w:rtl w:val="0"/>
        </w:rPr>
      </w:r>
    </w:p>
    <w:p w:rsidR="00000000" w:rsidDel="00000000" w:rsidP="00000000" w:rsidRDefault="00000000" w:rsidRPr="00000000" w14:paraId="000000AA">
      <w:pPr>
        <w:tabs>
          <w:tab w:val="left" w:leader="none" w:pos="6397"/>
        </w:tabs>
        <w:rPr>
          <w:rFonts w:ascii="Calibri" w:cs="Calibri" w:eastAsia="Calibri" w:hAnsi="Calibri"/>
        </w:rPr>
      </w:pPr>
      <w:r w:rsidDel="00000000" w:rsidR="00000000" w:rsidRPr="00000000">
        <w:rPr>
          <w:rtl w:val="0"/>
        </w:rPr>
      </w:r>
    </w:p>
    <w:p w:rsidR="00000000" w:rsidDel="00000000" w:rsidP="00000000" w:rsidRDefault="00000000" w:rsidRPr="00000000" w14:paraId="000000AB">
      <w:pPr>
        <w:tabs>
          <w:tab w:val="left" w:leader="none" w:pos="6397"/>
        </w:tabs>
        <w:rPr>
          <w:rFonts w:ascii="Calibri" w:cs="Calibri" w:eastAsia="Calibri" w:hAnsi="Calibri"/>
        </w:rPr>
      </w:pPr>
      <w:r w:rsidDel="00000000" w:rsidR="00000000" w:rsidRPr="00000000">
        <w:rPr>
          <w:rtl w:val="0"/>
        </w:rPr>
      </w:r>
    </w:p>
    <w:p w:rsidR="00000000" w:rsidDel="00000000" w:rsidP="00000000" w:rsidRDefault="00000000" w:rsidRPr="00000000" w14:paraId="000000AC">
      <w:pPr>
        <w:tabs>
          <w:tab w:val="left" w:leader="none" w:pos="6397"/>
        </w:tabs>
        <w:rPr>
          <w:rFonts w:ascii="Calibri" w:cs="Calibri" w:eastAsia="Calibri" w:hAnsi="Calibri"/>
        </w:rPr>
      </w:pPr>
      <w:r w:rsidDel="00000000" w:rsidR="00000000" w:rsidRPr="00000000">
        <w:rPr>
          <w:rtl w:val="0"/>
        </w:rPr>
      </w:r>
    </w:p>
    <w:p w:rsidR="00000000" w:rsidDel="00000000" w:rsidP="00000000" w:rsidRDefault="00000000" w:rsidRPr="00000000" w14:paraId="000000AD">
      <w:pPr>
        <w:tabs>
          <w:tab w:val="left" w:leader="none" w:pos="6397"/>
        </w:tabs>
        <w:rPr>
          <w:rFonts w:ascii="Calibri" w:cs="Calibri" w:eastAsia="Calibri" w:hAnsi="Calibri"/>
        </w:rPr>
      </w:pPr>
      <w:r w:rsidDel="00000000" w:rsidR="00000000" w:rsidRPr="00000000">
        <w:rPr>
          <w:rtl w:val="0"/>
        </w:rPr>
      </w:r>
    </w:p>
    <w:p w:rsidR="00000000" w:rsidDel="00000000" w:rsidP="00000000" w:rsidRDefault="00000000" w:rsidRPr="00000000" w14:paraId="000000AE">
      <w:pPr>
        <w:tabs>
          <w:tab w:val="left" w:leader="none" w:pos="6397"/>
        </w:tabs>
        <w:rPr>
          <w:rFonts w:ascii="Calibri" w:cs="Calibri" w:eastAsia="Calibri" w:hAnsi="Calibri"/>
        </w:rPr>
      </w:pPr>
      <w:r w:rsidDel="00000000" w:rsidR="00000000" w:rsidRPr="00000000">
        <w:rPr>
          <w:rtl w:val="0"/>
        </w:rPr>
      </w:r>
    </w:p>
    <w:p w:rsidR="00000000" w:rsidDel="00000000" w:rsidP="00000000" w:rsidRDefault="00000000" w:rsidRPr="00000000" w14:paraId="000000AF">
      <w:pPr>
        <w:tabs>
          <w:tab w:val="left" w:leader="none" w:pos="6397"/>
        </w:tabs>
        <w:rPr>
          <w:rFonts w:ascii="Calibri" w:cs="Calibri" w:eastAsia="Calibri" w:hAnsi="Calibri"/>
        </w:rPr>
      </w:pPr>
      <w:r w:rsidDel="00000000" w:rsidR="00000000" w:rsidRPr="00000000">
        <w:rPr>
          <w:rtl w:val="0"/>
        </w:rPr>
      </w:r>
    </w:p>
    <w:p w:rsidR="00000000" w:rsidDel="00000000" w:rsidP="00000000" w:rsidRDefault="00000000" w:rsidRPr="00000000" w14:paraId="000000B0">
      <w:pPr>
        <w:tabs>
          <w:tab w:val="left" w:leader="none" w:pos="6397"/>
        </w:tabs>
        <w:rPr>
          <w:rFonts w:ascii="Calibri" w:cs="Calibri" w:eastAsia="Calibri" w:hAnsi="Calibri"/>
        </w:rPr>
      </w:pPr>
      <w:r w:rsidDel="00000000" w:rsidR="00000000" w:rsidRPr="00000000">
        <w:rPr>
          <w:rtl w:val="0"/>
        </w:rPr>
      </w:r>
    </w:p>
    <w:p w:rsidR="00000000" w:rsidDel="00000000" w:rsidP="00000000" w:rsidRDefault="00000000" w:rsidRPr="00000000" w14:paraId="000000B1">
      <w:pPr>
        <w:tabs>
          <w:tab w:val="left" w:leader="none" w:pos="6397"/>
        </w:tabs>
        <w:rPr>
          <w:rFonts w:ascii="Calibri" w:cs="Calibri" w:eastAsia="Calibri" w:hAnsi="Calibri"/>
        </w:rPr>
      </w:pPr>
      <w:r w:rsidDel="00000000" w:rsidR="00000000" w:rsidRPr="00000000">
        <w:rPr>
          <w:rtl w:val="0"/>
        </w:rPr>
      </w:r>
    </w:p>
    <w:p w:rsidR="00000000" w:rsidDel="00000000" w:rsidP="00000000" w:rsidRDefault="00000000" w:rsidRPr="00000000" w14:paraId="000000B2">
      <w:pPr>
        <w:tabs>
          <w:tab w:val="left" w:leader="none" w:pos="6397"/>
        </w:tabs>
        <w:rPr>
          <w:rFonts w:ascii="Calibri" w:cs="Calibri" w:eastAsia="Calibri" w:hAnsi="Calibri"/>
        </w:rPr>
      </w:pPr>
      <w:r w:rsidDel="00000000" w:rsidR="00000000" w:rsidRPr="00000000">
        <w:rPr>
          <w:rtl w:val="0"/>
        </w:rPr>
      </w:r>
    </w:p>
    <w:p w:rsidR="00000000" w:rsidDel="00000000" w:rsidP="00000000" w:rsidRDefault="00000000" w:rsidRPr="00000000" w14:paraId="000000B3">
      <w:pPr>
        <w:tabs>
          <w:tab w:val="left" w:leader="none" w:pos="6397"/>
        </w:tabs>
        <w:rPr>
          <w:rFonts w:ascii="Calibri" w:cs="Calibri" w:eastAsia="Calibri" w:hAnsi="Calibri"/>
        </w:rPr>
      </w:pPr>
      <w:r w:rsidDel="00000000" w:rsidR="00000000" w:rsidRPr="00000000">
        <w:rPr>
          <w:rtl w:val="0"/>
        </w:rPr>
      </w:r>
    </w:p>
    <w:p w:rsidR="00000000" w:rsidDel="00000000" w:rsidP="00000000" w:rsidRDefault="00000000" w:rsidRPr="00000000" w14:paraId="000000B4">
      <w:pPr>
        <w:tabs>
          <w:tab w:val="left" w:leader="none" w:pos="6397"/>
        </w:tabs>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B5">
      <w:pPr>
        <w:tabs>
          <w:tab w:val="left" w:leader="none" w:pos="6397"/>
        </w:tabs>
        <w:rPr>
          <w:rFonts w:ascii="Calibri" w:cs="Calibri" w:eastAsia="Calibri" w:hAnsi="Calibri"/>
        </w:rPr>
      </w:pPr>
      <w:r w:rsidDel="00000000" w:rsidR="00000000" w:rsidRPr="00000000">
        <w:rPr>
          <w:rtl w:val="0"/>
        </w:rPr>
      </w:r>
    </w:p>
    <w:p w:rsidR="00000000" w:rsidDel="00000000" w:rsidP="00000000" w:rsidRDefault="00000000" w:rsidRPr="00000000" w14:paraId="000000B6">
      <w:pPr>
        <w:tabs>
          <w:tab w:val="left" w:leader="none" w:pos="6397"/>
        </w:tabs>
        <w:rPr>
          <w:rFonts w:ascii="Calibri" w:cs="Calibri" w:eastAsia="Calibri" w:hAnsi="Calibri"/>
        </w:rPr>
      </w:pPr>
      <w:r w:rsidDel="00000000" w:rsidR="00000000" w:rsidRPr="00000000">
        <w:rPr>
          <w:rtl w:val="0"/>
        </w:rPr>
      </w:r>
    </w:p>
    <w:p w:rsidR="00000000" w:rsidDel="00000000" w:rsidP="00000000" w:rsidRDefault="00000000" w:rsidRPr="00000000" w14:paraId="000000B7">
      <w:pPr>
        <w:tabs>
          <w:tab w:val="left" w:leader="none" w:pos="6397"/>
        </w:tabs>
        <w:rPr>
          <w:rFonts w:ascii="Calibri" w:cs="Calibri" w:eastAsia="Calibri" w:hAnsi="Calibri"/>
        </w:rPr>
      </w:pPr>
      <w:r w:rsidDel="00000000" w:rsidR="00000000" w:rsidRPr="00000000">
        <w:rPr>
          <w:rtl w:val="0"/>
        </w:rPr>
      </w:r>
    </w:p>
    <w:p w:rsidR="00000000" w:rsidDel="00000000" w:rsidP="00000000" w:rsidRDefault="00000000" w:rsidRPr="00000000" w14:paraId="000000B8">
      <w:pPr>
        <w:tabs>
          <w:tab w:val="left" w:leader="none" w:pos="6397"/>
        </w:tabs>
        <w:rPr>
          <w:rFonts w:ascii="Calibri" w:cs="Calibri" w:eastAsia="Calibri" w:hAnsi="Calibri"/>
        </w:rPr>
      </w:pPr>
      <w:r w:rsidDel="00000000" w:rsidR="00000000" w:rsidRPr="00000000">
        <w:rPr>
          <w:rtl w:val="0"/>
        </w:rPr>
      </w:r>
    </w:p>
    <w:p w:rsidR="00000000" w:rsidDel="00000000" w:rsidP="00000000" w:rsidRDefault="00000000" w:rsidRPr="00000000" w14:paraId="000000B9">
      <w:pPr>
        <w:tabs>
          <w:tab w:val="left" w:leader="none" w:pos="6397"/>
        </w:tabs>
        <w:rPr>
          <w:rFonts w:ascii="Calibri" w:cs="Calibri" w:eastAsia="Calibri" w:hAnsi="Calibri"/>
        </w:rPr>
      </w:pPr>
      <w:r w:rsidDel="00000000" w:rsidR="00000000" w:rsidRPr="00000000">
        <w:rPr>
          <w:rtl w:val="0"/>
        </w:rPr>
      </w:r>
    </w:p>
    <w:p w:rsidR="00000000" w:rsidDel="00000000" w:rsidP="00000000" w:rsidRDefault="00000000" w:rsidRPr="00000000" w14:paraId="000000BA">
      <w:pPr>
        <w:tabs>
          <w:tab w:val="left" w:leader="none" w:pos="6397"/>
        </w:tabs>
        <w:rPr>
          <w:rFonts w:ascii="Calibri" w:cs="Calibri" w:eastAsia="Calibri" w:hAnsi="Calibri"/>
        </w:rPr>
      </w:pPr>
      <w:r w:rsidDel="00000000" w:rsidR="00000000" w:rsidRPr="00000000">
        <w:rPr>
          <w:rtl w:val="0"/>
        </w:rPr>
      </w:r>
    </w:p>
    <w:p w:rsidR="00000000" w:rsidDel="00000000" w:rsidP="00000000" w:rsidRDefault="00000000" w:rsidRPr="00000000" w14:paraId="000000BB">
      <w:pPr>
        <w:tabs>
          <w:tab w:val="left" w:leader="none" w:pos="6397"/>
        </w:tabs>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BC">
      <w:pPr>
        <w:tabs>
          <w:tab w:val="left" w:leader="none" w:pos="6397"/>
        </w:tabs>
        <w:rPr>
          <w:rFonts w:ascii="Calibri" w:cs="Calibri" w:eastAsia="Calibri" w:hAnsi="Calibri"/>
          <w:b w:val="1"/>
          <w:bCs w:val="1"/>
        </w:rPr>
      </w:pPr>
      <w:r w:rsidDel="00000000" w:rsidR="00000000" w:rsidRPr="00000000">
        <w:rPr>
          <w:rFonts w:ascii="Calibri" w:cs="Calibri" w:eastAsia="Calibri" w:hAnsi="Calibri"/>
          <w:b w:val="1"/>
          <w:bCs w:val="1"/>
          <w:rtl w:val="0"/>
        </w:rPr>
        <w:t xml:space="preserve"> </w:t>
      </w:r>
      <w:r w:rsidDel="00000000" w:rsidR="00000000" w:rsidRPr="00000000">
        <w:drawing>
          <wp:anchor allowOverlap="1" behindDoc="1" distB="0" distT="0" distL="0" distR="0" hidden="0" layoutInCell="1" locked="0" relativeHeight="0" simplePos="0">
            <wp:simplePos x="0" y="0"/>
            <wp:positionH relativeFrom="column">
              <wp:posOffset>1191260</wp:posOffset>
            </wp:positionH>
            <wp:positionV relativeFrom="paragraph">
              <wp:posOffset>4784090</wp:posOffset>
            </wp:positionV>
            <wp:extent cx="3848985" cy="1507692"/>
            <wp:effectExtent b="0" l="0" r="0" t="0"/>
            <wp:wrapNone/>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848985" cy="1507692"/>
                    </a:xfrm>
                    <a:prstGeom prst="rect"/>
                    <a:ln/>
                  </pic:spPr>
                </pic:pic>
              </a:graphicData>
            </a:graphic>
          </wp:anchor>
        </w:drawing>
      </w:r>
    </w:p>
    <w:p w:rsidR="00000000" w:rsidDel="00000000" w:rsidP="00000000" w:rsidRDefault="00000000" w:rsidRPr="00000000" w14:paraId="000000BD">
      <w:pPr>
        <w:tabs>
          <w:tab w:val="left" w:leader="none" w:pos="6397"/>
        </w:tabs>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BE">
      <w:pPr>
        <w:tabs>
          <w:tab w:val="left" w:leader="none" w:pos="6397"/>
        </w:tabs>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BF">
      <w:pPr>
        <w:rPr>
          <w:rFonts w:ascii="Calibri" w:cs="Calibri" w:eastAsia="Calibri" w:hAnsi="Calibri"/>
        </w:rPr>
      </w:pPr>
      <w:r w:rsidDel="00000000" w:rsidR="00000000" w:rsidRPr="00000000">
        <w:rPr>
          <w:rFonts w:ascii="Calibri" w:cs="Calibri" w:eastAsia="Calibri" w:hAnsi="Calibri"/>
          <w:b w:val="1"/>
          <w:bCs w:val="1"/>
          <w:rtl w:val="0"/>
        </w:rPr>
        <w:t xml:space="preserve">Figure 4. </w:t>
      </w:r>
      <w:r w:rsidDel="00000000" w:rsidR="00000000" w:rsidRPr="00000000">
        <w:rPr>
          <w:rFonts w:ascii="Calibri" w:cs="Calibri" w:eastAsia="Calibri" w:hAnsi="Calibri"/>
          <w:rtl w:val="0"/>
        </w:rPr>
        <w:t xml:space="preserve">Simplified schematic of an eight-week stand-alone cyclical metabolic targeting protocol.</w:t>
      </w:r>
    </w:p>
    <w:p w:rsidR="00000000" w:rsidDel="00000000" w:rsidP="00000000" w:rsidRDefault="00000000" w:rsidRPr="00000000" w14:paraId="000000C0">
      <w:pPr>
        <w:rPr>
          <w:rFonts w:ascii="Calibri" w:cs="Calibri" w:eastAsia="Calibri" w:hAnsi="Calibri"/>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-189863</wp:posOffset>
            </wp:positionH>
            <wp:positionV relativeFrom="paragraph">
              <wp:posOffset>143510</wp:posOffset>
            </wp:positionV>
            <wp:extent cx="5943600" cy="4737735"/>
            <wp:effectExtent b="0" l="0" r="0" t="0"/>
            <wp:wrapNone/>
            <wp:docPr id="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4737735"/>
                    </a:xfrm>
                    <a:prstGeom prst="rect"/>
                    <a:ln/>
                  </pic:spPr>
                </pic:pic>
              </a:graphicData>
            </a:graphic>
          </wp:anchor>
        </w:drawing>
      </w:r>
    </w:p>
    <w:p w:rsidR="00000000" w:rsidDel="00000000" w:rsidP="00000000" w:rsidRDefault="00000000" w:rsidRPr="00000000" w14:paraId="000000C1">
      <w:pPr>
        <w:ind w:left="360" w:firstLine="0"/>
        <w:rPr/>
      </w:pPr>
      <w:r w:rsidDel="00000000" w:rsidR="00000000" w:rsidRPr="00000000">
        <w:rPr>
          <w:rtl w:val="0"/>
        </w:rPr>
      </w:r>
    </w:p>
    <w:p w:rsidR="00000000" w:rsidDel="00000000" w:rsidP="00000000" w:rsidRDefault="00000000" w:rsidRPr="00000000" w14:paraId="000000C2">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C3">
      <w:pPr>
        <w:pStyle w:val="Heading2"/>
        <w:jc w:val="center"/>
        <w:rPr/>
      </w:pPr>
      <w:bookmarkStart w:colFirst="0" w:colLast="0" w:name="_sz3zd3mj63w4" w:id="40"/>
      <w:bookmarkEnd w:id="40"/>
      <w:r w:rsidDel="00000000" w:rsidR="00000000" w:rsidRPr="00000000">
        <w:rPr>
          <w:rtl w:val="0"/>
        </w:rPr>
        <w:t xml:space="preserve">Explanatory Notes</w:t>
      </w:r>
    </w:p>
    <w:p w:rsidR="00000000" w:rsidDel="00000000" w:rsidP="00000000" w:rsidRDefault="00000000" w:rsidRPr="00000000" w14:paraId="000000C4">
      <w:pPr>
        <w:pStyle w:val="Heading3"/>
        <w:numPr>
          <w:ilvl w:val="0"/>
          <w:numId w:val="29"/>
        </w:numPr>
        <w:ind w:left="360"/>
        <w:rPr/>
      </w:pPr>
      <w:bookmarkStart w:colFirst="0" w:colLast="0" w:name="_850joo8ax3ro" w:id="41"/>
      <w:bookmarkEnd w:id="41"/>
      <w:r w:rsidDel="00000000" w:rsidR="00000000" w:rsidRPr="00000000">
        <w:rPr>
          <w:vertAlign w:val="baseline"/>
          <w:rtl w:val="0"/>
        </w:rPr>
        <w:t xml:space="preserve">Should metformin and berberine be cycled separately in alternating months?</w:t>
      </w:r>
    </w:p>
    <w:p w:rsidR="00000000" w:rsidDel="00000000" w:rsidP="00000000" w:rsidRDefault="00000000" w:rsidRPr="00000000" w14:paraId="000000C5">
      <w:pPr>
        <w:rPr>
          <w:rFonts w:ascii="Calibri" w:cs="Calibri" w:eastAsia="Calibri" w:hAnsi="Calibri"/>
        </w:rPr>
      </w:pPr>
      <w:r w:rsidDel="00000000" w:rsidR="00000000" w:rsidRPr="00000000">
        <w:rPr>
          <w:rFonts w:ascii="Calibri" w:cs="Calibri" w:eastAsia="Calibri" w:hAnsi="Calibri"/>
          <w:b w:val="1"/>
          <w:bCs w:val="1"/>
          <w:rtl w:val="0"/>
        </w:rPr>
        <w:t xml:space="preserve">NO.</w:t>
      </w:r>
      <w:r w:rsidDel="00000000" w:rsidR="00000000" w:rsidRPr="00000000">
        <w:rPr>
          <w:rFonts w:ascii="Calibri" w:cs="Calibri" w:eastAsia="Calibri" w:hAnsi="Calibri"/>
          <w:rtl w:val="0"/>
        </w:rPr>
        <w:t xml:space="preserve"> Cycling them is likely inferior to combining them. </w:t>
      </w:r>
    </w:p>
    <w:p w:rsidR="00000000" w:rsidDel="00000000" w:rsidP="00000000" w:rsidRDefault="00000000" w:rsidRPr="00000000" w14:paraId="000000C6">
      <w:pPr>
        <w:rPr>
          <w:rFonts w:ascii="Calibri" w:cs="Calibri" w:eastAsia="Calibri" w:hAnsi="Calibri"/>
        </w:rPr>
      </w:pPr>
      <w:r w:rsidDel="00000000" w:rsidR="00000000" w:rsidRPr="00000000">
        <w:rPr>
          <w:rFonts w:ascii="Calibri" w:cs="Calibri" w:eastAsia="Calibri" w:hAnsi="Calibri"/>
          <w:rtl w:val="0"/>
        </w:rPr>
        <w:t xml:space="preserve">While both metformin and berberine are AMPK activators, they reach AMPK through different transporters and upstream signals and have distinct off-target effects, which makes them complementary rather than interchangeable.(25)</w:t>
      </w:r>
    </w:p>
    <w:p w:rsidR="00000000" w:rsidDel="00000000" w:rsidP="00000000" w:rsidRDefault="00000000" w:rsidRPr="00000000" w14:paraId="000000C7">
      <w:pPr>
        <w:rPr>
          <w:rFonts w:ascii="Calibri" w:cs="Calibri" w:eastAsia="Calibri" w:hAnsi="Calibri"/>
        </w:rPr>
      </w:pPr>
      <w:r w:rsidDel="00000000" w:rsidR="00000000" w:rsidRPr="00000000">
        <w:rPr>
          <w:rFonts w:ascii="Calibri" w:cs="Calibri" w:eastAsia="Calibri" w:hAnsi="Calibri"/>
          <w:b w:val="1"/>
          <w:bCs w:val="1"/>
          <w:rtl w:val="0"/>
        </w:rPr>
        <w:t xml:space="preserve">The mechanism</w:t>
      </w:r>
      <w:r w:rsidDel="00000000" w:rsidR="00000000" w:rsidRPr="00000000">
        <w:rPr>
          <w:rFonts w:ascii="Calibri" w:cs="Calibri" w:eastAsia="Calibri" w:hAnsi="Calibri"/>
          <w:rtl w:val="0"/>
        </w:rPr>
        <w:t xml:space="preserve">: Metformin inhibits mitochondrial complex I, increases the AMP/ATP ratio, and activates AMPK; it can accumulate within mitochondria to concentrations estimated at 100–500 times higher than plasma, which is central to its metabolic and anti-tumor effects.(25) Berberine also activates AMPK and modulates overlapping pathways (including MAPK, PKC, and PPARs) but has very different pharmacokinetics, with poor oral bioavailability, very low plasma levels, P-gp–limited intestinal absorption, and probable intracellular accumulation.(25) </w:t>
      </w:r>
    </w:p>
    <w:p w:rsidR="00000000" w:rsidDel="00000000" w:rsidP="00000000" w:rsidRDefault="00000000" w:rsidRPr="00000000" w14:paraId="000000C8">
      <w:pPr>
        <w:rPr>
          <w:rFonts w:ascii="Calibri" w:cs="Calibri" w:eastAsia="Calibri" w:hAnsi="Calibri"/>
        </w:rPr>
      </w:pPr>
      <w:r w:rsidDel="00000000" w:rsidR="00000000" w:rsidRPr="00000000">
        <w:rPr>
          <w:rFonts w:ascii="Calibri" w:cs="Calibri" w:eastAsia="Calibri" w:hAnsi="Calibri"/>
          <w:rtl w:val="0"/>
        </w:rPr>
        <w:t xml:space="preserve">These differences, together with data showing that metformin can enhance the anti-tumor effects of berberine in NSCLC models, support using them together rather than simply alternating them.(25,26) </w:t>
      </w:r>
    </w:p>
    <w:p w:rsidR="00000000" w:rsidDel="00000000" w:rsidP="00000000" w:rsidRDefault="00000000" w:rsidRPr="00000000" w14:paraId="000000C9">
      <w:pPr>
        <w:rPr>
          <w:rFonts w:ascii="Calibri" w:cs="Calibri" w:eastAsia="Calibri" w:hAnsi="Calibri"/>
        </w:rPr>
      </w:pPr>
      <w:r w:rsidDel="00000000" w:rsidR="00000000" w:rsidRPr="00000000">
        <w:rPr>
          <w:rFonts w:ascii="Calibri" w:cs="Calibri" w:eastAsia="Calibri" w:hAnsi="Calibri"/>
          <w:b w:val="1"/>
          <w:bCs w:val="1"/>
          <w:rtl w:val="0"/>
        </w:rPr>
        <w:t xml:space="preserve">Metformin resistance:</w:t>
      </w:r>
      <w:r w:rsidDel="00000000" w:rsidR="00000000" w:rsidRPr="00000000">
        <w:rPr>
          <w:rFonts w:ascii="Calibri" w:cs="Calibri" w:eastAsia="Calibri" w:hAnsi="Calibri"/>
          <w:rtl w:val="0"/>
        </w:rPr>
        <w:t xml:space="preserve"> Chronic exposure to metformin alone can drive metabolic adaptation, with cells shifting toward OXPHOS or glutamine dependence under </w:t>
      </w:r>
      <w:r w:rsidDel="00000000" w:rsidR="00000000" w:rsidRPr="00000000">
        <w:rPr>
          <w:rFonts w:ascii="Roboto" w:cs="Roboto" w:eastAsia="Roboto" w:hAnsi="Roboto"/>
          <w:color w:val="616161"/>
          <w:sz w:val="20"/>
          <w:szCs w:val="20"/>
          <w:shd w:fill="f3f3f3" w:val="clear"/>
          <w:rtl w:val="0"/>
        </w:rPr>
        <w:t xml:space="preserve">AMPK–mTOR</w:t>
      </w:r>
      <w:r w:rsidDel="00000000" w:rsidR="00000000" w:rsidRPr="00000000">
        <w:rPr>
          <w:rFonts w:ascii="Calibri" w:cs="Calibri" w:eastAsia="Calibri" w:hAnsi="Calibri"/>
          <w:rtl w:val="0"/>
        </w:rPr>
        <w:t xml:space="preserve"> pressure.(18,25) </w:t>
      </w:r>
    </w:p>
    <w:p w:rsidR="00000000" w:rsidDel="00000000" w:rsidP="00000000" w:rsidRDefault="00000000" w:rsidRPr="00000000" w14:paraId="000000CA">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Berberine resistance:</w:t>
      </w:r>
      <w:r w:rsidDel="00000000" w:rsidR="00000000" w:rsidRPr="00000000">
        <w:rPr>
          <w:rFonts w:ascii="Calibri" w:cs="Calibri" w:eastAsia="Calibri" w:hAnsi="Calibri"/>
          <w:rtl w:val="0"/>
        </w:rPr>
        <w:t xml:space="preserve"> Cells can adapt to berberine via efflux mechanisms or alternative survival signaling, especially given its status as a P-gp substrate and its low systemic exposure.(25)</w:t>
      </w:r>
    </w:p>
    <w:p w:rsidR="00000000" w:rsidDel="00000000" w:rsidP="00000000" w:rsidRDefault="00000000" w:rsidRPr="00000000" w14:paraId="000000CB">
      <w:pPr>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CC">
      <w:pPr>
        <w:spacing w:after="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Combination:</w:t>
      </w:r>
      <w:r w:rsidDel="00000000" w:rsidR="00000000" w:rsidRPr="00000000">
        <w:rPr>
          <w:rFonts w:ascii="Calibri" w:cs="Calibri" w:eastAsia="Calibri" w:hAnsi="Calibri"/>
          <w:rtl w:val="0"/>
        </w:rPr>
        <w:t xml:space="preserve"> Studies in NSCLC models show that the metformin + berberine combination suppresses tumor volume more than either agent alone, suggesting that combining them can address some limitations of single-agent treatment.(26)</w:t>
      </w:r>
      <w:r w:rsidDel="00000000" w:rsidR="00000000" w:rsidRPr="00000000">
        <w:rPr>
          <w:rtl w:val="0"/>
        </w:rPr>
      </w:r>
    </w:p>
    <w:p w:rsidR="00000000" w:rsidDel="00000000" w:rsidP="00000000" w:rsidRDefault="00000000" w:rsidRPr="00000000" w14:paraId="000000CD">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CE">
      <w:pPr>
        <w:pStyle w:val="Heading3"/>
        <w:numPr>
          <w:ilvl w:val="0"/>
          <w:numId w:val="29"/>
        </w:numPr>
        <w:ind w:left="360"/>
        <w:rPr/>
      </w:pPr>
      <w:bookmarkStart w:colFirst="0" w:colLast="0" w:name="_2n99h4gqv94s" w:id="42"/>
      <w:bookmarkEnd w:id="42"/>
      <w:r w:rsidDel="00000000" w:rsidR="00000000" w:rsidRPr="00000000">
        <w:rPr>
          <w:vertAlign w:val="baseline"/>
          <w:rtl w:val="0"/>
        </w:rPr>
        <w:t xml:space="preserve">Should metformin + berberine be cycled in alternating months?</w:t>
      </w:r>
    </w:p>
    <w:p w:rsidR="00000000" w:rsidDel="00000000" w:rsidP="00000000" w:rsidRDefault="00000000" w:rsidRPr="00000000" w14:paraId="000000CF">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NO.</w:t>
      </w:r>
      <w:r w:rsidDel="00000000" w:rsidR="00000000" w:rsidRPr="00000000">
        <w:rPr>
          <w:rFonts w:ascii="Calibri" w:cs="Calibri" w:eastAsia="Calibri" w:hAnsi="Calibri"/>
          <w:rtl w:val="0"/>
        </w:rPr>
        <w:t xml:space="preserve"> Separating them would remove the documented combination effect observed in preclinical models.(26) </w:t>
      </w:r>
    </w:p>
    <w:p w:rsidR="00000000" w:rsidDel="00000000" w:rsidP="00000000" w:rsidRDefault="00000000" w:rsidRPr="00000000" w14:paraId="000000D0">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In adjunctive chemo/RT settings, continuous administration is generally preferred to maintain the metabolic and signaling modulation associated with treatment sensitization suggested by preclinical work.(25,26) Interrupting both agents during active cytotoxic therapy may reduce this potential benefit.</w:t>
      </w:r>
    </w:p>
    <w:p w:rsidR="00000000" w:rsidDel="00000000" w:rsidP="00000000" w:rsidRDefault="00000000" w:rsidRPr="00000000" w14:paraId="000000D1">
      <w:pPr>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D2">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Standalone (no chemotherapy): Alternating use is likely acceptable, although continuous combination use more closely reflects the conditions under which synergy has been studied.(25,26)</w:t>
      </w:r>
    </w:p>
    <w:p w:rsidR="00000000" w:rsidDel="00000000" w:rsidP="00000000" w:rsidRDefault="00000000" w:rsidRPr="00000000" w14:paraId="000000D3">
      <w:pPr>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D4">
      <w:pPr>
        <w:pStyle w:val="Heading3"/>
        <w:numPr>
          <w:ilvl w:val="0"/>
          <w:numId w:val="29"/>
        </w:numPr>
        <w:ind w:left="360"/>
        <w:rPr/>
      </w:pPr>
      <w:bookmarkStart w:colFirst="0" w:colLast="0" w:name="_xrcvqk9bp7t3" w:id="43"/>
      <w:bookmarkEnd w:id="43"/>
      <w:r w:rsidDel="00000000" w:rsidR="00000000" w:rsidRPr="00000000">
        <w:rPr>
          <w:vertAlign w:val="baseline"/>
          <w:rtl w:val="0"/>
        </w:rPr>
        <w:t xml:space="preserve">Should ivermectin be cycled in alternating months? </w:t>
      </w:r>
    </w:p>
    <w:p w:rsidR="00000000" w:rsidDel="00000000" w:rsidP="00000000" w:rsidRDefault="00000000" w:rsidRPr="00000000" w14:paraId="000000D5">
      <w:pPr>
        <w:spacing w:before="28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NO. </w:t>
      </w:r>
      <w:r w:rsidDel="00000000" w:rsidR="00000000" w:rsidRPr="00000000">
        <w:rPr>
          <w:rFonts w:ascii="Calibri" w:cs="Calibri" w:eastAsia="Calibri" w:hAnsi="Calibri"/>
          <w:rtl w:val="0"/>
        </w:rPr>
        <w:t xml:space="preserve">In the original protocol, the maintenance window relies on phytochemicals and immune-supportive agents, which, while beneficial for general health, are unlikely on their own to sustain pressure on treatment-tolerant subpopulations. Removing ivermectin and mebendazole for four weeks could allow surviving stem-like cells to regain momentum; by keeping ivermectin in the maintenance phase, the protocol maintains continuous pressure on signaling pathways such as Wnt, Notch, and STAT3, which are implicated in CSC biology.</w:t>
      </w:r>
    </w:p>
    <w:p w:rsidR="00000000" w:rsidDel="00000000" w:rsidP="00000000" w:rsidRDefault="00000000" w:rsidRPr="00000000" w14:paraId="000000D6">
      <w:pPr>
        <w:spacing w:after="280" w:line="240" w:lineRule="auto"/>
        <w:rPr>
          <w:rFonts w:ascii="Calibri" w:cs="Calibri" w:eastAsia="Calibri" w:hAnsi="Calibri"/>
        </w:rPr>
      </w:pPr>
      <w:r w:rsidDel="00000000" w:rsidR="00000000" w:rsidRPr="00000000">
        <w:rPr>
          <w:rFonts w:ascii="Calibri" w:cs="Calibri" w:eastAsia="Calibri" w:hAnsi="Calibri"/>
          <w:rtl w:val="0"/>
        </w:rPr>
        <w:t xml:space="preserve">Continuous ivermectin use is widely considered safe long term, and it has a high therapeutic index. It does not carry the mitochondrial toxicity concerns associated with prolonged doxycycline use or the liver risks associated with high-dose chemotherapy.</w:t>
      </w:r>
    </w:p>
    <w:p w:rsidR="00000000" w:rsidDel="00000000" w:rsidP="00000000" w:rsidRDefault="00000000" w:rsidRPr="00000000" w14:paraId="000000D7">
      <w:pPr>
        <w:spacing w:after="280" w:before="280" w:line="240" w:lineRule="auto"/>
        <w:rPr>
          <w:rFonts w:ascii="Calibri" w:cs="Calibri" w:eastAsia="Calibri" w:hAnsi="Calibri"/>
          <w:b w:val="1"/>
          <w:bCs w:val="1"/>
        </w:rPr>
      </w:pPr>
      <w:r w:rsidDel="00000000" w:rsidR="00000000" w:rsidRPr="00000000">
        <w:rPr>
          <w:rFonts w:ascii="Calibri" w:cs="Calibri" w:eastAsia="Calibri" w:hAnsi="Calibri"/>
          <w:rtl w:val="0"/>
        </w:rPr>
        <w:t xml:space="preserve">Continuous use of ivermectin in a multidrug cancer protocol has not been shown in the literature to drive acquired resistance in cancer cells; if anything, current data suggest it often sensitizes resistant cells to other agents, although this is based almost entirely on preclinical work rather than long-term clinical exposure.(27) Multiple in vitro and animal studies report that ivermectin can reverse multidrug resistance by downregulating P-glycoprotein (ABCB1) and related signaling pathways, thereby resensitizing vincristine-, Adriamycin-, and other drug-resistant cell lines to chemotherapy.(27,28) Ivermectin has also been shown in experimental tumor models to induce ROS-mediated mitochondrial apoptosis, promote cell cycle arrest (often S-phase or G0/G1), and -trigger forms of immunogenic cell death, rather than selecting for classic drug-resistant clones within the time frames studied.(27,28)</w:t>
      </w:r>
      <w:r w:rsidDel="00000000" w:rsidR="00000000" w:rsidRPr="00000000">
        <w:rPr>
          <w:rtl w:val="0"/>
        </w:rPr>
      </w:r>
    </w:p>
    <w:p w:rsidR="00000000" w:rsidDel="00000000" w:rsidP="00000000" w:rsidRDefault="00000000" w:rsidRPr="00000000" w14:paraId="000000D8">
      <w:pPr>
        <w:pStyle w:val="Heading3"/>
        <w:numPr>
          <w:ilvl w:val="0"/>
          <w:numId w:val="29"/>
        </w:numPr>
        <w:ind w:left="360"/>
        <w:rPr/>
      </w:pPr>
      <w:bookmarkStart w:colFirst="0" w:colLast="0" w:name="_rr6vir25i796" w:id="44"/>
      <w:bookmarkEnd w:id="44"/>
      <w:r w:rsidDel="00000000" w:rsidR="00000000" w:rsidRPr="00000000">
        <w:rPr>
          <w:vertAlign w:val="baseline"/>
          <w:rtl w:val="0"/>
        </w:rPr>
        <w:t xml:space="preserve">Should omega-3 fatty acids be added to a multidrug regimen to reduce resistance?</w:t>
      </w:r>
    </w:p>
    <w:p w:rsidR="00000000" w:rsidDel="00000000" w:rsidP="00000000" w:rsidRDefault="00000000" w:rsidRPr="00000000" w14:paraId="000000D9">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YES.</w:t>
      </w:r>
      <w:r w:rsidDel="00000000" w:rsidR="00000000" w:rsidRPr="00000000">
        <w:rPr>
          <w:rFonts w:ascii="Calibri" w:cs="Calibri" w:eastAsia="Calibri" w:hAnsi="Calibri"/>
          <w:rtl w:val="0"/>
        </w:rPr>
        <w:t xml:space="preserve"> In the original protocol, the attack phase primarily targets glycolysis (metformin/berberine) and mitochondria (doxycycline). Surviving cells may shift toward increased fatty-acid oxidation during the maintenance phase as part of metabolic recovery.</w:t>
      </w:r>
    </w:p>
    <w:p w:rsidR="00000000" w:rsidDel="00000000" w:rsidP="00000000" w:rsidRDefault="00000000" w:rsidRPr="00000000" w14:paraId="000000DA">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Adding long-chain omega-3 fatty acids (mainly DHA and EPA) during maintenance can help counter this adaptation. As recovering cells take up lipids to repair membranes and support survival, they also incorporate omega-3s into their plasma membranes, thereby increasing oxidative stress and disrupting pro-survival membrane signaling microdomains. Preclinical studies suggest that this can reduce multidrug resistance and enhance chemosensitivity, although clinical data remain limited and context dependent.(29)</w:t>
      </w:r>
    </w:p>
    <w:p w:rsidR="00000000" w:rsidDel="00000000" w:rsidP="00000000" w:rsidRDefault="00000000" w:rsidRPr="00000000" w14:paraId="000000DB">
      <w:pPr>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DC">
      <w:pPr>
        <w:rPr>
          <w:rFonts w:ascii="Calibri" w:cs="Calibri" w:eastAsia="Calibri" w:hAnsi="Calibri"/>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DD">
      <w:pPr>
        <w:pStyle w:val="Heading3"/>
        <w:rPr/>
      </w:pPr>
      <w:bookmarkStart w:colFirst="0" w:colLast="0" w:name="_sn0lfjyfbx0x" w:id="45"/>
      <w:bookmarkEnd w:id="45"/>
      <w:r w:rsidDel="00000000" w:rsidR="00000000" w:rsidRPr="00000000">
        <w:rPr>
          <w:rtl w:val="0"/>
        </w:rPr>
        <w:t xml:space="preserve">Mechanisms relevant to resistance:</w:t>
      </w:r>
    </w:p>
    <w:p w:rsidR="00000000" w:rsidDel="00000000" w:rsidP="00000000" w:rsidRDefault="00000000" w:rsidRPr="00000000" w14:paraId="000000DE">
      <w:pPr>
        <w:numPr>
          <w:ilvl w:val="0"/>
          <w:numId w:val="30"/>
        </w:numPr>
        <w:spacing w:after="0" w:before="280" w:line="240" w:lineRule="auto"/>
        <w:ind w:left="720" w:hanging="360"/>
        <w:rPr/>
      </w:pPr>
      <w:r w:rsidDel="00000000" w:rsidR="00000000" w:rsidRPr="00000000">
        <w:rPr>
          <w:rFonts w:ascii="Calibri" w:cs="Calibri" w:eastAsia="Calibri" w:hAnsi="Calibri"/>
          <w:rtl w:val="0"/>
        </w:rPr>
        <w:t xml:space="preserve">Membrane/lipid raft modulation: DHA and EPA incorporate into tumor cell membranes, alter detergent-resistant membrane composition, reduce cholesterol synthesis via -HMGCoA reductase downregulation, and decrease localization and activity of P--gp and MRP1, restoring drug accumulation in MDR colon cancer cells.(30, 31)</w:t>
      </w:r>
      <w:r w:rsidDel="00000000" w:rsidR="00000000" w:rsidRPr="00000000">
        <w:rPr>
          <w:rtl w:val="0"/>
        </w:rPr>
      </w:r>
    </w:p>
    <w:p w:rsidR="00000000" w:rsidDel="00000000" w:rsidP="00000000" w:rsidRDefault="00000000" w:rsidRPr="00000000" w14:paraId="000000DF">
      <w:pPr>
        <w:numPr>
          <w:ilvl w:val="0"/>
          <w:numId w:val="30"/>
        </w:numPr>
        <w:spacing w:after="280" w:afterAutospacing="0" w:before="0" w:line="240" w:lineRule="auto"/>
        <w:ind w:left="720" w:hanging="360"/>
        <w:rPr>
          <w:b w:val="1"/>
          <w:bCs w:val="1"/>
        </w:rPr>
      </w:pPr>
      <w:r w:rsidDel="00000000" w:rsidR="00000000" w:rsidRPr="00000000">
        <w:rPr>
          <w:rFonts w:ascii="Calibri" w:cs="Calibri" w:eastAsia="Calibri" w:hAnsi="Calibri"/>
          <w:rtl w:val="0"/>
        </w:rPr>
        <w:t xml:space="preserve">Transporter and signaling effects: DHA has been shown to lower P-gp and other MDR-related proteins and to inhibit NF-κB and p38 MAPK signaling in taxane-resistant ovarian carcinoma cells, reversing Taxol resistance in vitro.</w:t>
      </w:r>
      <w:r w:rsidDel="00000000" w:rsidR="00000000" w:rsidRPr="00000000">
        <w:rPr>
          <w:rtl w:val="0"/>
        </w:rPr>
      </w:r>
    </w:p>
    <w:p w:rsidR="00000000" w:rsidDel="00000000" w:rsidP="00000000" w:rsidRDefault="00000000" w:rsidRPr="00000000" w14:paraId="000000E0">
      <w:pPr>
        <w:pStyle w:val="Heading3"/>
        <w:numPr>
          <w:ilvl w:val="0"/>
          <w:numId w:val="29"/>
        </w:numPr>
        <w:spacing w:before="280" w:beforeAutospacing="0"/>
        <w:ind w:left="360"/>
        <w:rPr/>
      </w:pPr>
      <w:bookmarkStart w:colFirst="0" w:colLast="0" w:name="_6a6woqulufab" w:id="46"/>
      <w:bookmarkEnd w:id="46"/>
      <w:r w:rsidDel="00000000" w:rsidR="00000000" w:rsidRPr="00000000">
        <w:rPr>
          <w:vertAlign w:val="baseline"/>
          <w:rtl w:val="0"/>
        </w:rPr>
        <w:t xml:space="preserve">In the Care Oncology Metrics study, doxycycline is given on alternate months with mebendazole. Why? </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 the Care Oncology “Metrics” protocol (from Care Oncology Clinic), doxycycline is alternated monthly with mebendazole rather than given continuously together. Although the clinic has not published a single mechanistic statement explicitly explaining this rotation, the rationale can be inferred from pharmacology, tumor biology, and resistance-management principles.</w:t>
      </w:r>
    </w:p>
    <w:p w:rsidR="00000000" w:rsidDel="00000000" w:rsidP="00000000" w:rsidRDefault="00000000" w:rsidRPr="00000000" w14:paraId="000000E2">
      <w:pPr>
        <w:pStyle w:val="Heading3"/>
        <w:rPr/>
      </w:pPr>
      <w:bookmarkStart w:colFirst="0" w:colLast="0" w:name="_8zctejef6ndo" w:id="47"/>
      <w:bookmarkEnd w:id="47"/>
      <w:r w:rsidDel="00000000" w:rsidR="00000000" w:rsidRPr="00000000">
        <w:rPr>
          <w:rtl w:val="0"/>
        </w:rPr>
        <w:t xml:space="preserve">I.    Different cellular targets—avoiding redundant pressure</w:t>
      </w:r>
    </w:p>
    <w:p w:rsidR="00000000" w:rsidDel="00000000" w:rsidP="00000000" w:rsidRDefault="00000000" w:rsidRPr="00000000" w14:paraId="000000E3">
      <w:pPr>
        <w:spacing w:after="0" w:line="240" w:lineRule="auto"/>
        <w:ind w:left="36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Doxycycline</w:t>
      </w:r>
    </w:p>
    <w:p w:rsidR="00000000" w:rsidDel="00000000" w:rsidP="00000000" w:rsidRDefault="00000000" w:rsidRPr="00000000" w14:paraId="000000E4">
      <w:pPr>
        <w:numPr>
          <w:ilvl w:val="0"/>
          <w:numId w:val="32"/>
        </w:numPr>
        <w:spacing w:after="0" w:line="240" w:lineRule="auto"/>
        <w:ind w:left="720" w:hanging="360"/>
        <w:rPr/>
      </w:pPr>
      <w:r w:rsidDel="00000000" w:rsidR="00000000" w:rsidRPr="00000000">
        <w:rPr>
          <w:rFonts w:ascii="Calibri" w:cs="Calibri" w:eastAsia="Calibri" w:hAnsi="Calibri"/>
          <w:rtl w:val="0"/>
        </w:rPr>
        <w:t xml:space="preserve">Tetracycline antibiotic</w:t>
      </w:r>
      <w:r w:rsidDel="00000000" w:rsidR="00000000" w:rsidRPr="00000000">
        <w:rPr>
          <w:rtl w:val="0"/>
        </w:rPr>
      </w:r>
    </w:p>
    <w:p w:rsidR="00000000" w:rsidDel="00000000" w:rsidP="00000000" w:rsidRDefault="00000000" w:rsidRPr="00000000" w14:paraId="000000E5">
      <w:pPr>
        <w:numPr>
          <w:ilvl w:val="0"/>
          <w:numId w:val="32"/>
        </w:numPr>
        <w:spacing w:after="0" w:line="240" w:lineRule="auto"/>
        <w:ind w:left="720" w:hanging="360"/>
        <w:rPr/>
      </w:pPr>
      <w:r w:rsidDel="00000000" w:rsidR="00000000" w:rsidRPr="00000000">
        <w:rPr>
          <w:rFonts w:ascii="Calibri" w:cs="Calibri" w:eastAsia="Calibri" w:hAnsi="Calibri"/>
          <w:rtl w:val="0"/>
        </w:rPr>
        <w:t xml:space="preserve">Inhibits mitochondrial ribosomes (bacterial–mitochondrial homology)</w:t>
      </w:r>
      <w:r w:rsidDel="00000000" w:rsidR="00000000" w:rsidRPr="00000000">
        <w:rPr>
          <w:rtl w:val="0"/>
        </w:rPr>
      </w:r>
    </w:p>
    <w:p w:rsidR="00000000" w:rsidDel="00000000" w:rsidP="00000000" w:rsidRDefault="00000000" w:rsidRPr="00000000" w14:paraId="000000E6">
      <w:pPr>
        <w:numPr>
          <w:ilvl w:val="0"/>
          <w:numId w:val="32"/>
        </w:numPr>
        <w:spacing w:after="0" w:line="240" w:lineRule="auto"/>
        <w:ind w:left="720" w:hanging="360"/>
        <w:rPr/>
      </w:pPr>
      <w:r w:rsidDel="00000000" w:rsidR="00000000" w:rsidRPr="00000000">
        <w:rPr>
          <w:rFonts w:ascii="Calibri" w:cs="Calibri" w:eastAsia="Calibri" w:hAnsi="Calibri"/>
          <w:rtl w:val="0"/>
        </w:rPr>
        <w:t xml:space="preserve">Suppresses mitochondrial biogenesis</w:t>
      </w:r>
      <w:r w:rsidDel="00000000" w:rsidR="00000000" w:rsidRPr="00000000">
        <w:rPr>
          <w:rtl w:val="0"/>
        </w:rPr>
      </w:r>
    </w:p>
    <w:p w:rsidR="00000000" w:rsidDel="00000000" w:rsidP="00000000" w:rsidRDefault="00000000" w:rsidRPr="00000000" w14:paraId="000000E7">
      <w:pPr>
        <w:numPr>
          <w:ilvl w:val="0"/>
          <w:numId w:val="32"/>
        </w:numPr>
        <w:spacing w:after="0" w:line="240" w:lineRule="auto"/>
        <w:ind w:left="720" w:hanging="360"/>
        <w:rPr/>
      </w:pPr>
      <w:r w:rsidDel="00000000" w:rsidR="00000000" w:rsidRPr="00000000">
        <w:rPr>
          <w:rFonts w:ascii="Calibri" w:cs="Calibri" w:eastAsia="Calibri" w:hAnsi="Calibri"/>
          <w:rtl w:val="0"/>
        </w:rPr>
        <w:t xml:space="preserve">Targets CSCs dependent on OXPHOS</w:t>
      </w:r>
      <w:r w:rsidDel="00000000" w:rsidR="00000000" w:rsidRPr="00000000">
        <w:rPr>
          <w:rtl w:val="0"/>
        </w:rPr>
      </w:r>
    </w:p>
    <w:p w:rsidR="00000000" w:rsidDel="00000000" w:rsidP="00000000" w:rsidRDefault="00000000" w:rsidRPr="00000000" w14:paraId="000000E8">
      <w:pPr>
        <w:spacing w:after="0" w:line="240"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E9">
      <w:pPr>
        <w:spacing w:after="0" w:line="240" w:lineRule="auto"/>
        <w:ind w:left="36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Mebendazole</w:t>
      </w:r>
    </w:p>
    <w:p w:rsidR="00000000" w:rsidDel="00000000" w:rsidP="00000000" w:rsidRDefault="00000000" w:rsidRPr="00000000" w14:paraId="000000EA">
      <w:pPr>
        <w:numPr>
          <w:ilvl w:val="0"/>
          <w:numId w:val="33"/>
        </w:numPr>
        <w:spacing w:after="0" w:line="240" w:lineRule="auto"/>
        <w:ind w:left="720" w:hanging="360"/>
        <w:rPr/>
      </w:pPr>
      <w:r w:rsidDel="00000000" w:rsidR="00000000" w:rsidRPr="00000000">
        <w:rPr>
          <w:rFonts w:ascii="Calibri" w:cs="Calibri" w:eastAsia="Calibri" w:hAnsi="Calibri"/>
          <w:rtl w:val="0"/>
        </w:rPr>
        <w:t xml:space="preserve">Antihelminthic agent</w:t>
      </w:r>
      <w:r w:rsidDel="00000000" w:rsidR="00000000" w:rsidRPr="00000000">
        <w:rPr>
          <w:rtl w:val="0"/>
        </w:rPr>
      </w:r>
    </w:p>
    <w:p w:rsidR="00000000" w:rsidDel="00000000" w:rsidP="00000000" w:rsidRDefault="00000000" w:rsidRPr="00000000" w14:paraId="000000EB">
      <w:pPr>
        <w:numPr>
          <w:ilvl w:val="0"/>
          <w:numId w:val="33"/>
        </w:numPr>
        <w:spacing w:after="0" w:line="240" w:lineRule="auto"/>
        <w:ind w:left="720" w:hanging="360"/>
        <w:rPr/>
      </w:pPr>
      <w:r w:rsidDel="00000000" w:rsidR="00000000" w:rsidRPr="00000000">
        <w:rPr>
          <w:rFonts w:ascii="Calibri" w:cs="Calibri" w:eastAsia="Calibri" w:hAnsi="Calibri"/>
          <w:rtl w:val="0"/>
        </w:rPr>
        <w:t xml:space="preserve">Binds β-tubulin, disrupting microtubule formation</w:t>
      </w:r>
      <w:r w:rsidDel="00000000" w:rsidR="00000000" w:rsidRPr="00000000">
        <w:rPr>
          <w:rtl w:val="0"/>
        </w:rPr>
      </w:r>
    </w:p>
    <w:p w:rsidR="00000000" w:rsidDel="00000000" w:rsidP="00000000" w:rsidRDefault="00000000" w:rsidRPr="00000000" w14:paraId="000000EC">
      <w:pPr>
        <w:numPr>
          <w:ilvl w:val="0"/>
          <w:numId w:val="33"/>
        </w:numPr>
        <w:spacing w:after="0" w:line="240" w:lineRule="auto"/>
        <w:ind w:left="720" w:hanging="360"/>
        <w:rPr/>
      </w:pPr>
      <w:r w:rsidDel="00000000" w:rsidR="00000000" w:rsidRPr="00000000">
        <w:rPr>
          <w:rFonts w:ascii="Calibri" w:cs="Calibri" w:eastAsia="Calibri" w:hAnsi="Calibri"/>
          <w:rtl w:val="0"/>
        </w:rPr>
        <w:t xml:space="preserve">Interferes with mitotic spindle formation, glucose uptake, angiogenesis, and Hedgehog/Wnt signaling</w:t>
      </w:r>
      <w:r w:rsidDel="00000000" w:rsidR="00000000" w:rsidRPr="00000000">
        <w:rPr>
          <w:rtl w:val="0"/>
        </w:rPr>
      </w:r>
    </w:p>
    <w:p w:rsidR="00000000" w:rsidDel="00000000" w:rsidP="00000000" w:rsidRDefault="00000000" w:rsidRPr="00000000" w14:paraId="000000ED">
      <w:pPr>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EE">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Key point:</w:t>
      </w:r>
      <w:r w:rsidDel="00000000" w:rsidR="00000000" w:rsidRPr="00000000">
        <w:rPr>
          <w:rFonts w:ascii="Calibri" w:cs="Calibri" w:eastAsia="Calibri" w:hAnsi="Calibri"/>
          <w:rtl w:val="0"/>
        </w:rPr>
        <w:t xml:space="preserve"> These drugs stress tumor cells through distinct vulnerabilities—mitochondrial metabolism versus cytoskeletal integrity.</w:t>
      </w:r>
    </w:p>
    <w:p w:rsidR="00000000" w:rsidDel="00000000" w:rsidP="00000000" w:rsidRDefault="00000000" w:rsidRPr="00000000" w14:paraId="000000EF">
      <w:pPr>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F0">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Alternating them may:</w:t>
      </w:r>
    </w:p>
    <w:p w:rsidR="00000000" w:rsidDel="00000000" w:rsidP="00000000" w:rsidRDefault="00000000" w:rsidRPr="00000000" w14:paraId="000000F1">
      <w:pPr>
        <w:numPr>
          <w:ilvl w:val="0"/>
          <w:numId w:val="2"/>
        </w:numPr>
        <w:spacing w:after="0" w:line="240" w:lineRule="auto"/>
        <w:ind w:left="720" w:hanging="360"/>
        <w:rPr/>
      </w:pPr>
      <w:r w:rsidDel="00000000" w:rsidR="00000000" w:rsidRPr="00000000">
        <w:rPr>
          <w:rFonts w:ascii="Calibri" w:cs="Calibri" w:eastAsia="Calibri" w:hAnsi="Calibri"/>
          <w:rtl w:val="0"/>
        </w:rPr>
        <w:t xml:space="preserve">Maintain sustained metabolic pressure</w:t>
      </w:r>
      <w:r w:rsidDel="00000000" w:rsidR="00000000" w:rsidRPr="00000000">
        <w:rPr>
          <w:rtl w:val="0"/>
        </w:rPr>
      </w:r>
    </w:p>
    <w:p w:rsidR="00000000" w:rsidDel="00000000" w:rsidP="00000000" w:rsidRDefault="00000000" w:rsidRPr="00000000" w14:paraId="000000F2">
      <w:pPr>
        <w:numPr>
          <w:ilvl w:val="0"/>
          <w:numId w:val="2"/>
        </w:numPr>
        <w:spacing w:after="0" w:line="240" w:lineRule="auto"/>
        <w:ind w:left="720" w:hanging="360"/>
        <w:rPr/>
      </w:pPr>
      <w:r w:rsidDel="00000000" w:rsidR="00000000" w:rsidRPr="00000000">
        <w:rPr>
          <w:rFonts w:ascii="Calibri" w:cs="Calibri" w:eastAsia="Calibri" w:hAnsi="Calibri"/>
          <w:rtl w:val="0"/>
        </w:rPr>
        <w:t xml:space="preserve">Reduce overlapping toxicity</w:t>
      </w:r>
      <w:r w:rsidDel="00000000" w:rsidR="00000000" w:rsidRPr="00000000">
        <w:rPr>
          <w:rtl w:val="0"/>
        </w:rPr>
      </w:r>
    </w:p>
    <w:p w:rsidR="00000000" w:rsidDel="00000000" w:rsidP="00000000" w:rsidRDefault="00000000" w:rsidRPr="00000000" w14:paraId="000000F3">
      <w:pPr>
        <w:numPr>
          <w:ilvl w:val="0"/>
          <w:numId w:val="2"/>
        </w:numPr>
        <w:spacing w:after="0" w:line="240" w:lineRule="auto"/>
        <w:ind w:left="720" w:hanging="360"/>
        <w:rPr/>
      </w:pPr>
      <w:r w:rsidDel="00000000" w:rsidR="00000000" w:rsidRPr="00000000">
        <w:rPr>
          <w:rFonts w:ascii="Calibri" w:cs="Calibri" w:eastAsia="Calibri" w:hAnsi="Calibri"/>
          <w:rtl w:val="0"/>
        </w:rPr>
        <w:t xml:space="preserve">Provide broader target coverage over time</w:t>
      </w:r>
      <w:r w:rsidDel="00000000" w:rsidR="00000000" w:rsidRPr="00000000">
        <w:rPr>
          <w:rtl w:val="0"/>
        </w:rPr>
      </w:r>
    </w:p>
    <w:p w:rsidR="00000000" w:rsidDel="00000000" w:rsidP="00000000" w:rsidRDefault="00000000" w:rsidRPr="00000000" w14:paraId="000000F4">
      <w:pPr>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F5">
      <w:pPr>
        <w:rPr>
          <w:rFonts w:ascii="Calibri" w:cs="Calibri" w:eastAsia="Calibri" w:hAnsi="Calibri"/>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F6">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II.  Microbiome and long-term antibiotic stewardship</w:t>
      </w:r>
    </w:p>
    <w:p w:rsidR="00000000" w:rsidDel="00000000" w:rsidP="00000000" w:rsidRDefault="00000000" w:rsidRPr="00000000" w14:paraId="000000F7">
      <w:pPr>
        <w:spacing w:after="0" w:line="240" w:lineRule="auto"/>
        <w:ind w:left="36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Doxycycline:</w:t>
      </w:r>
    </w:p>
    <w:p w:rsidR="00000000" w:rsidDel="00000000" w:rsidP="00000000" w:rsidRDefault="00000000" w:rsidRPr="00000000" w14:paraId="000000F8">
      <w:pPr>
        <w:numPr>
          <w:ilvl w:val="0"/>
          <w:numId w:val="3"/>
        </w:numPr>
        <w:spacing w:after="0" w:line="240" w:lineRule="auto"/>
        <w:ind w:left="720" w:hanging="360"/>
        <w:rPr/>
      </w:pPr>
      <w:r w:rsidDel="00000000" w:rsidR="00000000" w:rsidRPr="00000000">
        <w:rPr>
          <w:rFonts w:ascii="Calibri" w:cs="Calibri" w:eastAsia="Calibri" w:hAnsi="Calibri"/>
          <w:rtl w:val="0"/>
        </w:rPr>
        <w:t xml:space="preserve">Is a broad-spectrum antibiotic</w:t>
      </w:r>
      <w:r w:rsidDel="00000000" w:rsidR="00000000" w:rsidRPr="00000000">
        <w:rPr>
          <w:rtl w:val="0"/>
        </w:rPr>
      </w:r>
    </w:p>
    <w:p w:rsidR="00000000" w:rsidDel="00000000" w:rsidP="00000000" w:rsidRDefault="00000000" w:rsidRPr="00000000" w14:paraId="000000F9">
      <w:pPr>
        <w:numPr>
          <w:ilvl w:val="0"/>
          <w:numId w:val="3"/>
        </w:numPr>
        <w:spacing w:after="0" w:line="240" w:lineRule="auto"/>
        <w:ind w:left="720" w:hanging="360"/>
        <w:rPr/>
      </w:pPr>
      <w:r w:rsidDel="00000000" w:rsidR="00000000" w:rsidRPr="00000000">
        <w:rPr>
          <w:rFonts w:ascii="Calibri" w:cs="Calibri" w:eastAsia="Calibri" w:hAnsi="Calibri"/>
          <w:rtl w:val="0"/>
        </w:rPr>
        <w:t xml:space="preserve">Alters gut microbiome composition</w:t>
      </w:r>
      <w:r w:rsidDel="00000000" w:rsidR="00000000" w:rsidRPr="00000000">
        <w:rPr>
          <w:rtl w:val="0"/>
        </w:rPr>
      </w:r>
    </w:p>
    <w:p w:rsidR="00000000" w:rsidDel="00000000" w:rsidP="00000000" w:rsidRDefault="00000000" w:rsidRPr="00000000" w14:paraId="000000FA">
      <w:pPr>
        <w:numPr>
          <w:ilvl w:val="0"/>
          <w:numId w:val="3"/>
        </w:numPr>
        <w:spacing w:after="0" w:line="240" w:lineRule="auto"/>
        <w:ind w:left="720" w:hanging="360"/>
        <w:rPr/>
      </w:pPr>
      <w:r w:rsidDel="00000000" w:rsidR="00000000" w:rsidRPr="00000000">
        <w:rPr>
          <w:rFonts w:ascii="Calibri" w:cs="Calibri" w:eastAsia="Calibri" w:hAnsi="Calibri"/>
          <w:rtl w:val="0"/>
        </w:rPr>
        <w:t xml:space="preserve">May influence immune signaling through microbiome changes</w:t>
      </w:r>
      <w:r w:rsidDel="00000000" w:rsidR="00000000" w:rsidRPr="00000000">
        <w:rPr>
          <w:rtl w:val="0"/>
        </w:rPr>
      </w:r>
    </w:p>
    <w:p w:rsidR="00000000" w:rsidDel="00000000" w:rsidP="00000000" w:rsidRDefault="00000000" w:rsidRPr="00000000" w14:paraId="000000FB">
      <w:pPr>
        <w:spacing w:after="0" w:line="240"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FC">
      <w:pPr>
        <w:spacing w:after="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Continuous use could:</w:t>
      </w:r>
    </w:p>
    <w:p w:rsidR="00000000" w:rsidDel="00000000" w:rsidP="00000000" w:rsidRDefault="00000000" w:rsidRPr="00000000" w14:paraId="000000FD">
      <w:pPr>
        <w:numPr>
          <w:ilvl w:val="0"/>
          <w:numId w:val="4"/>
        </w:numPr>
        <w:spacing w:after="0" w:line="240" w:lineRule="auto"/>
        <w:ind w:left="720" w:hanging="360"/>
        <w:rPr/>
      </w:pPr>
      <w:r w:rsidDel="00000000" w:rsidR="00000000" w:rsidRPr="00000000">
        <w:rPr>
          <w:rFonts w:ascii="Calibri" w:cs="Calibri" w:eastAsia="Calibri" w:hAnsi="Calibri"/>
          <w:rtl w:val="0"/>
        </w:rPr>
        <w:t xml:space="preserve">Promote bacterial resistance</w:t>
      </w:r>
      <w:r w:rsidDel="00000000" w:rsidR="00000000" w:rsidRPr="00000000">
        <w:rPr>
          <w:rtl w:val="0"/>
        </w:rPr>
      </w:r>
    </w:p>
    <w:p w:rsidR="00000000" w:rsidDel="00000000" w:rsidP="00000000" w:rsidRDefault="00000000" w:rsidRPr="00000000" w14:paraId="000000FE">
      <w:pPr>
        <w:numPr>
          <w:ilvl w:val="0"/>
          <w:numId w:val="4"/>
        </w:numPr>
        <w:spacing w:after="0" w:line="240" w:lineRule="auto"/>
        <w:ind w:left="720" w:hanging="360"/>
        <w:rPr/>
      </w:pPr>
      <w:r w:rsidDel="00000000" w:rsidR="00000000" w:rsidRPr="00000000">
        <w:rPr>
          <w:rFonts w:ascii="Calibri" w:cs="Calibri" w:eastAsia="Calibri" w:hAnsi="Calibri"/>
          <w:rtl w:val="0"/>
        </w:rPr>
        <w:t xml:space="preserve">Contribute to dysbiosis</w:t>
      </w:r>
      <w:r w:rsidDel="00000000" w:rsidR="00000000" w:rsidRPr="00000000">
        <w:rPr>
          <w:rtl w:val="0"/>
        </w:rPr>
      </w:r>
    </w:p>
    <w:p w:rsidR="00000000" w:rsidDel="00000000" w:rsidP="00000000" w:rsidRDefault="00000000" w:rsidRPr="00000000" w14:paraId="000000FF">
      <w:pPr>
        <w:numPr>
          <w:ilvl w:val="0"/>
          <w:numId w:val="4"/>
        </w:numPr>
        <w:spacing w:after="0" w:line="240" w:lineRule="auto"/>
        <w:ind w:left="720" w:hanging="360"/>
        <w:rPr/>
      </w:pPr>
      <w:r w:rsidDel="00000000" w:rsidR="00000000" w:rsidRPr="00000000">
        <w:rPr>
          <w:rFonts w:ascii="Calibri" w:cs="Calibri" w:eastAsia="Calibri" w:hAnsi="Calibri"/>
          <w:rtl w:val="0"/>
        </w:rPr>
        <w:t xml:space="preserve">Increase gastrointestinal toxicity</w:t>
      </w:r>
      <w:r w:rsidDel="00000000" w:rsidR="00000000" w:rsidRPr="00000000">
        <w:rPr>
          <w:rtl w:val="0"/>
        </w:rPr>
      </w:r>
    </w:p>
    <w:p w:rsidR="00000000" w:rsidDel="00000000" w:rsidP="00000000" w:rsidRDefault="00000000" w:rsidRPr="00000000" w14:paraId="00000100">
      <w:pPr>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01">
      <w:pPr>
        <w:spacing w:after="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Rotating off doxycycline:</w:t>
      </w:r>
    </w:p>
    <w:p w:rsidR="00000000" w:rsidDel="00000000" w:rsidP="00000000" w:rsidRDefault="00000000" w:rsidRPr="00000000" w14:paraId="00000102">
      <w:pPr>
        <w:numPr>
          <w:ilvl w:val="0"/>
          <w:numId w:val="5"/>
        </w:numPr>
        <w:spacing w:after="0" w:line="240" w:lineRule="auto"/>
        <w:ind w:left="1080" w:hanging="360"/>
        <w:rPr/>
      </w:pPr>
      <w:r w:rsidDel="00000000" w:rsidR="00000000" w:rsidRPr="00000000">
        <w:rPr>
          <w:rFonts w:ascii="Calibri" w:cs="Calibri" w:eastAsia="Calibri" w:hAnsi="Calibri"/>
          <w:rtl w:val="0"/>
        </w:rPr>
        <w:t xml:space="preserve">Allows microbiome recovery</w:t>
      </w:r>
      <w:r w:rsidDel="00000000" w:rsidR="00000000" w:rsidRPr="00000000">
        <w:rPr>
          <w:rtl w:val="0"/>
        </w:rPr>
      </w:r>
    </w:p>
    <w:p w:rsidR="00000000" w:rsidDel="00000000" w:rsidP="00000000" w:rsidRDefault="00000000" w:rsidRPr="00000000" w14:paraId="00000103">
      <w:pPr>
        <w:numPr>
          <w:ilvl w:val="0"/>
          <w:numId w:val="5"/>
        </w:numPr>
        <w:spacing w:line="240" w:lineRule="auto"/>
        <w:ind w:left="1080" w:hanging="360"/>
        <w:rPr/>
      </w:pPr>
      <w:r w:rsidDel="00000000" w:rsidR="00000000" w:rsidRPr="00000000">
        <w:rPr>
          <w:rFonts w:ascii="Calibri" w:cs="Calibri" w:eastAsia="Calibri" w:hAnsi="Calibri"/>
          <w:rtl w:val="0"/>
        </w:rPr>
        <w:t xml:space="preserve">Reduces selection pressure for resistant organisms</w:t>
      </w:r>
      <w:r w:rsidDel="00000000" w:rsidR="00000000" w:rsidRPr="00000000">
        <w:rPr>
          <w:rtl w:val="0"/>
        </w:rPr>
      </w:r>
    </w:p>
    <w:p w:rsidR="00000000" w:rsidDel="00000000" w:rsidP="00000000" w:rsidRDefault="00000000" w:rsidRPr="00000000" w14:paraId="00000104">
      <w:pPr>
        <w:spacing w:after="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Mebendazole does not carry this antibiotic effect.</w:t>
      </w:r>
    </w:p>
    <w:p w:rsidR="00000000" w:rsidDel="00000000" w:rsidP="00000000" w:rsidRDefault="00000000" w:rsidRPr="00000000" w14:paraId="00000105">
      <w:pPr>
        <w:spacing w:after="0" w:line="240" w:lineRule="auto"/>
        <w:ind w:left="360" w:firstLine="0"/>
        <w:rPr>
          <w:rFonts w:ascii="Calibri" w:cs="Calibri" w:eastAsia="Calibri" w:hAnsi="Calibri"/>
        </w:rPr>
      </w:pPr>
      <w:r w:rsidDel="00000000" w:rsidR="00000000" w:rsidRPr="00000000">
        <w:rPr>
          <w:rtl w:val="0"/>
        </w:rPr>
      </w:r>
    </w:p>
    <w:p w:rsidR="00000000" w:rsidDel="00000000" w:rsidP="00000000" w:rsidRDefault="00000000" w:rsidRPr="00000000" w14:paraId="00000106">
      <w:pPr>
        <w:rPr>
          <w:b w:val="1"/>
          <w:bCs w:val="1"/>
        </w:rPr>
      </w:pPr>
      <w:r w:rsidDel="00000000" w:rsidR="00000000" w:rsidRPr="00000000">
        <w:rPr>
          <w:rFonts w:ascii="Calibri" w:cs="Calibri" w:eastAsia="Calibri" w:hAnsi="Calibri"/>
          <w:b w:val="1"/>
          <w:bCs w:val="1"/>
          <w:rtl w:val="0"/>
        </w:rPr>
        <w:t xml:space="preserve">III. </w:t>
      </w:r>
      <w:r w:rsidDel="00000000" w:rsidR="00000000" w:rsidRPr="00000000">
        <w:rPr>
          <w:b w:val="1"/>
          <w:bCs w:val="1"/>
          <w:rtl w:val="0"/>
        </w:rPr>
        <w:t xml:space="preserve">Resistance prevention through evolutionary cycling</w:t>
      </w:r>
    </w:p>
    <w:p w:rsidR="00000000" w:rsidDel="00000000" w:rsidP="00000000" w:rsidRDefault="00000000" w:rsidRPr="00000000" w14:paraId="00000107">
      <w:pPr>
        <w:spacing w:after="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Tumors adapt under chronic, unchanging pressure. Continuous dual targeting may:</w:t>
      </w:r>
    </w:p>
    <w:p w:rsidR="00000000" w:rsidDel="00000000" w:rsidP="00000000" w:rsidRDefault="00000000" w:rsidRPr="00000000" w14:paraId="00000108">
      <w:pPr>
        <w:numPr>
          <w:ilvl w:val="0"/>
          <w:numId w:val="6"/>
        </w:numPr>
        <w:spacing w:after="0" w:line="240" w:lineRule="auto"/>
        <w:ind w:left="720" w:hanging="360"/>
        <w:rPr/>
      </w:pPr>
      <w:r w:rsidDel="00000000" w:rsidR="00000000" w:rsidRPr="00000000">
        <w:rPr>
          <w:rFonts w:ascii="Calibri" w:cs="Calibri" w:eastAsia="Calibri" w:hAnsi="Calibri"/>
          <w:rtl w:val="0"/>
        </w:rPr>
        <w:t xml:space="preserve">Select for clones resistant to both mechanisms</w:t>
      </w:r>
      <w:r w:rsidDel="00000000" w:rsidR="00000000" w:rsidRPr="00000000">
        <w:rPr>
          <w:rtl w:val="0"/>
        </w:rPr>
      </w:r>
    </w:p>
    <w:p w:rsidR="00000000" w:rsidDel="00000000" w:rsidP="00000000" w:rsidRDefault="00000000" w:rsidRPr="00000000" w14:paraId="00000109">
      <w:pPr>
        <w:numPr>
          <w:ilvl w:val="0"/>
          <w:numId w:val="6"/>
        </w:numPr>
        <w:spacing w:after="0" w:line="240" w:lineRule="auto"/>
        <w:ind w:left="720" w:hanging="360"/>
        <w:rPr/>
      </w:pPr>
      <w:r w:rsidDel="00000000" w:rsidR="00000000" w:rsidRPr="00000000">
        <w:rPr>
          <w:rFonts w:ascii="Calibri" w:cs="Calibri" w:eastAsia="Calibri" w:hAnsi="Calibri"/>
          <w:rtl w:val="0"/>
        </w:rPr>
        <w:t xml:space="preserve">Increase mitochondrial adaptation (mitochondrial transfer, metabolic plasticity)</w:t>
      </w:r>
      <w:r w:rsidDel="00000000" w:rsidR="00000000" w:rsidRPr="00000000">
        <w:rPr>
          <w:rtl w:val="0"/>
        </w:rPr>
      </w:r>
    </w:p>
    <w:p w:rsidR="00000000" w:rsidDel="00000000" w:rsidP="00000000" w:rsidRDefault="00000000" w:rsidRPr="00000000" w14:paraId="0000010A">
      <w:pPr>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0B">
      <w:pPr>
        <w:spacing w:after="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Rotational strategy:</w:t>
      </w:r>
    </w:p>
    <w:p w:rsidR="00000000" w:rsidDel="00000000" w:rsidP="00000000" w:rsidRDefault="00000000" w:rsidRPr="00000000" w14:paraId="0000010C">
      <w:pPr>
        <w:numPr>
          <w:ilvl w:val="0"/>
          <w:numId w:val="7"/>
        </w:numPr>
        <w:spacing w:after="0" w:line="240" w:lineRule="auto"/>
        <w:ind w:left="720" w:hanging="360"/>
        <w:rPr/>
      </w:pPr>
      <w:r w:rsidDel="00000000" w:rsidR="00000000" w:rsidRPr="00000000">
        <w:rPr>
          <w:rFonts w:ascii="Calibri" w:cs="Calibri" w:eastAsia="Calibri" w:hAnsi="Calibri"/>
          <w:rtl w:val="0"/>
        </w:rPr>
        <w:t xml:space="preserve">Applies non-identical selective pressures</w:t>
      </w:r>
      <w:r w:rsidDel="00000000" w:rsidR="00000000" w:rsidRPr="00000000">
        <w:rPr>
          <w:rtl w:val="0"/>
        </w:rPr>
      </w:r>
    </w:p>
    <w:p w:rsidR="00000000" w:rsidDel="00000000" w:rsidP="00000000" w:rsidRDefault="00000000" w:rsidRPr="00000000" w14:paraId="0000010D">
      <w:pPr>
        <w:numPr>
          <w:ilvl w:val="0"/>
          <w:numId w:val="7"/>
        </w:numPr>
        <w:spacing w:after="0" w:line="240" w:lineRule="auto"/>
        <w:ind w:left="720" w:hanging="360"/>
        <w:rPr/>
      </w:pPr>
      <w:r w:rsidDel="00000000" w:rsidR="00000000" w:rsidRPr="00000000">
        <w:rPr>
          <w:rFonts w:ascii="Calibri" w:cs="Calibri" w:eastAsia="Calibri" w:hAnsi="Calibri"/>
          <w:rtl w:val="0"/>
        </w:rPr>
        <w:t xml:space="preserve">Limits stable adaptation</w:t>
      </w:r>
      <w:r w:rsidDel="00000000" w:rsidR="00000000" w:rsidRPr="00000000">
        <w:rPr>
          <w:rtl w:val="0"/>
        </w:rPr>
      </w:r>
    </w:p>
    <w:p w:rsidR="00000000" w:rsidDel="00000000" w:rsidP="00000000" w:rsidRDefault="00000000" w:rsidRPr="00000000" w14:paraId="0000010E">
      <w:pPr>
        <w:numPr>
          <w:ilvl w:val="0"/>
          <w:numId w:val="7"/>
        </w:numPr>
        <w:spacing w:after="0" w:line="240" w:lineRule="auto"/>
        <w:ind w:left="720" w:hanging="360"/>
        <w:rPr/>
      </w:pPr>
      <w:r w:rsidDel="00000000" w:rsidR="00000000" w:rsidRPr="00000000">
        <w:rPr>
          <w:rFonts w:ascii="Calibri" w:cs="Calibri" w:eastAsia="Calibri" w:hAnsi="Calibri"/>
          <w:rtl w:val="0"/>
        </w:rPr>
        <w:t xml:space="preserve">Exploits tumor metabolic inflexibility</w:t>
      </w:r>
      <w:r w:rsidDel="00000000" w:rsidR="00000000" w:rsidRPr="00000000">
        <w:rPr>
          <w:rtl w:val="0"/>
        </w:rPr>
      </w:r>
    </w:p>
    <w:p w:rsidR="00000000" w:rsidDel="00000000" w:rsidP="00000000" w:rsidRDefault="00000000" w:rsidRPr="00000000" w14:paraId="0000010F">
      <w:pPr>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10">
      <w:pPr>
        <w:spacing w:after="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This conceptual approach is similar to:</w:t>
      </w:r>
    </w:p>
    <w:p w:rsidR="00000000" w:rsidDel="00000000" w:rsidP="00000000" w:rsidRDefault="00000000" w:rsidRPr="00000000" w14:paraId="00000111">
      <w:pPr>
        <w:numPr>
          <w:ilvl w:val="0"/>
          <w:numId w:val="8"/>
        </w:numPr>
        <w:spacing w:after="0" w:line="240" w:lineRule="auto"/>
        <w:ind w:left="720" w:hanging="360"/>
        <w:rPr/>
      </w:pPr>
      <w:r w:rsidDel="00000000" w:rsidR="00000000" w:rsidRPr="00000000">
        <w:rPr>
          <w:rFonts w:ascii="Calibri" w:cs="Calibri" w:eastAsia="Calibri" w:hAnsi="Calibri"/>
          <w:rtl w:val="0"/>
        </w:rPr>
        <w:t xml:space="preserve">Antibiotic cycling in infectious disease</w:t>
      </w:r>
      <w:r w:rsidDel="00000000" w:rsidR="00000000" w:rsidRPr="00000000">
        <w:rPr>
          <w:rtl w:val="0"/>
        </w:rPr>
      </w:r>
    </w:p>
    <w:p w:rsidR="00000000" w:rsidDel="00000000" w:rsidP="00000000" w:rsidRDefault="00000000" w:rsidRPr="00000000" w14:paraId="00000112">
      <w:pPr>
        <w:numPr>
          <w:ilvl w:val="0"/>
          <w:numId w:val="8"/>
        </w:numPr>
        <w:spacing w:after="0" w:line="240" w:lineRule="auto"/>
        <w:ind w:left="720" w:hanging="360"/>
        <w:rPr/>
      </w:pPr>
      <w:r w:rsidDel="00000000" w:rsidR="00000000" w:rsidRPr="00000000">
        <w:rPr>
          <w:rFonts w:ascii="Calibri" w:cs="Calibri" w:eastAsia="Calibri" w:hAnsi="Calibri"/>
          <w:rtl w:val="0"/>
        </w:rPr>
        <w:t xml:space="preserve">Adaptive therapy models in oncology</w:t>
      </w:r>
      <w:r w:rsidDel="00000000" w:rsidR="00000000" w:rsidRPr="00000000">
        <w:rPr>
          <w:rtl w:val="0"/>
        </w:rPr>
      </w:r>
    </w:p>
    <w:p w:rsidR="00000000" w:rsidDel="00000000" w:rsidP="00000000" w:rsidRDefault="00000000" w:rsidRPr="00000000" w14:paraId="00000113">
      <w:pPr>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14">
      <w:pPr>
        <w:pStyle w:val="Heading3"/>
        <w:numPr>
          <w:ilvl w:val="0"/>
          <w:numId w:val="29"/>
        </w:numPr>
        <w:spacing w:after="0" w:lineRule="auto"/>
        <w:ind w:left="360"/>
        <w:rPr/>
      </w:pPr>
      <w:bookmarkStart w:colFirst="0" w:colLast="0" w:name="_jfq1h0epjnj7" w:id="48"/>
      <w:bookmarkEnd w:id="48"/>
      <w:r w:rsidDel="00000000" w:rsidR="00000000" w:rsidRPr="00000000">
        <w:rPr>
          <w:vertAlign w:val="baseline"/>
          <w:rtl w:val="0"/>
        </w:rPr>
        <w:t xml:space="preserve">Should the following phytochemicals be rotated to prevent drug resistance: curcumin, EGCG, sulforaphane, and resveratrol?</w:t>
      </w:r>
    </w:p>
    <w:p w:rsidR="00000000" w:rsidDel="00000000" w:rsidP="00000000" w:rsidRDefault="00000000" w:rsidRPr="00000000" w14:paraId="00000115">
      <w:pPr>
        <w:spacing w:after="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16">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NO. </w:t>
      </w:r>
      <w:r w:rsidDel="00000000" w:rsidR="00000000" w:rsidRPr="00000000">
        <w:rPr>
          <w:rFonts w:ascii="Calibri" w:cs="Calibri" w:eastAsia="Calibri" w:hAnsi="Calibri"/>
          <w:rtl w:val="0"/>
        </w:rPr>
        <w:t xml:space="preserve">For curcumin, EGCG, sulforaphane, and resveratrol, there is no evidence that they need to be “rotated” to prevent resistance in the way we think about resistance to singletarget drugs-; if anything, the preclinical literature mainly shows them reversing or preventing chemoresistance and cancer stem cell–mediated escape, rather than driving resistance on their own.(32)</w:t>
      </w:r>
      <w:r w:rsidDel="00000000" w:rsidR="00000000" w:rsidRPr="00000000">
        <w:rPr>
          <w:rtl w:val="0"/>
        </w:rPr>
      </w:r>
    </w:p>
    <w:p w:rsidR="00000000" w:rsidDel="00000000" w:rsidP="00000000" w:rsidRDefault="00000000" w:rsidRPr="00000000" w14:paraId="00000117">
      <w:pPr>
        <w:spacing w:after="0" w:lineRule="auto"/>
        <w:rPr>
          <w:rFonts w:ascii="Calibri" w:cs="Calibri" w:eastAsia="Calibri" w:hAnsi="Calibri"/>
        </w:rPr>
      </w:pPr>
      <w:r w:rsidDel="00000000" w:rsidR="00000000" w:rsidRPr="00000000">
        <w:rPr>
          <w:rtl w:val="0"/>
        </w:rPr>
      </w:r>
    </w:p>
    <w:p w:rsidR="00000000" w:rsidDel="00000000" w:rsidP="00000000" w:rsidRDefault="00000000" w:rsidRPr="00000000" w14:paraId="00000118">
      <w:pPr>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119">
      <w:pPr>
        <w:rPr>
          <w:rFonts w:ascii="Calibri" w:cs="Calibri" w:eastAsia="Calibri" w:hAnsi="Calibri"/>
        </w:rPr>
      </w:pPr>
      <w:r w:rsidDel="00000000" w:rsidR="00000000" w:rsidRPr="00000000">
        <w:rPr>
          <w:rFonts w:ascii="Calibri" w:cs="Calibri" w:eastAsia="Calibri" w:hAnsi="Calibri"/>
          <w:rtl w:val="0"/>
        </w:rPr>
        <w:t xml:space="preserve">These agents are pleiotropic, low-affinity, multitarget modulators, not narrow single-node inhibitors, which likely reduces classic target-specific resistance selection pressure compared with kinase inhibitors or cytotoxics. To date, there are no clinical or robust preclinical data showing that continuous use of curcumin, EGCG, sulforaphane, or resveratrol leads to specific resistant clones that can be avoided by periodically switching among these four.</w:t>
      </w:r>
    </w:p>
    <w:p w:rsidR="00000000" w:rsidDel="00000000" w:rsidP="00000000" w:rsidRDefault="00000000" w:rsidRPr="00000000" w14:paraId="0000011A">
      <w:pPr>
        <w:rPr>
          <w:rFonts w:ascii="Calibri" w:cs="Calibri" w:eastAsia="Calibri" w:hAnsi="Calibri"/>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1B">
      <w:pPr>
        <w:pStyle w:val="Heading3"/>
        <w:rPr/>
      </w:pPr>
      <w:bookmarkStart w:colFirst="0" w:colLast="0" w:name="_omw72bcmjp3n" w:id="49"/>
      <w:bookmarkEnd w:id="49"/>
      <w:r w:rsidDel="00000000" w:rsidR="00000000" w:rsidRPr="00000000">
        <w:rPr>
          <w:rtl w:val="0"/>
        </w:rPr>
        <w:t xml:space="preserve">References</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w:t>
        <w:tab/>
        <w:t xml:space="preserve">Iwamoto S, Kobayashi T, Hanamatsu H, Yokota I, Teranishi Y, Iwamoto A, et al.</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Tolerable glycometabolic stress boosts cancer cell resilience through altered N-glycosylation and Notch signaling activation. Cell Death Dis. 2024;15(1):53.</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w:t>
        <w:tab/>
        <w:t xml:space="preserve">Keoh LQ, Chiu CF, Ramasamy TS</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Metabolic Plasticity and Cancer Stem Cell Metabolism: Exploring the Glycolysis-OXPHOS Switch as a Mechanism for Resistance and Tumorigenesis. Stem Cell Rev Rep. 2025;21(8):2446–68.</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w:t>
        <w:tab/>
        <w:t xml:space="preserve">Xie Y, Ma S, Tong M</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Metabolic Plasticity of Cancer Stem Cells in Response to Microenvironmental Cues. Cancers (Basel). 2022;14(21).</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w:t>
        <w:tab/>
        <w:t xml:space="preserve">Rojas M, Manzi M, Madurga S, García Velásquez FE, Romero MA, Marín S, et al.</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Metabolic plasticity drives specific mechanisms of chemotherapy and targeted therapy resistance in metastatic colorectal cancer. Explor Target Antitumor Ther. 2025;6:1002337.</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w:t>
        <w:tab/>
        <w:t xml:space="preserve">Goldman A, Khiste S, Freinkman E, Dhawan A, Majumder B, Mondal J, et al.</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Targeting tumor phenotypic plasticity and metabolic remodeling in adaptive cross-drug tolerance. Sci Signal. 2019;12(595).</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w:t>
        <w:tab/>
        <w:t xml:space="preserve">Zhang Z, Zhou L, Xie N, Nice EC, Zhang T, Cui Y, et al.</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Overcoming cancer therapeutic bottleneck by drug repurposing. Signal Transduct Target Ther. 2020;5(1):113.</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w:t>
        <w:tab/>
        <w:t xml:space="preserve">Castelli S, Franchini M, Ferraro L, Mangraviti N</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impact of epigenetics on tumor metabolism: friend or foe in drug response? Frontiers in Epigenetics and Epigenomics. 2026;4:1755829.</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w:t>
        <w:tab/>
        <w:t xml:space="preserve">Talib WH, Awajan D, Alqudah A, Alsawwaf R, Althunibat R, Abu AlRoos M, et al.</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Targeting Cancer Hallmarks with Epigallocatechin Gallate (EGCG): Mechanistic Basis and Therapeutic Targets. Molecules. 2024;29(6).</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9.</w:t>
        <w:tab/>
        <w:t xml:space="preserve">Lee CJ, Yoon H</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Metabolic Adaptation and Cellular Stress Response As Targets for Cancer Therapy. World J Mens Health. 2024;42(1):62–70.</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10.</w:t>
        <w:tab/>
        <w:t xml:space="preserve">Masoudi M, Moti D, Masoudi R, Auwal A, Hossain MM, Pronoy TUH, et al.</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Metabolic adaptations in cancer stem cells: A key to therapy resistance. Biochim Biophys Acta Mol Basis Dis. 2024;1870(5):167164.</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11.</w:t>
        <w:tab/>
        <w:t xml:space="preserve">Pazarentzos E, Bivona TG</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Adaptive stress signaling in targeted cancer therapy resistance. Oncogene. 2015;34(45):5599–606.</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12.</w:t>
        <w:tab/>
        <w:t xml:space="preserve">Jia Y, Jia R, Dai Z, Zhou J, Ruan J, Chng W, et al.</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Stress granules in cancer: Adaptive dynamics and therapeutic implications. iScience. 2024;27(8):110359.</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13.</w:t>
        <w:tab/>
        <w:t xml:space="preserve">Vernieri C, Casola S, Foiani M, Pietrantonio F, de Braud F, Longo V</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Targeting Cancer Metabolism: Dietary and Pharmacologic Interventions. Cancer Discov. 2016;6(12):1315–33.</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14.</w:t>
        <w:tab/>
        <w:t xml:space="preserve">Punnasseril JMJ, Auwal A, Gopalan V, Lam AK, Islam F</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Metabolic Reprogramming of Cancer Cells and Therapeutics Targeting Cancer Metabolism. Cancer Med. 2025;14(18):e71244.</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15.</w:t>
        <w:tab/>
        <w:t xml:space="preserve">Fendt SM, Frezza C, Erez A</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Targeting Metabolic Plasticity and Flexibility Dynamics for Cancer Therapy. Cancer Discov. 2020;10(12):1797–807.</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16.</w:t>
        <w:tab/>
        <w:t xml:space="preserve">Seyfried TN, Yu G, Maroon JC, D'Agostino DP</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Press-pulse: a novel therapeutic strategy for the metabolic management of cancer. Nutr Metab (Lond). 2017;14:19.</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17.</w:t>
        <w:tab/>
        <w:t xml:space="preserve">Desbats MA, Giacomini I, Prayer-Galetti T, Montopoli M</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Metabolic Plasticity in Chemotherapy Resistance. Front Oncol. 2020;10:281.</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18.</w:t>
        <w:tab/>
        <w:t xml:space="preserve">Saini N, Yang X</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Metformin as an anti-cancer agent: actions and mechanisms targeting cancer stem cells. Acta Biochim Biophys Sin (Shanghai). 2018;50(2):133–43.</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19.</w:t>
        <w:tab/>
        <w:t xml:space="preserve">Naujokat C, McKee DL</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"Big Five" Phytochemicals Targeting Cancer Stem Cells: Curcumin, EGCG, Sulforaphane, Resveratrol and Genistein. Curr Med Chem. 2021;28(22):4321–42.</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w:t>
        <w:tab/>
        <w:t xml:space="preserve">Lo Iacono M, Gaggianesi M, Bianca P, Brancato OR, Muratore G, Modica C, et al.</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Destroying the Shield of Cancer Stem Cells: Natural Compounds as Promising Players in Cancer Therapy. J Clin Med. 2022;11(23).</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21.</w:t>
        <w:tab/>
        <w:t xml:space="preserve">Al Khzem AH, Gomaa MS, Alturki MS, Tawfeeq N, Sarafroz M, Alonaizi SM, et al.</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Drug Repurposing for Cancer Treatment: A Comprehensive Review. Int J Mol Sci. 2024;25(22).</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22.</w:t>
        <w:tab/>
        <w:t xml:space="preserve">Halma MT, Marik P</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Cancer metabolism as a therapeutic target and review of interventions. Nutrients. 2023.</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23.</w:t>
        <w:tab/>
        <w:t xml:space="preserve">Aggarwal P, Dutta G, Shaurya R, Rajendran V, Thirunavukkarasu P, Charan J, et al.</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Unlocking the Potential of Nutraceuticals in Cancer Chemotherapy: A Comprehensive Review. Cureus. 2025;17(8):e89328.</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24.</w:t>
        <w:tab/>
        <w:t xml:space="preserve">Agrawal S, Vamadevan P, Mazibuko N, Bannister R, Swery R, Wilson S</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new method for ethical and efficient evidence generation for off-label medication use in oncology (A case study in glioblastoma). Front. Pharmacol. 2019;10:681.</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25.</w:t>
        <w:tab/>
        <w:t xml:space="preserve">Wang H, Zhu C, Ying Y, Luo L, Huang D, Luo Z</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Metformin and berberine, two versatile drugs in treatment of common metabolic diseases. Oncotarget. 2018;9(11):10135–46.</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26.</w:t>
        <w:tab/>
        <w:t xml:space="preserve">Zheng F, Wu J, Tang Q, Xiao Q, Wu W, Hann SS</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enhancement of combination of berberine and metformin in inhibition of DNMT1 gene expression through interplay of SP1 and PDPK1. J Cell Mol Med. 2018;22(1):600–12.</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27.</w:t>
        <w:tab/>
        <w:t xml:space="preserve">Jiang L, Wang P, Sun YJ, Wu YJ</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Ivermectin reverses the drug resistance in cancer cells through EGFR/ERK/Akt/NF-κB pathway. J Exp Clin Cancer Res. 2019;38(1):265.</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28.</w:t>
        <w:tab/>
        <w:t xml:space="preserve">Juarez M, Schcolnik-Cabrera A, Dueñas-Gonzalez A</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multitargeted drug ivermectin: from an antiparasitic agent to a repositioned cancer drug. Am J Cancer Res. 2018;8(2):317–31.</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29.</w:t>
        <w:tab/>
        <w:t xml:space="preserve">D'Eliseo D, Velotti F</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Omega-3 Fatty Acids and Cancer Cell Cytotoxicity: Implications for Multi-Targeted Cancer Therapy. J Clin Med. 2016;5(2).</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30.</w:t>
        <w:tab/>
        <w:t xml:space="preserve">Das UN, Madhavi N, Sravan Kumar G, Padma M, Sangeetha P</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Can tumour cell drug resistance be reversed by essential fatty acids and their metabolites? Prostaglandins Leukot Essent Fatty Acids. 1998;58(1):39–54.</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31.</w:t>
        <w:tab/>
        <w:t xml:space="preserve">Gelsomino G, Corsetto PA, Campia I, Montorfano G, Kopecka J, Castella B, et al.</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Omega 3 fatty acids chemosensitize multidrug resistant colon cancer cells by down-regulating cholesterol synthesis and altering detergent resistant membranes composition. Mol Cancer. 2013;12:137.</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hanging="72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32.</w:t>
        <w:tab/>
        <w:t xml:space="preserve">Wang X, Li Y, Dai Y, Liu Q, Ning S, Liu J, et al.</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Sulforaphane improves chemotherapy efficacy by targeting cancer stem cell-like properties via the miR-124/IL-6R/STAT3 axis. Sci Rep. 2016;6:36796.</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hanging="72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Georgia"/>
  <w:font w:name="Courier New"/>
  <w:font w:name="Apto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o"/>
      <w:lvlJc w:val="left"/>
      <w:pPr>
        <w:ind w:left="1080" w:hanging="360"/>
      </w:pPr>
      <w:rPr>
        <w:rFonts w:ascii="Courier New" w:cs="Courier New" w:eastAsia="Courier New" w:hAnsi="Courier New"/>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2"/>
      <w:numFmt w:val="upperRoman"/>
      <w:lvlText w:val="%2."/>
      <w:lvlJc w:val="left"/>
      <w:pPr>
        <w:ind w:left="1800" w:hanging="72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0">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2">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o"/>
      <w:lvlJc w:val="left"/>
      <w:pPr>
        <w:ind w:left="1080" w:hanging="360"/>
      </w:pPr>
      <w:rPr>
        <w:rFonts w:ascii="Courier New" w:cs="Courier New" w:eastAsia="Courier New" w:hAnsi="Courier New"/>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smallCaps w:val="0"/>
        <w:strike w:val="0"/>
        <w:color w:val="000000"/>
        <w:vertAlign w:val="baseline"/>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360" w:hanging="360"/>
      </w:pPr>
      <w:rPr>
        <w:rFonts w:ascii="Noto Sans Symbols" w:cs="Noto Sans Symbols" w:eastAsia="Noto Sans Symbols" w:hAnsi="Noto Sans Symbols"/>
        <w:smallCaps w:val="0"/>
        <w:strike w:val="0"/>
        <w:color w:val="000000"/>
        <w:vertAlign w:val="baseline"/>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7">
    <w:lvl w:ilvl="0">
      <w:start w:val="1"/>
      <w:numFmt w:val="bullet"/>
      <w:lvlText w:val="●"/>
      <w:lvlJc w:val="left"/>
      <w:pPr>
        <w:ind w:left="360" w:hanging="360"/>
      </w:pPr>
      <w:rPr>
        <w:rFonts w:ascii="Noto Sans Symbols" w:cs="Noto Sans Symbols" w:eastAsia="Noto Sans Symbols" w:hAnsi="Noto Sans Symbols"/>
        <w:smallCaps w:val="0"/>
        <w:strike w:val="0"/>
        <w:color w:val="000000"/>
        <w:vertAlign w:val="baseline"/>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8">
    <w:lvl w:ilvl="0">
      <w:start w:val="1"/>
      <w:numFmt w:val="bullet"/>
      <w:lvlText w:val="●"/>
      <w:lvlJc w:val="left"/>
      <w:pPr>
        <w:ind w:left="360" w:hanging="360"/>
      </w:pPr>
      <w:rPr>
        <w:rFonts w:ascii="Noto Sans Symbols" w:cs="Noto Sans Symbols" w:eastAsia="Noto Sans Symbols" w:hAnsi="Noto Sans Symbols"/>
        <w:smallCaps w:val="0"/>
        <w:strike w:val="0"/>
        <w:color w:val="000000"/>
        <w:vertAlign w:val="baseline"/>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9">
    <w:lvl w:ilvl="0">
      <w:start w:val="1"/>
      <w:numFmt w:val="bullet"/>
      <w:lvlText w:val="●"/>
      <w:lvlJc w:val="left"/>
      <w:pPr>
        <w:ind w:left="360" w:hanging="360"/>
      </w:pPr>
      <w:rPr>
        <w:rFonts w:ascii="Noto Sans Symbols" w:cs="Noto Sans Symbols" w:eastAsia="Noto Sans Symbols" w:hAnsi="Noto Sans Symbols"/>
        <w:smallCaps w:val="0"/>
        <w:strike w:val="0"/>
        <w:color w:val="000000"/>
        <w:vertAlign w:val="baseline"/>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0">
    <w:lvl w:ilvl="0">
      <w:start w:val="1"/>
      <w:numFmt w:val="bullet"/>
      <w:lvlText w:val="●"/>
      <w:lvlJc w:val="left"/>
      <w:pPr>
        <w:ind w:left="360" w:hanging="360"/>
      </w:pPr>
      <w:rPr>
        <w:rFonts w:ascii="Noto Sans Symbols" w:cs="Noto Sans Symbols" w:eastAsia="Noto Sans Symbols" w:hAnsi="Noto Sans Symbols"/>
        <w:b w:val="0"/>
        <w:bCs w:val="0"/>
        <w:smallCaps w:val="0"/>
        <w:strike w:val="0"/>
        <w:color w:val="000000"/>
        <w:vertAlign w:val="baseline"/>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1">
    <w:lvl w:ilvl="0">
      <w:start w:val="1"/>
      <w:numFmt w:val="bullet"/>
      <w:lvlText w:val="●"/>
      <w:lvlJc w:val="left"/>
      <w:pPr>
        <w:ind w:left="360" w:hanging="360"/>
      </w:pPr>
      <w:rPr>
        <w:rFonts w:ascii="Noto Sans Symbols" w:cs="Noto Sans Symbols" w:eastAsia="Noto Sans Symbols" w:hAnsi="Noto Sans Symbols"/>
        <w:smallCaps w:val="0"/>
        <w:strike w:val="0"/>
        <w:color w:val="000000"/>
        <w:vertAlign w:val="baseline"/>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2">
    <w:lvl w:ilvl="0">
      <w:start w:val="1"/>
      <w:numFmt w:val="bullet"/>
      <w:lvlText w:val="●"/>
      <w:lvlJc w:val="left"/>
      <w:pPr>
        <w:ind w:left="360" w:hanging="360"/>
      </w:pPr>
      <w:rPr>
        <w:rFonts w:ascii="Noto Sans Symbols" w:cs="Noto Sans Symbols" w:eastAsia="Noto Sans Symbols" w:hAnsi="Noto Sans Symbols"/>
        <w:smallCaps w:val="0"/>
        <w:strike w:val="0"/>
        <w:color w:val="000000"/>
        <w:vertAlign w:val="baseline"/>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3">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o"/>
      <w:lvlJc w:val="left"/>
      <w:pPr>
        <w:ind w:left="1080" w:hanging="360"/>
      </w:pPr>
      <w:rPr>
        <w:rFonts w:ascii="Courier New" w:cs="Courier New" w:eastAsia="Courier New" w:hAnsi="Courier New"/>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mallCaps w:val="0"/>
        <w:strike w:val="0"/>
        <w:color w:val="000000"/>
        <w:vertAlign w:val="baseline"/>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5">
    <w:lvl w:ilvl="0">
      <w:start w:val="1"/>
      <w:numFmt w:val="bullet"/>
      <w:lvlText w:val="●"/>
      <w:lvlJc w:val="left"/>
      <w:pPr>
        <w:ind w:left="720" w:hanging="360"/>
      </w:pPr>
      <w:rPr>
        <w:rFonts w:ascii="Noto Sans Symbols" w:cs="Noto Sans Symbols" w:eastAsia="Noto Sans Symbols" w:hAnsi="Noto Sans Symbols"/>
        <w:smallCaps w:val="0"/>
        <w:strike w:val="0"/>
        <w:color w:val="000000"/>
        <w:vertAlign w:val="baseline"/>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6">
    <w:lvl w:ilvl="0">
      <w:start w:val="1"/>
      <w:numFmt w:val="bullet"/>
      <w:lvlText w:val="●"/>
      <w:lvlJc w:val="left"/>
      <w:pPr>
        <w:ind w:left="360" w:hanging="360"/>
      </w:pPr>
      <w:rPr>
        <w:rFonts w:ascii="Noto Sans Symbols" w:cs="Noto Sans Symbols" w:eastAsia="Noto Sans Symbols" w:hAnsi="Noto Sans Symbols"/>
        <w:smallCaps w:val="0"/>
        <w:strike w:val="0"/>
        <w:color w:val="000000"/>
        <w:vertAlign w:val="baseline"/>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7">
    <w:lvl w:ilvl="0">
      <w:start w:val="1"/>
      <w:numFmt w:val="bullet"/>
      <w:lvlText w:val="●"/>
      <w:lvlJc w:val="left"/>
      <w:pPr>
        <w:ind w:left="720" w:hanging="360"/>
      </w:pPr>
      <w:rPr>
        <w:rFonts w:ascii="Noto Sans Symbols" w:cs="Noto Sans Symbols" w:eastAsia="Noto Sans Symbols" w:hAnsi="Noto Sans Symbols"/>
        <w:smallCaps w:val="0"/>
        <w:strike w:val="0"/>
        <w:color w:val="000000"/>
        <w:vertAlign w:val="baseline"/>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8">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o"/>
      <w:lvlJc w:val="left"/>
      <w:pPr>
        <w:ind w:left="1080" w:hanging="360"/>
      </w:pPr>
      <w:rPr>
        <w:rFonts w:ascii="Courier New" w:cs="Courier New" w:eastAsia="Courier New" w:hAnsi="Courier New"/>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29">
    <w:lvl w:ilvl="0">
      <w:start w:val="1"/>
      <w:numFmt w:val="decimal"/>
      <w:lvlText w:val="%1."/>
      <w:lvlJc w:val="left"/>
      <w:pPr>
        <w:ind w:left="360" w:hanging="360"/>
      </w:pPr>
      <w:rPr/>
    </w:lvl>
    <w:lvl w:ilvl="1">
      <w:start w:val="1"/>
      <w:numFmt w:val="lowerLetter"/>
      <w:lvlText w:val="%2."/>
      <w:lvlJc w:val="left"/>
      <w:pPr>
        <w:ind w:left="810" w:hanging="360"/>
      </w:pPr>
      <w:rPr/>
    </w:lvl>
    <w:lvl w:ilvl="2">
      <w:start w:val="1"/>
      <w:numFmt w:val="lowerRoman"/>
      <w:lvlText w:val="%3."/>
      <w:lvlJc w:val="right"/>
      <w:pPr>
        <w:ind w:left="1530" w:hanging="180"/>
      </w:pPr>
      <w:rPr/>
    </w:lvl>
    <w:lvl w:ilvl="3">
      <w:start w:val="1"/>
      <w:numFmt w:val="decimal"/>
      <w:lvlText w:val="%4."/>
      <w:lvlJc w:val="left"/>
      <w:pPr>
        <w:ind w:left="2250" w:hanging="360"/>
      </w:pPr>
      <w:rPr/>
    </w:lvl>
    <w:lvl w:ilvl="4">
      <w:start w:val="1"/>
      <w:numFmt w:val="lowerLetter"/>
      <w:lvlText w:val="%5."/>
      <w:lvlJc w:val="left"/>
      <w:pPr>
        <w:ind w:left="2970" w:hanging="360"/>
      </w:pPr>
      <w:rPr/>
    </w:lvl>
    <w:lvl w:ilvl="5">
      <w:start w:val="1"/>
      <w:numFmt w:val="lowerRoman"/>
      <w:lvlText w:val="%6."/>
      <w:lvlJc w:val="right"/>
      <w:pPr>
        <w:ind w:left="3690" w:hanging="180"/>
      </w:pPr>
      <w:rPr/>
    </w:lvl>
    <w:lvl w:ilvl="6">
      <w:start w:val="1"/>
      <w:numFmt w:val="decimal"/>
      <w:lvlText w:val="%7."/>
      <w:lvlJc w:val="left"/>
      <w:pPr>
        <w:ind w:left="4410" w:hanging="360"/>
      </w:pPr>
      <w:rPr/>
    </w:lvl>
    <w:lvl w:ilvl="7">
      <w:start w:val="1"/>
      <w:numFmt w:val="lowerLetter"/>
      <w:lvlText w:val="%8."/>
      <w:lvlJc w:val="left"/>
      <w:pPr>
        <w:ind w:left="5130" w:hanging="360"/>
      </w:pPr>
      <w:rPr/>
    </w:lvl>
    <w:lvl w:ilvl="8">
      <w:start w:val="1"/>
      <w:numFmt w:val="lowerRoman"/>
      <w:lvlText w:val="%9."/>
      <w:lvlJc w:val="right"/>
      <w:pPr>
        <w:ind w:left="5850" w:hanging="180"/>
      </w:pPr>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5.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