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04FC52C8">
            <w:pPr>
              <w:spacing w:line="36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（1）知道向心力是根据力的效果命名的，会分析向心力的来源。</w:t>
            </w:r>
          </w:p>
          <w:p w14:paraId="070A7336">
            <w:pPr>
              <w:spacing w:line="36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（2）感受影响向心力大小的因素，通过实验探究它们之间的关系。</w:t>
            </w:r>
          </w:p>
          <w:p w14:paraId="423C9231">
            <w:pPr>
              <w:spacing w:line="36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（3）掌握向心力的表达式，能够计算简单情境中的向心力。</w:t>
            </w:r>
          </w:p>
          <w:p w14:paraId="093709D0">
            <w:pPr>
              <w:spacing w:line="36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/>
                <w:bCs/>
              </w:rPr>
              <w:t>（4）知道变速圆周运动和一般曲线运动的分析方法。</w:t>
            </w:r>
            <w:bookmarkStart w:id="2" w:name="_GoBack"/>
            <w:bookmarkEnd w:id="2"/>
          </w:p>
        </w:tc>
      </w:tr>
      <w:tr w14:paraId="42A1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927F7A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2E3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37931467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（2024春•沈阳期末）关于圆周运动，下列说法中正确的是（　　）</w:t>
            </w:r>
          </w:p>
          <w:p w14:paraId="1A362A6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A．圆周运动可能是匀速运动</w:t>
            </w:r>
            <w:r>
              <w:tab/>
            </w:r>
          </w:p>
          <w:p w14:paraId="6AECF1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B．圆周运动可能是匀变速曲线运动</w:t>
            </w:r>
            <w:r>
              <w:tab/>
            </w:r>
          </w:p>
          <w:p w14:paraId="17C1AFB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C．圆周运动一定是非匀变速运动</w:t>
            </w:r>
            <w:r>
              <w:tab/>
            </w:r>
          </w:p>
          <w:p w14:paraId="18B54BD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D．圆周运动加速度可能不变</w:t>
            </w:r>
          </w:p>
          <w:p w14:paraId="49BC9260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（2024春•信宜市期中）关于圆周运动的说法，正确的是（　　）</w:t>
            </w:r>
          </w:p>
          <w:p w14:paraId="015372B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A．做匀速圆周运动的物体，所受合力一定指向圆心</w:t>
            </w:r>
            <w:r>
              <w:tab/>
            </w:r>
          </w:p>
          <w:p w14:paraId="62F5E60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B．做匀速圆周运动的物体，其速度不变</w:t>
            </w:r>
            <w:r>
              <w:tab/>
            </w:r>
          </w:p>
          <w:p w14:paraId="3F342DB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C．做匀速圆周运动的物体，其加速度不变</w:t>
            </w:r>
            <w:r>
              <w:tab/>
            </w:r>
          </w:p>
          <w:p w14:paraId="73F896D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D．匀速圆周运动是匀变速曲线运动</w:t>
            </w:r>
          </w:p>
          <w:p w14:paraId="1DDFFBD0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（2024春•湖南期末）图1是一辆正以速度v做匀速直线运动的自行车的车轮简化示意图，车轮边缘某点P（图中未画出）离水平地面高度h随自行车运动位移x的变化关系如图2所示，图中的L为已知量，则（　　）</w:t>
            </w:r>
          </w:p>
          <w:p w14:paraId="368A3AD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4123690" cy="1054100"/>
                  <wp:effectExtent l="0" t="0" r="10160" b="12700"/>
                  <wp:docPr id="7735461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5461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952" cy="105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F05D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A．该车轮的直径为L</w:t>
            </w:r>
            <w:r>
              <w:tab/>
            </w:r>
          </w:p>
          <w:p w14:paraId="30AE7D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B．该车轮的转速为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L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eastAsia="新宋体"/>
                <w:szCs w:val="21"/>
              </w:rPr>
              <w:t>（转/每秒）</w:t>
            </w:r>
            <w:r>
              <w:tab/>
            </w:r>
          </w:p>
          <w:p w14:paraId="112A61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C．在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x=</m:t>
              </m:r>
              <m:f>
                <m:fP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eastAsia="新宋体"/>
                <w:szCs w:val="21"/>
              </w:rPr>
              <w:t>位置，P相对地面的速度为零</w:t>
            </w:r>
            <w:r>
              <w:tab/>
            </w:r>
          </w:p>
          <w:p w14:paraId="0663983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D．在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x=</m:t>
              </m:r>
              <m:f>
                <m:fP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eastAsia="新宋体"/>
                <w:szCs w:val="21"/>
              </w:rPr>
              <w:t>位置，P相对地面的速度为v</w:t>
            </w:r>
          </w:p>
          <w:p w14:paraId="0A2BC7FC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（2024•海门区校级学业考试）如图所示为走时准确的时钟面板示意图，M、N为秒针上的两点。以下判断正确的是（　　）</w:t>
            </w:r>
          </w:p>
          <w:p w14:paraId="4351C39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969010" cy="972185"/>
                  <wp:effectExtent l="0" t="0" r="2540" b="18415"/>
                  <wp:docPr id="197533729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33729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66" cy="972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1648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A．M点的周期比N点的周期大</w:t>
            </w:r>
            <w:r>
              <w:tab/>
            </w:r>
          </w:p>
          <w:p w14:paraId="65EBFD9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B．N点的周期比M点的周期大</w:t>
            </w:r>
            <w:r>
              <w:tab/>
            </w:r>
          </w:p>
          <w:p w14:paraId="7DFDAAF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C．M点的角速度等于N点的角速度</w:t>
            </w:r>
            <w:r>
              <w:tab/>
            </w:r>
          </w:p>
          <w:p w14:paraId="1D31E33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D．M点的角速度大于N点的角速度</w:t>
            </w:r>
          </w:p>
          <w:p w14:paraId="76032E1E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洛阳期末）植树可以绿化和美化家园，还可以扩大山林资源、防止水土流失、保护农田、调节气候、促进经济发展等作用，是一项利于当代造福子孙的宏伟工程。如图所示，在某次植树活动中，工作人员先把树根部放入土坑中，再用双手把树扶起到竖直状态，工作人员以速度v向左匀速运动扶正树苗时，可认为树苗绕和地面的接触点O做圆周运动。手与树苗接触点的高度为h，若某时刻树苗与地面的夹角为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，树苗转动的角速度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Cs w:val="21"/>
              </w:rPr>
              <w:t>为（　　）</w:t>
            </w:r>
          </w:p>
          <w:p w14:paraId="710D7AE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560195" cy="1045210"/>
                  <wp:effectExtent l="0" t="0" r="1905" b="2540"/>
                  <wp:docPr id="164340621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40621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9" cy="1045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5665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vcosθsinθ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ℎ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vsi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θ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ℎ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tab/>
            </w:r>
          </w:p>
          <w:p w14:paraId="09CB56A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lang w:val="pt-BR"/>
              </w:rPr>
            </w:pPr>
            <w:r>
              <w:rPr>
                <w:rFonts w:hint="eastAsia" w:eastAsia="新宋体"/>
                <w:szCs w:val="21"/>
                <w:lang w:val="pt-BR"/>
              </w:rPr>
              <w:t>C．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  <w:lang w:val="pt-BR"/>
                    </w:rPr>
                    <m:t>ℎ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lang w:val="pt-BR"/>
              </w:rPr>
              <w:tab/>
            </w:r>
            <w:r>
              <w:rPr>
                <w:rFonts w:hint="eastAsia" w:eastAsia="新宋体"/>
                <w:szCs w:val="21"/>
                <w:lang w:val="pt-BR"/>
              </w:rPr>
              <w:t>D．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vtanθ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  <w:lang w:val="pt-BR"/>
                    </w:rPr>
                    <m:t>ℎ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</w:p>
          <w:p w14:paraId="2C7FAA5B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（2024春•福州期末）水车是我国劳动人民利用水能的一项重要发明。如图为某水车模型，从槽口水平流出的水初速度大小为v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，垂直落在与水平面成30°角的水轮叶面上，落点到轮轴间的距离为R。在水流不断冲击下，轮叶受冲击点的线速度大小接近冲击前瞬间水流速度大小，忽略空气阻力，重力加速度为g，有关水车及从槽口流出的水，以下说法正确的是（　　）</w:t>
            </w:r>
          </w:p>
          <w:p w14:paraId="2490C7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590675" cy="1496060"/>
                  <wp:effectExtent l="0" t="0" r="9525" b="8890"/>
                  <wp:docPr id="63500121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00121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059" cy="149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B885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A．水流在空中运动时间为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g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tab/>
            </w:r>
          </w:p>
          <w:p w14:paraId="3345BC8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B．水流在空中运动时间为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g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tab/>
            </w:r>
          </w:p>
          <w:p w14:paraId="76223CF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C．水车受冲击点角速度接近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tab/>
            </w:r>
          </w:p>
          <w:p w14:paraId="1876B904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eastAsia="新宋体"/>
                <w:szCs w:val="21"/>
              </w:rPr>
              <w:t>D．水车受冲击点最大线速度接近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cos30°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1347D937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临潼区期末）无链自行车就是用轴和齿轮组合代替链条和链轮组合，和普通链条自行车相比，其它的部件是一样的，但是改变了传动的方式。如图所示，是无链条自行车用轴和齿轮组合部分的传动原理图，圆锥齿轮a和圆锥齿轮c彼此完全咬合，a的齿数是40，c的齿数是20，则圆锥齿轮a和圆锥齿轮c的线速度之比为（　　）</w:t>
            </w:r>
          </w:p>
          <w:p w14:paraId="58D6CDC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105660" cy="1343025"/>
                  <wp:effectExtent l="0" t="0" r="8890" b="9525"/>
                  <wp:docPr id="83278905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89055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76" cy="134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2605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A．1：1</w:t>
            </w:r>
            <w:r>
              <w:tab/>
            </w:r>
            <w:r>
              <w:rPr>
                <w:rFonts w:hint="eastAsia" w:eastAsia="新宋体"/>
                <w:szCs w:val="21"/>
              </w:rPr>
              <w:t>B．2：1</w:t>
            </w:r>
            <w:r>
              <w:tab/>
            </w:r>
            <w:r>
              <w:rPr>
                <w:rFonts w:hint="eastAsia" w:eastAsia="新宋体"/>
                <w:szCs w:val="21"/>
              </w:rPr>
              <w:t>C．1：2</w:t>
            </w:r>
            <w:r>
              <w:tab/>
            </w:r>
            <w:r>
              <w:rPr>
                <w:rFonts w:hint="eastAsia" w:eastAsia="新宋体"/>
                <w:szCs w:val="21"/>
              </w:rPr>
              <w:t>D．1：4</w:t>
            </w:r>
          </w:p>
          <w:p w14:paraId="482640C2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（2024春•镇江期末）如图是自行车外接助力装置，其通过滚轮驱动车轮转动。滚轮直径为8cm，车轮直径为48cm。滚轮与车轮间无相对滑动，则滚轮与车轮的角速度之比为（　　）</w:t>
            </w:r>
          </w:p>
          <w:p w14:paraId="031F190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877060" cy="1591310"/>
                  <wp:effectExtent l="0" t="0" r="8890" b="8890"/>
                  <wp:docPr id="90370889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70889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184" cy="159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6133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A．1：1</w:t>
            </w:r>
            <w:r>
              <w:tab/>
            </w:r>
            <w:r>
              <w:rPr>
                <w:rFonts w:hint="eastAsia" w:eastAsia="新宋体"/>
                <w:szCs w:val="21"/>
              </w:rPr>
              <w:t>B．6：1</w:t>
            </w:r>
            <w:r>
              <w:tab/>
            </w:r>
            <w:r>
              <w:rPr>
                <w:rFonts w:hint="eastAsia" w:eastAsia="新宋体"/>
                <w:szCs w:val="21"/>
              </w:rPr>
              <w:t>C．1：6</w:t>
            </w:r>
            <w:r>
              <w:tab/>
            </w:r>
            <w:r>
              <w:rPr>
                <w:rFonts w:hint="eastAsia" w:eastAsia="新宋体"/>
                <w:szCs w:val="21"/>
              </w:rPr>
              <w:t>D．36：1</w:t>
            </w:r>
          </w:p>
          <w:p w14:paraId="7EBDD896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葫芦岛期末）陶瓷是中华瑰宝，是中华文明的重要名片。在陶瓷制作过程中有一道工序叫利坯，简化模型如图，将陶瓷粗坯固定在绕竖直轴转动的水平转台上，粗坯的对称轴与转台转轴OO′重合。当转台匀速转动时，关于粗坯上P、Q两质点，下列说法正确的是（　　）</w:t>
            </w:r>
          </w:p>
          <w:p w14:paraId="4CFFC3A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417320" cy="1228090"/>
                  <wp:effectExtent l="0" t="0" r="11430" b="10160"/>
                  <wp:docPr id="209737576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37576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3" cy="1228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E41B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A．角速度大小相同</w:t>
            </w:r>
            <w:r>
              <w:tab/>
            </w:r>
            <w:r>
              <w:rPr>
                <w:rFonts w:hint="eastAsia" w:eastAsia="新宋体"/>
                <w:szCs w:val="21"/>
              </w:rPr>
              <w:t>B．线速度大小相同</w:t>
            </w:r>
            <w:r>
              <w:tab/>
            </w:r>
          </w:p>
          <w:p w14:paraId="3ADF2EA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C．Q的角速度比P的大</w:t>
            </w:r>
            <w:r>
              <w:tab/>
            </w:r>
            <w:r>
              <w:rPr>
                <w:rFonts w:hint="eastAsia" w:eastAsia="新宋体"/>
                <w:szCs w:val="21"/>
              </w:rPr>
              <w:t>D．Q的线速度比P的大</w:t>
            </w:r>
          </w:p>
          <w:p w14:paraId="7E188D58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蓝田县期末）变速自行车靠变换齿轮组合来改变行驶速度档，如图是某变速车齿轮转动结构示意图，图中大齿轮A有48齿，大齿轮B有42齿，小齿轮C有18齿，小齿轮D轮有12齿。大小齿轮通过链条连接，小齿轮转动时可带动后轮同轴转动。骑行者通过脚踏板驱动大齿轮转动，则下列选项正确的是（　　）</w:t>
            </w:r>
          </w:p>
          <w:p w14:paraId="71DD785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233930" cy="1069340"/>
                  <wp:effectExtent l="0" t="0" r="13970" b="16510"/>
                  <wp:docPr id="81953188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3188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189" cy="106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BD5B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A．当B轮与C轮组合时，两轮边缘上的点的线速度之比v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B：</w:t>
            </w:r>
            <w:r>
              <w:rPr>
                <w:rFonts w:hint="eastAsia" w:eastAsia="新宋体"/>
                <w:szCs w:val="21"/>
              </w:rPr>
              <w:t>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＝7：3</w:t>
            </w:r>
            <w:r>
              <w:tab/>
            </w:r>
          </w:p>
          <w:p w14:paraId="3CA9F96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B．当B轮与C轮组合时，两轮的周期之比T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：T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＝3：7</w:t>
            </w:r>
            <w:r>
              <w:tab/>
            </w:r>
          </w:p>
          <w:p w14:paraId="582DE41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C．当A轮与D轮组合时，两轮的角速度之比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A：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D</w:t>
            </w:r>
            <w:r>
              <w:rPr>
                <w:rFonts w:hint="eastAsia" w:eastAsia="新宋体"/>
                <w:szCs w:val="21"/>
              </w:rPr>
              <w:t>＝1：4</w:t>
            </w:r>
            <w:r>
              <w:tab/>
            </w:r>
          </w:p>
          <w:p w14:paraId="04537329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eastAsia="新宋体"/>
                <w:szCs w:val="21"/>
              </w:rPr>
              <w:t>D．当A轮与D轮组合时，两轮的角速度之比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：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D</w:t>
            </w:r>
            <w:r>
              <w:rPr>
                <w:rFonts w:hint="eastAsia" w:eastAsia="新宋体"/>
                <w:szCs w:val="21"/>
              </w:rPr>
              <w:t>＝4：1</w:t>
            </w: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4D1B9B47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垫江县校级月考）如图所示为一个半径为5m的圆盘，正绕其圆心做匀速转动，当圆盘边缘上的一点A处在如图所示位置的时候，在其圆心正上方20m的高度有一小球正在向边缘的A点以一定的速度水平抛出，g＝10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，要使得小球正好落在A点，则（　　）</w:t>
            </w:r>
          </w:p>
          <w:p w14:paraId="7994EBF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179195" cy="914400"/>
                  <wp:effectExtent l="0" t="0" r="1905" b="0"/>
                  <wp:docPr id="203449066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490662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8" cy="91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9739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A．小球平抛的初速度一定是2.5m/s</w:t>
            </w:r>
            <w:r>
              <w:tab/>
            </w:r>
          </w:p>
          <w:p w14:paraId="7DEB91D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B．小球平抛的初速度可能是2.5m/s</w:t>
            </w:r>
            <w:r>
              <w:tab/>
            </w:r>
          </w:p>
          <w:p w14:paraId="6CBF67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C．圆盘转动的角速度一定是</w:t>
            </w:r>
            <w:r>
              <w:rPr>
                <w:rFonts w:ascii="Cambria Math" w:hAnsi="Cambria Math" w:eastAsia="Cambria Math"/>
                <w:szCs w:val="21"/>
              </w:rPr>
              <w:t>π</w:t>
            </w:r>
            <w:r>
              <w:rPr>
                <w:rFonts w:hint="eastAsia" w:eastAsia="新宋体"/>
                <w:szCs w:val="21"/>
              </w:rPr>
              <w:t>rad/s</w:t>
            </w:r>
            <w:r>
              <w:tab/>
            </w:r>
          </w:p>
          <w:p w14:paraId="1FDEDF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D．圆盘转动的加速度可能是</w:t>
            </w:r>
            <w:r>
              <w:rPr>
                <w:rFonts w:ascii="Cambria Math" w:hAnsi="Cambria Math" w:eastAsia="Cambria Math"/>
                <w:szCs w:val="21"/>
              </w:rPr>
              <w:t>π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rad/s</w:t>
            </w:r>
          </w:p>
          <w:p w14:paraId="4FAC4C20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（2024春•横山区期末）如图所示是收录机磁带仓的基本结构示意图。在放磁带时，为保证磁头在磁带上读取信息的速度不变。以下说法正确的是（　　）</w:t>
            </w:r>
          </w:p>
          <w:p w14:paraId="203AD8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965960" cy="1465580"/>
                  <wp:effectExtent l="0" t="0" r="15240" b="1270"/>
                  <wp:docPr id="88031197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31197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4" cy="146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6434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A．主轴以恒定转速转动</w:t>
            </w:r>
            <w:r>
              <w:tab/>
            </w:r>
          </w:p>
          <w:p w14:paraId="6817572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B．送带轮以恒定转速转动</w:t>
            </w:r>
            <w:r>
              <w:tab/>
            </w:r>
          </w:p>
          <w:p w14:paraId="7E7FEAB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C．送带轮和收带轮的角速度相等</w:t>
            </w:r>
            <w:r>
              <w:tab/>
            </w:r>
          </w:p>
          <w:p w14:paraId="578D119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D．收带轮的角速度将逐渐变大</w:t>
            </w:r>
          </w:p>
          <w:p w14:paraId="29952577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南阳期末）在街边的理发店门口，常有转动的圆筒，外表有黑白相间的螺旋斜条纹，我们感觉条纹在沿竖直方向运动，但实际上条纹在竖直方向并没有升降，这是圆筒的转动使眼睛产生的错觉。如图所示，假设圆筒上的条纹是围绕圆筒的一条宽带，相邻两圈条纹沿圆筒轴线方向的距离（螺距）h＝15cm，其中白色宽带是黑色宽带的2倍，圆筒沿逆时针方向（俯视）以2r/s的转速匀速转动，我们感觉到黑白相间的螺旋斜条纹升降的速度大小为（　　）</w:t>
            </w:r>
          </w:p>
          <w:p w14:paraId="03A80E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648970" cy="1678940"/>
                  <wp:effectExtent l="0" t="0" r="17780" b="16510"/>
                  <wp:docPr id="195700310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0310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5" cy="1679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00E9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A．30cm/s</w:t>
            </w:r>
            <w:r>
              <w:tab/>
            </w:r>
            <w:r>
              <w:rPr>
                <w:rFonts w:hint="eastAsia" w:eastAsia="新宋体"/>
                <w:szCs w:val="21"/>
              </w:rPr>
              <w:t>B．20cm/s</w:t>
            </w:r>
            <w:r>
              <w:tab/>
            </w:r>
            <w:r>
              <w:rPr>
                <w:rFonts w:hint="eastAsia" w:eastAsia="新宋体"/>
                <w:szCs w:val="21"/>
              </w:rPr>
              <w:t>C．15cm/s</w:t>
            </w:r>
            <w:r>
              <w:tab/>
            </w:r>
            <w:r>
              <w:rPr>
                <w:rFonts w:hint="eastAsia" w:eastAsia="新宋体"/>
                <w:szCs w:val="21"/>
              </w:rPr>
              <w:t>D．7.5cm/s</w:t>
            </w:r>
          </w:p>
          <w:p w14:paraId="4D8E111B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（2024春•扬州期末）走时准确的时钟如图所示，A、B分别为时针和分针上到轴心距离相等的点，关于A、B两点下列说法正确的是（　　）</w:t>
            </w:r>
          </w:p>
          <w:p w14:paraId="070A07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82700" cy="1285875"/>
                  <wp:effectExtent l="0" t="0" r="12700" b="9525"/>
                  <wp:docPr id="101217938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17938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211" cy="1286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245C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A．A点线速度大</w:t>
            </w:r>
            <w:r>
              <w:tab/>
            </w:r>
            <w:r>
              <w:rPr>
                <w:rFonts w:hint="eastAsia" w:eastAsia="新宋体"/>
                <w:szCs w:val="21"/>
              </w:rPr>
              <w:t>B．B点角速度大</w:t>
            </w:r>
            <w:r>
              <w:tab/>
            </w:r>
          </w:p>
          <w:p w14:paraId="622C433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C．周期相同</w:t>
            </w:r>
            <w:r>
              <w:tab/>
            </w:r>
            <w:r>
              <w:rPr>
                <w:rFonts w:hint="eastAsia" w:eastAsia="新宋体"/>
                <w:szCs w:val="21"/>
              </w:rPr>
              <w:t>D．加速度相同</w:t>
            </w:r>
          </w:p>
          <w:p w14:paraId="72DB6EE8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惠州期末）某高速公路收费站的ETC的直杆道闸的示意图如图所示，杆OP的长度为L，当小车靠近道闸时，杆OP绕O点转动放行，在杆OP从与水平方向成30°匀速转动到60°的过程中，P端的线速度大小为v，则该转动过程所用的时间为（　　）</w:t>
            </w:r>
          </w:p>
          <w:p w14:paraId="4FD9CE3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552575" cy="1295400"/>
                  <wp:effectExtent l="0" t="0" r="9525" b="0"/>
                  <wp:docPr id="74782844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828446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6313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lang w:val="pt-BR"/>
              </w:rPr>
            </w:pPr>
            <w:r>
              <w:rPr>
                <w:rFonts w:hint="eastAsia" w:eastAsia="新宋体"/>
                <w:szCs w:val="21"/>
              </w:rPr>
              <w:t>A．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πL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12v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πL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tab/>
            </w:r>
            <w:r>
              <w:rPr>
                <w:rFonts w:hint="eastAsia" w:eastAsia="新宋体"/>
                <w:szCs w:val="21"/>
                <w:lang w:val="pt-BR"/>
              </w:rPr>
              <w:t>C．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πL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  <w:lang w:val="pt-BR"/>
                    </w:rPr>
                    <m:t>3</m:t>
                  </m:r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lang w:val="pt-BR"/>
              </w:rPr>
              <w:tab/>
            </w:r>
            <w:r>
              <w:rPr>
                <w:rFonts w:hint="eastAsia" w:eastAsia="新宋体"/>
                <w:szCs w:val="21"/>
                <w:lang w:val="pt-BR"/>
              </w:rPr>
              <w:t>D．</w:t>
            </w:r>
            <m:oMath>
              <m:f>
                <m:fP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πL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  <w:lang w:val="pt-BR"/>
                    </w:rPr>
                    <m:t>6</m:t>
                  </m:r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v</m:t>
                  </m:r>
                  <m:ctrlPr>
                    <w:rPr>
                      <w:rFonts w:hint="eastAsia"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</w:p>
          <w:p w14:paraId="2BA0C166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（2024春•乌鲁木齐期末）如图所示，质量相等的甲、乙两人分别站在赤道和纬度为45°的地面上，他们随地球一起绕地轴做匀速圆周运动，则甲、乙两人线速度之比和角速度之比正确的是（　　）</w:t>
            </w:r>
          </w:p>
          <w:p w14:paraId="1987DF5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304290" cy="1575435"/>
                  <wp:effectExtent l="0" t="0" r="10160" b="5715"/>
                  <wp:docPr id="38827659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27659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7" cy="1575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D2E4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A．1：1，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新宋体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rPr>
                <w:rFonts w:hint="eastAsia" w:eastAsia="新宋体"/>
                <w:szCs w:val="21"/>
              </w:rPr>
              <w:t>：1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新宋体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w:rPr>
                  <w:rFonts w:ascii="Cambria Math" w:hAnsi="Cambria Math" w:eastAsia="新宋体"/>
                  <w:szCs w:val="21"/>
                </w:rPr>
                <m:t>：1</m:t>
              </m:r>
            </m:oMath>
            <w:r>
              <w:rPr>
                <w:rFonts w:hint="eastAsia" w:eastAsia="新宋体"/>
                <w:szCs w:val="21"/>
              </w:rPr>
              <w:t>，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1：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1：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rPr>
                <w:rFonts w:hint="eastAsia" w:eastAsia="新宋体"/>
                <w:szCs w:val="21"/>
              </w:rPr>
              <w:t>，1：1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新宋体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rPr>
                <w:rFonts w:hint="eastAsia" w:eastAsia="新宋体"/>
                <w:szCs w:val="21"/>
              </w:rPr>
              <w:t>：1，1：1</w:t>
            </w:r>
          </w:p>
          <w:p w14:paraId="5001F8AD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（2024春•芦淞区校级期中）小红推门进入教室如图所示，在门转动时，门上A、B两点的角速度分别为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，线速度大小分别为v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，则（　　）</w:t>
            </w:r>
          </w:p>
          <w:p w14:paraId="4C40958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49680" cy="1029970"/>
                  <wp:effectExtent l="0" t="0" r="7620" b="17780"/>
                  <wp:docPr id="176387246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87246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2" cy="103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73BC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＜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tab/>
            </w:r>
            <w:r>
              <w:rPr>
                <w:rFonts w:hint="eastAsia" w:eastAsia="新宋体"/>
                <w:szCs w:val="21"/>
              </w:rPr>
              <w:t>C．v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tab/>
            </w:r>
            <w:r>
              <w:rPr>
                <w:rFonts w:hint="eastAsia" w:eastAsia="新宋体"/>
                <w:szCs w:val="21"/>
              </w:rPr>
              <w:t>D．v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＜v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</w:p>
          <w:p w14:paraId="01FC0FD9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（2024春•越秀区校级期中）如图所示，假设地球为一球体，地球绕地轴自转时，在其表面上有A、B两物体（图中涂色的平面表示赤道平面），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为已知，则（　　）</w:t>
            </w:r>
          </w:p>
          <w:p w14:paraId="0C8876B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72515" cy="1447800"/>
                  <wp:effectExtent l="0" t="0" r="13335" b="0"/>
                  <wp:docPr id="39740696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40696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98" cy="144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E66E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A．两物体的线速度之比v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：v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＝1：1</w:t>
            </w:r>
            <w:r>
              <w:tab/>
            </w:r>
          </w:p>
          <w:p w14:paraId="2BD2040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B．两物体的线速度之比v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：v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＝sin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：sin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  <w:r>
              <w:tab/>
            </w:r>
          </w:p>
          <w:p w14:paraId="4CC3C40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C．两物体的角速度之比为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：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＝1：1</w:t>
            </w:r>
            <w:r>
              <w:tab/>
            </w:r>
          </w:p>
          <w:p w14:paraId="64A8109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D．两物体的角速度之比为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：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＝sin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：sin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2</w:t>
            </w:r>
          </w:p>
          <w:p w14:paraId="25DD27BA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（2024春•台江区校级期中）手指陀螺如图所示，陀螺上有两个固定点A、B，其中A离转动轴较远。当陀螺转动时，下列说法不正确的是（　　）</w:t>
            </w:r>
          </w:p>
          <w:p w14:paraId="698EB4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133600" cy="2000250"/>
                  <wp:effectExtent l="0" t="0" r="0" b="0"/>
                  <wp:docPr id="152154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41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5CB2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A．A点的周期和B点的周期相等</w:t>
            </w:r>
            <w:r>
              <w:tab/>
            </w:r>
          </w:p>
          <w:p w14:paraId="7139B10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B．A点的角速度和B点的角速度相等</w:t>
            </w:r>
            <w:r>
              <w:tab/>
            </w:r>
          </w:p>
          <w:p w14:paraId="66F4C0F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C．A点的线速度大于B点的线速度</w:t>
            </w:r>
            <w:r>
              <w:tab/>
            </w:r>
          </w:p>
          <w:p w14:paraId="7968E89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D．A点的转速大于B点的转速</w:t>
            </w:r>
          </w:p>
          <w:p w14:paraId="72EB3189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（2024春•顺义区校级期中）如图甲所示，修正带是通过两个齿轮的相互啮合进行工作的，其原理可简化为如图乙所示，下列说法正确的是（　　）</w:t>
            </w:r>
          </w:p>
          <w:p w14:paraId="28DB059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4563110" cy="1552575"/>
                  <wp:effectExtent l="0" t="0" r="8890" b="9525"/>
                  <wp:docPr id="180576447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76447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6D00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A．B点线速度比A点大，是因为B点所在齿轮的半径大</w:t>
            </w:r>
            <w:r>
              <w:tab/>
            </w:r>
          </w:p>
          <w:p w14:paraId="3CC3B90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B．A、B两点线速度大小相等，是因为在相同的时间内A、B两点通过的弧长相等</w:t>
            </w:r>
            <w:r>
              <w:tab/>
            </w:r>
          </w:p>
          <w:p w14:paraId="6B77CFD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C．B点角速度比A点大，是因为在相同时间内B点转过的角度更大</w:t>
            </w:r>
            <w:r>
              <w:tab/>
            </w:r>
          </w:p>
          <w:p w14:paraId="73E8CC8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D．A、B两点角速度大小相等，是因为两齿轮在相同的时间内转过的角度相等</w:t>
            </w:r>
          </w:p>
          <w:p w14:paraId="33CF4DF3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福田区校级期中）炎炎盛夏，人们盼来了一场消减暑气的大雨。雨后雨伞上会沾有雨滴，转动雨伞时边缘的雨滴可视为随伞做水平面的圆周运动，当雨伞的角速度达到某值时，雨滴会从伞面边缘沿圆周切线甩出，如图所示。某同学拟通过该现象估算出雨伞转动的角速度大小，他测出雨伞边缘距离地面的高度h＝1.8m，转动半径R＝0.6m，假设图示雨滴甩出瞬间的速度与雨伞边缘的速度相等，在地面上形成一个“水圈”，“水圈”半径为r，重力加速度大小g＝10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1067F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（1）用R和r表示该雨滴的水平位移大小x；</w:t>
            </w:r>
          </w:p>
          <w:p w14:paraId="78BD3F7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（2）若x＝2.4m，计算该雨滴落地时的速度大小v；</w:t>
            </w:r>
          </w:p>
          <w:p w14:paraId="6010FAF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（3）由（2）的结果计算雨伞转动的角速度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F4504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990090" cy="2118360"/>
                  <wp:effectExtent l="0" t="0" r="10160" b="15240"/>
                  <wp:docPr id="12154919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49192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348" cy="211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10052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（2024春•深圳期中）如图所示，一个半径为R＝0.4m的圆盘浮在水面上。圆盘表面保持水平且与水平道路AB的高度差为h＝0.8m，C、D为圆盘直径边缘的两点。某时刻将小球以一定的初速度v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从B点水平向右抛出，初速度方向与圆盘直径CD在同一竖直平面内，重力加速度g取10m/s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，不计空气阻力，小球可看作质点。求：</w:t>
            </w:r>
          </w:p>
          <w:p w14:paraId="6F0ABC5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（1）若v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＝3m/s，小球恰好能落到圆盘的C点，则B点与圆盘左边缘C点的水平距离x；</w:t>
            </w:r>
          </w:p>
          <w:p w14:paraId="3C8795E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（2）若小球正好落在圆盘的圆心O处，则小球落到O处的速度；</w:t>
            </w:r>
          </w:p>
          <w:p w14:paraId="70722C3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（3）若小球从B点水平抛出的同时，圆盘绕过其圆心O的竖直轴以角速度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Cs w:val="21"/>
              </w:rPr>
              <w:t>匀速转动，要使小球能落到D点，则圆盘转动的角速度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0FB6524">
            <w:pPr>
              <w:spacing w:line="360" w:lineRule="auto"/>
              <w:ind w:left="273" w:leftChars="130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712720" cy="1791970"/>
                  <wp:effectExtent l="0" t="0" r="11430" b="17780"/>
                  <wp:docPr id="200810156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10156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6" cy="179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4E6CFCD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7513875D">
      <w:pPr>
        <w:spacing w:line="360" w:lineRule="auto"/>
        <w:jc w:val="left"/>
      </w:pPr>
      <w:bookmarkStart w:id="0" w:name="_Hlk179017321"/>
      <w:r>
        <w:t>将自行车后轮架起，转动脚踏板，注意观察：大、小两个齿轮边缘上的点，哪个运动得更快些？同一个齿轮上到转轴的距离不同的点，哪个运动得更快些？</w:t>
      </w:r>
    </w:p>
    <w:p w14:paraId="093CE9E8">
      <w:pPr>
        <w:spacing w:line="360" w:lineRule="auto"/>
        <w:jc w:val="center"/>
      </w:pPr>
      <w:r>
        <w:rPr>
          <w:rFonts w:hint="eastAsia"/>
        </w:rPr>
        <w:drawing>
          <wp:inline distT="0" distB="0" distL="0" distR="0">
            <wp:extent cx="3619500" cy="3063240"/>
            <wp:effectExtent l="0" t="0" r="0" b="3810"/>
            <wp:docPr id="923912595" name="图片 3" descr="问题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2595" name="图片 3" descr="问题插图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2B26">
      <w:pPr>
        <w:spacing w:line="360" w:lineRule="auto"/>
        <w:jc w:val="left"/>
      </w:pPr>
      <w:r>
        <w:t>你能说出判断运动快慢的依据吗？</w:t>
      </w:r>
    </w:p>
    <w:p w14:paraId="3908582D">
      <w:pPr>
        <w:spacing w:line="360" w:lineRule="auto"/>
        <w:jc w:val="center"/>
      </w:pPr>
    </w:p>
    <w:bookmarkEnd w:id="0"/>
    <w:p w14:paraId="4DBD9339">
      <w:pPr>
        <w:pStyle w:val="2"/>
        <w:spacing w:line="360" w:lineRule="auto"/>
      </w:pPr>
      <w:r>
        <w:t>考点一 匀速圆周运动</w:t>
      </w:r>
    </w:p>
    <w:p w14:paraId="7CC5CF37">
      <w:pPr>
        <w:pStyle w:val="4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1．圆周运动：物体的运动轨迹是</w:t>
      </w:r>
      <w:r>
        <w:rPr>
          <w:rFonts w:ascii="Times New Roman" w:hAnsi="Times New Roman" w:cs="Times New Roman"/>
          <w:b/>
          <w:color w:val="FF0000"/>
          <w:u w:val="single"/>
        </w:rPr>
        <w:t>圆</w:t>
      </w:r>
      <w:r>
        <w:rPr>
          <w:rFonts w:ascii="Times New Roman" w:hAnsi="Times New Roman" w:cs="Times New Roman"/>
        </w:rPr>
        <w:t>的运动．</w:t>
      </w:r>
    </w:p>
    <w:p w14:paraId="4BAB6532">
      <w:pPr>
        <w:pStyle w:val="4"/>
        <w:snapToGrid w:val="0"/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2．匀速圆周运动</w:t>
      </w:r>
    </w:p>
    <w:p w14:paraId="0955FE84">
      <w:pPr>
        <w:pStyle w:val="4"/>
        <w:snapToGrid w:val="0"/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质点沿圆周运动，如果在相等的时间内通过的</w:t>
      </w:r>
      <w:r>
        <w:rPr>
          <w:rFonts w:ascii="Times New Roman" w:hAnsi="Times New Roman" w:cs="Times New Roman"/>
          <w:b/>
          <w:color w:val="FF0000"/>
          <w:u w:val="single"/>
        </w:rPr>
        <w:t>圆弧长度</w:t>
      </w:r>
      <w:r>
        <w:rPr>
          <w:rFonts w:ascii="Times New Roman" w:hAnsi="Times New Roman" w:cs="Times New Roman"/>
        </w:rPr>
        <w:t>相等，这种运动就叫匀速圆周运动．</w:t>
      </w:r>
    </w:p>
    <w:p w14:paraId="4311CF24">
      <w:pPr>
        <w:pStyle w:val="4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3．匀速圆周运动的特点</w:t>
      </w:r>
    </w:p>
    <w:p w14:paraId="1D4472F8">
      <w:pPr>
        <w:pStyle w:val="4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(1)线速度的大小</w:t>
      </w:r>
      <w:r>
        <w:rPr>
          <w:rFonts w:ascii="Times New Roman" w:hAnsi="Times New Roman" w:cs="Times New Roman"/>
          <w:b/>
          <w:color w:val="FF0000"/>
          <w:u w:val="single"/>
        </w:rPr>
        <w:t>处处相等．</w:t>
      </w:r>
    </w:p>
    <w:p w14:paraId="65FB543B">
      <w:pPr>
        <w:pStyle w:val="4"/>
        <w:snapToGrid w:val="0"/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(2)由于匀速圆周运动的线速度方向时刻在改变，所以它是一种变速运动．这里的“匀速”实质上指的是“匀速率”而不是“匀速度”．</w:t>
      </w:r>
    </w:p>
    <w:p w14:paraId="75DB47DA">
      <w:pPr>
        <w:pStyle w:val="2"/>
        <w:spacing w:line="360" w:lineRule="auto"/>
      </w:pPr>
      <w:r>
        <w:t>考点二 描述圆周运动的物理量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2233"/>
        <w:gridCol w:w="2233"/>
        <w:gridCol w:w="2107"/>
        <w:gridCol w:w="1898"/>
      </w:tblGrid>
      <w:tr w14:paraId="0B8A4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pct"/>
            <w:tcBorders>
              <w:tl2br w:val="single" w:color="auto" w:sz="4" w:space="0"/>
            </w:tcBorders>
            <w:vAlign w:val="center"/>
          </w:tcPr>
          <w:p w14:paraId="78607007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133" w:type="pct"/>
            <w:vAlign w:val="center"/>
          </w:tcPr>
          <w:p w14:paraId="26B6A3DF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线速度</w:t>
            </w:r>
          </w:p>
        </w:tc>
        <w:tc>
          <w:tcPr>
            <w:tcW w:w="1133" w:type="pct"/>
            <w:vAlign w:val="center"/>
          </w:tcPr>
          <w:p w14:paraId="47B96812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角速度</w:t>
            </w:r>
          </w:p>
        </w:tc>
        <w:tc>
          <w:tcPr>
            <w:tcW w:w="1069" w:type="pct"/>
            <w:vAlign w:val="center"/>
          </w:tcPr>
          <w:p w14:paraId="2EDA4E03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周期</w:t>
            </w:r>
          </w:p>
        </w:tc>
        <w:tc>
          <w:tcPr>
            <w:tcW w:w="963" w:type="pct"/>
            <w:vAlign w:val="center"/>
          </w:tcPr>
          <w:p w14:paraId="07EF89E8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转速</w:t>
            </w:r>
          </w:p>
        </w:tc>
      </w:tr>
      <w:tr w14:paraId="4AC3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pct"/>
            <w:vAlign w:val="center"/>
          </w:tcPr>
          <w:p w14:paraId="51F90842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定义、</w:t>
            </w:r>
          </w:p>
          <w:p w14:paraId="59BEB686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意义</w:t>
            </w:r>
          </w:p>
        </w:tc>
        <w:tc>
          <w:tcPr>
            <w:tcW w:w="1133" w:type="pct"/>
            <w:vAlign w:val="center"/>
          </w:tcPr>
          <w:p w14:paraId="046D17C3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描述圆周运动的物体</w:t>
            </w:r>
            <w:r>
              <w:rPr>
                <w:rFonts w:ascii="Times New Roman" w:hAnsi="Times New Roman" w:cs="Times New Roman"/>
                <w:b/>
                <w:color w:val="FF0000"/>
                <w:u w:val="single"/>
              </w:rPr>
              <w:t>运动快慢</w:t>
            </w:r>
            <w:r>
              <w:rPr>
                <w:rFonts w:ascii="Times New Roman" w:hAnsi="Times New Roman" w:cs="Times New Roman"/>
              </w:rPr>
              <w:t>的物理量</w:t>
            </w:r>
          </w:p>
        </w:tc>
        <w:tc>
          <w:tcPr>
            <w:tcW w:w="1133" w:type="pct"/>
            <w:vAlign w:val="center"/>
          </w:tcPr>
          <w:p w14:paraId="68354896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描述物体绕圆心</w:t>
            </w:r>
            <w:r>
              <w:rPr>
                <w:rFonts w:ascii="Times New Roman" w:hAnsi="Times New Roman" w:cs="Times New Roman"/>
                <w:b/>
                <w:color w:val="FF0000"/>
                <w:u w:val="single"/>
              </w:rPr>
              <w:t>转动快慢</w:t>
            </w:r>
            <w:r>
              <w:rPr>
                <w:rFonts w:ascii="Times New Roman" w:hAnsi="Times New Roman" w:cs="Times New Roman"/>
              </w:rPr>
              <w:t>的物理量</w:t>
            </w:r>
          </w:p>
        </w:tc>
        <w:tc>
          <w:tcPr>
            <w:tcW w:w="1069" w:type="pct"/>
            <w:vAlign w:val="center"/>
          </w:tcPr>
          <w:p w14:paraId="5F2E9DE6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物体沿圆周</w:t>
            </w:r>
            <w:r>
              <w:rPr>
                <w:rFonts w:ascii="Times New Roman" w:hAnsi="Times New Roman" w:cs="Times New Roman"/>
                <w:b/>
                <w:color w:val="FF0000"/>
                <w:u w:val="single"/>
              </w:rPr>
              <w:t>一周</w:t>
            </w:r>
            <w:r>
              <w:rPr>
                <w:rFonts w:ascii="Times New Roman" w:hAnsi="Times New Roman" w:cs="Times New Roman"/>
              </w:rPr>
              <w:t>所用的时间</w:t>
            </w:r>
          </w:p>
        </w:tc>
        <w:tc>
          <w:tcPr>
            <w:tcW w:w="963" w:type="pct"/>
            <w:vAlign w:val="center"/>
          </w:tcPr>
          <w:p w14:paraId="1A6C609E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物体单位时间内转过的</w:t>
            </w:r>
            <w:r>
              <w:rPr>
                <w:rFonts w:ascii="Times New Roman" w:hAnsi="Times New Roman" w:cs="Times New Roman"/>
                <w:b/>
                <w:color w:val="FF0000"/>
                <w:u w:val="single"/>
              </w:rPr>
              <w:t>圈数</w:t>
            </w:r>
          </w:p>
        </w:tc>
      </w:tr>
      <w:tr w14:paraId="06B05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pct"/>
            <w:vAlign w:val="center"/>
          </w:tcPr>
          <w:p w14:paraId="3ED36C1A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矢量、</w:t>
            </w:r>
          </w:p>
          <w:p w14:paraId="4FE6E867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标量</w:t>
            </w:r>
          </w:p>
        </w:tc>
        <w:tc>
          <w:tcPr>
            <w:tcW w:w="1133" w:type="pct"/>
            <w:vAlign w:val="center"/>
          </w:tcPr>
          <w:p w14:paraId="686E91C8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是矢量，方向和半径</w:t>
            </w:r>
            <w:r>
              <w:rPr>
                <w:rFonts w:ascii="Times New Roman" w:hAnsi="Times New Roman" w:cs="Times New Roman"/>
                <w:b/>
                <w:color w:val="FF0000"/>
                <w:u w:val="single"/>
              </w:rPr>
              <w:t>垂直</w:t>
            </w:r>
            <w:r>
              <w:rPr>
                <w:rFonts w:ascii="Times New Roman" w:hAnsi="Times New Roman" w:cs="Times New Roman"/>
              </w:rPr>
              <w:t>，和圆弧</w:t>
            </w:r>
            <w:r>
              <w:rPr>
                <w:rFonts w:ascii="Times New Roman" w:hAnsi="Times New Roman" w:cs="Times New Roman"/>
                <w:b/>
                <w:color w:val="FF0000"/>
                <w:u w:val="single"/>
              </w:rPr>
              <w:t>相切</w:t>
            </w:r>
          </w:p>
        </w:tc>
        <w:tc>
          <w:tcPr>
            <w:tcW w:w="1133" w:type="pct"/>
            <w:vAlign w:val="center"/>
          </w:tcPr>
          <w:p w14:paraId="74DB81BD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有方向，但中学阶段不研究</w:t>
            </w:r>
          </w:p>
        </w:tc>
        <w:tc>
          <w:tcPr>
            <w:tcW w:w="1069" w:type="pct"/>
            <w:vAlign w:val="center"/>
          </w:tcPr>
          <w:p w14:paraId="240D38EE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标量、无方向</w:t>
            </w:r>
          </w:p>
        </w:tc>
        <w:tc>
          <w:tcPr>
            <w:tcW w:w="963" w:type="pct"/>
            <w:vAlign w:val="center"/>
          </w:tcPr>
          <w:p w14:paraId="2A4DD34F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标量、无方向</w:t>
            </w:r>
          </w:p>
        </w:tc>
      </w:tr>
      <w:tr w14:paraId="2575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pct"/>
            <w:vAlign w:val="center"/>
          </w:tcPr>
          <w:p w14:paraId="360CBB74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lang w:val="pl-PL"/>
              </w:rPr>
            </w:pPr>
            <w:r>
              <w:rPr>
                <w:rFonts w:ascii="Times New Roman" w:hAnsi="Times New Roman" w:cs="Times New Roman"/>
              </w:rPr>
              <w:t>公式</w:t>
            </w:r>
          </w:p>
        </w:tc>
        <w:tc>
          <w:tcPr>
            <w:tcW w:w="1133" w:type="pct"/>
            <w:vAlign w:val="center"/>
          </w:tcPr>
          <w:p w14:paraId="671A76B8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  <w:lang w:val="pl-PL"/>
              </w:rPr>
            </w:pPr>
            <w:r>
              <w:drawing>
                <wp:inline distT="0" distB="0" distL="0" distR="0">
                  <wp:extent cx="1162050" cy="993140"/>
                  <wp:effectExtent l="0" t="0" r="0" b="16510"/>
                  <wp:docPr id="9105932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5932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070" cy="99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018C6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  <w:lang w:val="pl-PL"/>
              </w:rPr>
            </w:pPr>
            <w:r>
              <w:rPr>
                <w:rFonts w:ascii="Times New Roman" w:hAnsi="Times New Roman" w:cs="Times New Roman"/>
                <w:i/>
                <w:lang w:val="pl-PL"/>
              </w:rPr>
              <w:t>v</w:t>
            </w:r>
            <w:r>
              <w:rPr>
                <w:rFonts w:ascii="Times New Roman" w:hAnsi="Times New Roman" w:cs="Times New Roman"/>
                <w:lang w:val="pl-PL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  <w:lang w:val="pl-PL"/>
              </w:rPr>
              <w:instrText xml:space="preserve">eq \f(</w:instrText>
            </w:r>
            <w:r>
              <w:rPr>
                <w:rFonts w:ascii="Times New Roman" w:hAnsi="Times New Roman" w:cs="Times New Roman"/>
              </w:rPr>
              <w:instrText xml:space="preserve">Δ</w:instrText>
            </w:r>
            <w:r>
              <w:rPr>
                <w:rFonts w:ascii="Times New Roman" w:hAnsi="Times New Roman" w:cs="Times New Roman"/>
                <w:i/>
                <w:lang w:val="pl-PL"/>
              </w:rPr>
              <w:instrText xml:space="preserve">s,</w:instrText>
            </w:r>
            <w:r>
              <w:rPr>
                <w:rFonts w:ascii="Times New Roman" w:hAnsi="Times New Roman" w:cs="Times New Roman"/>
              </w:rPr>
              <w:instrText xml:space="preserve">Δ</w:instrText>
            </w:r>
            <w:r>
              <w:rPr>
                <w:rFonts w:ascii="Times New Roman" w:hAnsi="Times New Roman" w:cs="Times New Roman"/>
                <w:i/>
                <w:lang w:val="pl-PL"/>
              </w:rPr>
              <w:instrText xml:space="preserve">t</w:instrText>
            </w:r>
            <w:r>
              <w:rPr>
                <w:rFonts w:ascii="Times New Roman" w:hAnsi="Times New Roman" w:cs="Times New Roman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lang w:val="pl-PL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  <w:lang w:val="pl-PL"/>
              </w:rPr>
              <w:instrText xml:space="preserve">eq \f(2</w:instrText>
            </w:r>
            <w:r>
              <w:rPr>
                <w:rFonts w:ascii="Times New Roman" w:hAnsi="Times New Roman" w:cs="Times New Roman"/>
              </w:rPr>
              <w:instrText xml:space="preserve">π</w:instrText>
            </w:r>
            <w:r>
              <w:rPr>
                <w:rFonts w:ascii="Times New Roman" w:hAnsi="Times New Roman" w:cs="Times New Roman"/>
                <w:i/>
                <w:lang w:val="pl-PL"/>
              </w:rPr>
              <w:instrText xml:space="preserve">r,T</w:instrText>
            </w:r>
            <w:r>
              <w:rPr>
                <w:rFonts w:ascii="Times New Roman" w:hAnsi="Times New Roman" w:cs="Times New Roman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33" w:type="pct"/>
            <w:vAlign w:val="center"/>
          </w:tcPr>
          <w:p w14:paraId="59367900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drawing>
                <wp:inline distT="0" distB="0" distL="0" distR="0">
                  <wp:extent cx="869950" cy="717550"/>
                  <wp:effectExtent l="0" t="0" r="6350" b="6350"/>
                  <wp:docPr id="5869360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9360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065" cy="71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3048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  <w:lang w:val="pl-PL"/>
              </w:rPr>
            </w:pPr>
            <w:r>
              <w:rPr>
                <w:rFonts w:ascii="Times New Roman" w:hAnsi="Times New Roman" w:cs="Times New Roman"/>
                <w:i/>
              </w:rPr>
              <w:t>ω</w:t>
            </w:r>
            <w:r>
              <w:rPr>
                <w:rFonts w:ascii="Times New Roman" w:hAnsi="Times New Roman" w:cs="Times New Roman"/>
                <w:lang w:val="pl-PL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  <w:lang w:val="pl-PL"/>
              </w:rPr>
              <w:instrText xml:space="preserve">eq \f(</w:instrText>
            </w:r>
            <w:r>
              <w:rPr>
                <w:rFonts w:ascii="Times New Roman" w:hAnsi="Times New Roman" w:cs="Times New Roman"/>
              </w:rPr>
              <w:instrText xml:space="preserve">Δ</w:instrText>
            </w:r>
            <w:r>
              <w:rPr>
                <w:rFonts w:ascii="Times New Roman" w:hAnsi="Times New Roman" w:cs="Times New Roman"/>
                <w:i/>
              </w:rPr>
              <w:instrText xml:space="preserve">θ</w:instrText>
            </w:r>
            <w:r>
              <w:rPr>
                <w:rFonts w:ascii="Times New Roman" w:hAnsi="Times New Roman" w:cs="Times New Roman"/>
                <w:i/>
                <w:lang w:val="pl-PL"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Δ</w:instrText>
            </w:r>
            <w:r>
              <w:rPr>
                <w:rFonts w:ascii="Times New Roman" w:hAnsi="Times New Roman" w:cs="Times New Roman"/>
                <w:i/>
                <w:lang w:val="pl-PL"/>
              </w:rPr>
              <w:instrText xml:space="preserve">t</w:instrText>
            </w:r>
            <w:r>
              <w:rPr>
                <w:rFonts w:ascii="Times New Roman" w:hAnsi="Times New Roman" w:cs="Times New Roman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lang w:val="pl-PL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  <w:lang w:val="pl-PL"/>
              </w:rPr>
              <w:instrText xml:space="preserve">eq \f(2</w:instrText>
            </w:r>
            <w:r>
              <w:rPr>
                <w:rFonts w:ascii="Times New Roman" w:hAnsi="Times New Roman" w:cs="Times New Roman"/>
              </w:rPr>
              <w:instrText xml:space="preserve">π</w:instrText>
            </w:r>
            <w:r>
              <w:rPr>
                <w:rFonts w:ascii="Times New Roman" w:hAnsi="Times New Roman" w:cs="Times New Roman"/>
                <w:i/>
                <w:lang w:val="pl-PL"/>
              </w:rPr>
              <w:instrText xml:space="preserve">,T</w:instrText>
            </w:r>
            <w:r>
              <w:rPr>
                <w:rFonts w:ascii="Times New Roman" w:hAnsi="Times New Roman" w:cs="Times New Roman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069" w:type="pct"/>
            <w:vAlign w:val="center"/>
          </w:tcPr>
          <w:p w14:paraId="0EA01785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i/>
                <w:lang w:val="pl-PL"/>
              </w:rPr>
              <w:t>T</w:t>
            </w:r>
            <w:r>
              <w:rPr>
                <w:rFonts w:ascii="Times New Roman" w:hAnsi="Times New Roman" w:cs="Times New Roman"/>
                <w:lang w:val="pl-PL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  <w:lang w:val="pl-PL"/>
              </w:rPr>
              <w:instrText xml:space="preserve">eq \f(2</w:instrText>
            </w:r>
            <w:r>
              <w:rPr>
                <w:rFonts w:ascii="Times New Roman" w:hAnsi="Times New Roman" w:cs="Times New Roman"/>
              </w:rPr>
              <w:instrText xml:space="preserve">π</w:instrText>
            </w:r>
            <w:r>
              <w:rPr>
                <w:rFonts w:ascii="Times New Roman" w:hAnsi="Times New Roman" w:cs="Times New Roman"/>
                <w:i/>
                <w:lang w:val="pl-PL"/>
              </w:rPr>
              <w:instrText xml:space="preserve">r,v</w:instrText>
            </w:r>
            <w:r>
              <w:rPr>
                <w:rFonts w:ascii="Times New Roman" w:hAnsi="Times New Roman" w:cs="Times New Roman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\f(2π</w:instrText>
            </w:r>
            <w:r>
              <w:rPr>
                <w:rFonts w:ascii="Times New Roman" w:hAnsi="Times New Roman" w:cs="Times New Roman"/>
                <w:i/>
              </w:rPr>
              <w:instrText xml:space="preserve">,ω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963" w:type="pct"/>
            <w:vAlign w:val="center"/>
          </w:tcPr>
          <w:p w14:paraId="2EB3093B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\f(转过圈数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所用时间)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14:paraId="7F4B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pct"/>
            <w:vAlign w:val="center"/>
          </w:tcPr>
          <w:p w14:paraId="391C911D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单位</w:t>
            </w:r>
          </w:p>
        </w:tc>
        <w:tc>
          <w:tcPr>
            <w:tcW w:w="1133" w:type="pct"/>
            <w:vAlign w:val="center"/>
          </w:tcPr>
          <w:p w14:paraId="17F7C53A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m/s</w:t>
            </w:r>
          </w:p>
        </w:tc>
        <w:tc>
          <w:tcPr>
            <w:tcW w:w="1133" w:type="pct"/>
            <w:vAlign w:val="center"/>
          </w:tcPr>
          <w:p w14:paraId="175604AF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color w:val="FF0000"/>
                <w:u w:val="single"/>
              </w:rPr>
              <w:t>rad/s</w:t>
            </w:r>
          </w:p>
        </w:tc>
        <w:tc>
          <w:tcPr>
            <w:tcW w:w="1069" w:type="pct"/>
            <w:vAlign w:val="center"/>
          </w:tcPr>
          <w:p w14:paraId="59FE7368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963" w:type="pct"/>
            <w:vAlign w:val="center"/>
          </w:tcPr>
          <w:p w14:paraId="119E41B6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r/s、r/min</w:t>
            </w:r>
          </w:p>
        </w:tc>
      </w:tr>
      <w:tr w14:paraId="308D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pct"/>
            <w:vAlign w:val="center"/>
          </w:tcPr>
          <w:p w14:paraId="15B70A89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相互</w:t>
            </w:r>
          </w:p>
          <w:p w14:paraId="2A1BE2CB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关系</w:t>
            </w:r>
          </w:p>
        </w:tc>
        <w:tc>
          <w:tcPr>
            <w:tcW w:w="4298" w:type="pct"/>
            <w:gridSpan w:val="4"/>
            <w:vAlign w:val="center"/>
          </w:tcPr>
          <w:p w14:paraId="0AD841FE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(1)</w:t>
            </w:r>
            <w:r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rω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\f(2π</w:instrText>
            </w:r>
            <w:r>
              <w:rPr>
                <w:rFonts w:ascii="Times New Roman" w:hAnsi="Times New Roman" w:cs="Times New Roman"/>
                <w:i/>
              </w:rPr>
              <w:instrText xml:space="preserve">r,T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＝2π</w:t>
            </w:r>
            <w:r>
              <w:rPr>
                <w:rFonts w:ascii="Times New Roman" w:hAnsi="Times New Roman" w:cs="Times New Roman"/>
                <w:i/>
              </w:rPr>
              <w:t>rn</w:t>
            </w:r>
          </w:p>
          <w:p w14:paraId="25686240">
            <w:pPr>
              <w:pStyle w:val="4"/>
              <w:tabs>
                <w:tab w:val="left" w:pos="4140"/>
                <w:tab w:val="left" w:pos="630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,n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1E94DF9F">
      <w:pPr>
        <w:pStyle w:val="3"/>
        <w:spacing w:line="360" w:lineRule="auto"/>
      </w:pPr>
      <w:r>
        <w:t>技巧归纳：</w:t>
      </w:r>
      <w:r>
        <w:rPr>
          <w:i/>
        </w:rPr>
        <w:t>v</w:t>
      </w:r>
      <w:r>
        <w:t>、</w:t>
      </w:r>
      <w:r>
        <w:rPr>
          <w:i/>
        </w:rPr>
        <w:t>ω</w:t>
      </w:r>
      <w:r>
        <w:t>及</w:t>
      </w:r>
      <w:r>
        <w:rPr>
          <w:i/>
        </w:rPr>
        <w:t>r</w:t>
      </w:r>
      <w:r>
        <w:t>间的关系</w:t>
      </w:r>
    </w:p>
    <w:p w14:paraId="50539122">
      <w:pPr>
        <w:pStyle w:val="4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ωr</w:t>
      </w:r>
      <w:r>
        <w:rPr>
          <w:rFonts w:ascii="Times New Roman" w:hAnsi="Times New Roman" w:cs="Times New Roman"/>
        </w:rPr>
        <w:t>知，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一定时，</w:t>
      </w:r>
      <w:r>
        <w:rPr>
          <w:rFonts w:ascii="Times New Roman" w:hAnsi="Times New Roman" w:cs="Times New Roman"/>
          <w:i/>
        </w:rPr>
        <w:t>v</w:t>
      </w:r>
      <w:r>
        <w:rPr>
          <w:rFonts w:hint="eastAsia" w:hAnsi="宋体" w:cs="宋体"/>
        </w:rPr>
        <w:t>∝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一定时，</w:t>
      </w:r>
      <w:r>
        <w:rPr>
          <w:rFonts w:ascii="Times New Roman" w:hAnsi="Times New Roman" w:cs="Times New Roman"/>
          <w:i/>
        </w:rPr>
        <w:t>v</w:t>
      </w:r>
      <w:r>
        <w:rPr>
          <w:rFonts w:hint="eastAsia" w:hAnsi="宋体" w:cs="宋体"/>
        </w:rPr>
        <w:t>∝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间的关系如图</w:t>
      </w:r>
    </w:p>
    <w:p w14:paraId="30F3A2F0">
      <w:pPr>
        <w:pStyle w:val="4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70405" cy="827405"/>
            <wp:effectExtent l="0" t="0" r="10795" b="10795"/>
            <wp:docPr id="480167564" name="图片 5" descr="2015-71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7564" name="图片 5" descr="2015-71A.tif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A602">
      <w:pPr>
        <w:pStyle w:val="4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(2)由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v,r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知，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一定时，</w:t>
      </w:r>
      <w:r>
        <w:rPr>
          <w:rFonts w:ascii="Times New Roman" w:hAnsi="Times New Roman" w:cs="Times New Roman"/>
          <w:i/>
        </w:rPr>
        <w:t>ω</w:t>
      </w:r>
      <w:r>
        <w:rPr>
          <w:rFonts w:hint="eastAsia" w:hAnsi="宋体" w:cs="宋体"/>
        </w:rPr>
        <w:t>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,r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间的关系如图</w:t>
      </w:r>
    </w:p>
    <w:p w14:paraId="3C4F569C">
      <w:pPr>
        <w:pStyle w:val="4"/>
        <w:tabs>
          <w:tab w:val="left" w:pos="4140"/>
          <w:tab w:val="left" w:pos="6300"/>
        </w:tabs>
        <w:snapToGrid w:val="0"/>
        <w:spacing w:line="360" w:lineRule="auto"/>
        <w:ind w:firstLine="48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981200" cy="794385"/>
            <wp:effectExtent l="0" t="0" r="0" b="5715"/>
            <wp:docPr id="1057851553" name="图片 4" descr="2015-72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51553" name="图片 4" descr="2015-72A.tif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88BA">
      <w:pPr>
        <w:pStyle w:val="4"/>
        <w:tabs>
          <w:tab w:val="left" w:pos="4140"/>
          <w:tab w:val="left" w:pos="6300"/>
        </w:tabs>
        <w:snapToGrid w:val="0"/>
        <w:spacing w:line="360" w:lineRule="auto"/>
        <w:ind w:firstLine="480" w:firstLineChars="200"/>
        <w:jc w:val="center"/>
        <w:rPr>
          <w:rFonts w:ascii="Times New Roman" w:hAnsi="Times New Roman" w:cs="Times New Roman"/>
          <w:sz w:val="24"/>
          <w:szCs w:val="24"/>
        </w:rPr>
      </w:pPr>
    </w:p>
    <w:p w14:paraId="7E500D26">
      <w:pPr>
        <w:pStyle w:val="2"/>
        <w:spacing w:line="360" w:lineRule="auto"/>
      </w:pPr>
      <w:r>
        <w:t>考点三、常见的传动装置及其特点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2426"/>
        <w:gridCol w:w="3059"/>
        <w:gridCol w:w="3246"/>
      </w:tblGrid>
      <w:tr w14:paraId="6161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70" w:type="pct"/>
            <w:vAlign w:val="center"/>
          </w:tcPr>
          <w:p w14:paraId="601562B0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31" w:type="pct"/>
            <w:vAlign w:val="center"/>
          </w:tcPr>
          <w:p w14:paraId="2F77EBC1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同轴传动</w:t>
            </w:r>
          </w:p>
        </w:tc>
        <w:tc>
          <w:tcPr>
            <w:tcW w:w="1552" w:type="pct"/>
            <w:vAlign w:val="center"/>
          </w:tcPr>
          <w:p w14:paraId="269C2195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皮带传动</w:t>
            </w:r>
          </w:p>
        </w:tc>
        <w:tc>
          <w:tcPr>
            <w:tcW w:w="1647" w:type="pct"/>
            <w:vAlign w:val="center"/>
          </w:tcPr>
          <w:p w14:paraId="4EC11C22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齿轮传动</w:t>
            </w:r>
          </w:p>
        </w:tc>
      </w:tr>
      <w:tr w14:paraId="629B6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4" w:hRule="atLeast"/>
          <w:jc w:val="center"/>
        </w:trPr>
        <w:tc>
          <w:tcPr>
            <w:tcW w:w="570" w:type="pct"/>
            <w:vAlign w:val="center"/>
          </w:tcPr>
          <w:p w14:paraId="64CA7B3D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装置</w:t>
            </w:r>
          </w:p>
        </w:tc>
        <w:tc>
          <w:tcPr>
            <w:tcW w:w="1231" w:type="pct"/>
            <w:vAlign w:val="center"/>
          </w:tcPr>
          <w:p w14:paraId="46E6CA4C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两点在同轴的一个圆盘上</w:t>
            </w:r>
          </w:p>
          <w:p w14:paraId="1EEB981C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588010" cy="664210"/>
                  <wp:effectExtent l="0" t="0" r="2540" b="2540"/>
                  <wp:docPr id="137282970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82970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10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2" w:type="pct"/>
            <w:vAlign w:val="center"/>
          </w:tcPr>
          <w:p w14:paraId="4F371D1F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两个轮子用皮带连接，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两点分别是两个轮子边缘的点</w:t>
            </w:r>
          </w:p>
          <w:p w14:paraId="10651BE3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870585" cy="424815"/>
                  <wp:effectExtent l="0" t="0" r="5715" b="13335"/>
                  <wp:docPr id="147752745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52745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42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7" w:type="pct"/>
            <w:vAlign w:val="center"/>
          </w:tcPr>
          <w:p w14:paraId="11EB7CFA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两个齿轮轮齿啮合，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两点分别是两个齿轮边缘上的点</w:t>
            </w:r>
          </w:p>
          <w:p w14:paraId="12264E6D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762000" cy="522605"/>
                  <wp:effectExtent l="0" t="0" r="0" b="10795"/>
                  <wp:docPr id="13506131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613179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CE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70" w:type="pct"/>
            <w:vAlign w:val="center"/>
          </w:tcPr>
          <w:p w14:paraId="7F307B56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特点</w:t>
            </w:r>
          </w:p>
        </w:tc>
        <w:tc>
          <w:tcPr>
            <w:tcW w:w="1231" w:type="pct"/>
            <w:vAlign w:val="center"/>
          </w:tcPr>
          <w:p w14:paraId="01F88C61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角速度、周期相同</w:t>
            </w:r>
          </w:p>
        </w:tc>
        <w:tc>
          <w:tcPr>
            <w:tcW w:w="1552" w:type="pct"/>
            <w:vAlign w:val="center"/>
          </w:tcPr>
          <w:p w14:paraId="372E1BB6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线速度大小相同</w:t>
            </w:r>
          </w:p>
        </w:tc>
        <w:tc>
          <w:tcPr>
            <w:tcW w:w="1647" w:type="pct"/>
            <w:vAlign w:val="center"/>
          </w:tcPr>
          <w:p w14:paraId="7EE9F0FA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线速度大小相同</w:t>
            </w:r>
          </w:p>
        </w:tc>
      </w:tr>
      <w:tr w14:paraId="553A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70" w:type="pct"/>
            <w:vAlign w:val="center"/>
          </w:tcPr>
          <w:p w14:paraId="6796AF94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转动方向</w:t>
            </w:r>
          </w:p>
        </w:tc>
        <w:tc>
          <w:tcPr>
            <w:tcW w:w="1231" w:type="pct"/>
            <w:vAlign w:val="center"/>
          </w:tcPr>
          <w:p w14:paraId="1ADAC05F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相同</w:t>
            </w:r>
          </w:p>
        </w:tc>
        <w:tc>
          <w:tcPr>
            <w:tcW w:w="1552" w:type="pct"/>
            <w:vAlign w:val="center"/>
          </w:tcPr>
          <w:p w14:paraId="5512BCCD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相同</w:t>
            </w:r>
          </w:p>
        </w:tc>
        <w:tc>
          <w:tcPr>
            <w:tcW w:w="1647" w:type="pct"/>
            <w:vAlign w:val="center"/>
          </w:tcPr>
          <w:p w14:paraId="4AE1D878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相反</w:t>
            </w:r>
          </w:p>
        </w:tc>
      </w:tr>
      <w:tr w14:paraId="272FF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  <w:jc w:val="center"/>
        </w:trPr>
        <w:tc>
          <w:tcPr>
            <w:tcW w:w="570" w:type="pct"/>
            <w:vAlign w:val="center"/>
          </w:tcPr>
          <w:p w14:paraId="3688E637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规律</w:t>
            </w:r>
          </w:p>
        </w:tc>
        <w:tc>
          <w:tcPr>
            <w:tcW w:w="1231" w:type="pct"/>
            <w:vAlign w:val="center"/>
          </w:tcPr>
          <w:p w14:paraId="3CF4A359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线速度与半径成正比：</w:t>
            </w:r>
          </w:p>
          <w:p w14:paraId="102B5F3B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iCs/>
              </w:rPr>
              <w:fldChar w:fldCharType="begin"/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eq \f(v</w:instrText>
            </w:r>
            <w:r>
              <w:rPr>
                <w:rFonts w:ascii="Times New Roman" w:hAnsi="Times New Roman" w:cs="Times New Roman"/>
                <w:i/>
                <w:iCs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,v</w:instrText>
            </w:r>
            <w:r>
              <w:rPr>
                <w:rFonts w:ascii="Times New Roman" w:hAnsi="Times New Roman" w:cs="Times New Roman"/>
                <w:i/>
                <w:iCs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iCs/>
              </w:rPr>
              <w:fldChar w:fldCharType="end"/>
            </w:r>
            <w:r>
              <w:rPr>
                <w:rFonts w:ascii="Times New Roman" w:hAnsi="Times New Roman" w:cs="Times New Roman"/>
                <w:i/>
                <w:iCs/>
              </w:rPr>
              <w:t>＝</w:t>
            </w:r>
            <w:r>
              <w:rPr>
                <w:rFonts w:ascii="Times New Roman" w:hAnsi="Times New Roman" w:cs="Times New Roman"/>
                <w:i/>
                <w:iCs/>
              </w:rPr>
              <w:fldChar w:fldCharType="begin"/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eq \f(r,R)</w:instrText>
            </w:r>
            <w:r>
              <w:rPr>
                <w:rFonts w:ascii="Times New Roman" w:hAnsi="Times New Roman" w:cs="Times New Roman"/>
                <w:i/>
                <w:iCs/>
              </w:rPr>
              <w:fldChar w:fldCharType="end"/>
            </w:r>
          </w:p>
        </w:tc>
        <w:tc>
          <w:tcPr>
            <w:tcW w:w="1552" w:type="pct"/>
            <w:vAlign w:val="center"/>
          </w:tcPr>
          <w:p w14:paraId="3FC03203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角速度与半径成反比：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ω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</w:rPr>
              <w:instrText xml:space="preserve">,ω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r,R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。周期与半径成正比：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T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</w:rPr>
              <w:instrText xml:space="preserve">,T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R,r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647" w:type="pct"/>
            <w:vAlign w:val="center"/>
          </w:tcPr>
          <w:p w14:paraId="4B4B6A0A"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角速度与半径成反比：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ω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</w:rPr>
              <w:instrText xml:space="preserve">,ω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r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</w:rPr>
              <w:instrText xml:space="preserve">,r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。周期与半径成正比：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T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</w:rPr>
              <w:instrText xml:space="preserve">,T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r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,r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4CB11E9B">
      <w:pPr>
        <w:pStyle w:val="4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bookmarkStart w:id="1" w:name="_Hlk179017383"/>
    </w:p>
    <w:bookmarkEnd w:id="1"/>
    <w:p w14:paraId="3538AF5D"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6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6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6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6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6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6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973E8"/>
    <w:multiLevelType w:val="multilevel"/>
    <w:tmpl w:val="015973E8"/>
    <w:lvl w:ilvl="0" w:tentative="0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24F3FD6"/>
    <w:multiLevelType w:val="multilevel"/>
    <w:tmpl w:val="324F3FD6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25F435AC"/>
    <w:rsid w:val="4A9C31C7"/>
    <w:rsid w:val="4B510F93"/>
    <w:rsid w:val="4ED36ED1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纯文本_0"/>
    <w:basedOn w:val="1"/>
    <w:qFormat/>
    <w:uiPriority w:val="0"/>
    <w:pPr>
      <w:spacing w:after="200" w:line="276" w:lineRule="auto"/>
    </w:pPr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</Words>
  <Characters>80</Characters>
  <Lines>0</Lines>
  <Paragraphs>0</Paragraphs>
  <TotalTime>3</TotalTime>
  <ScaleCrop>false</ScaleCrop>
  <LinksUpToDate>false</LinksUpToDate>
  <CharactersWithSpaces>120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2024-11-20T02:55:34Z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A056820DF1DC480C9F73C2DEA27AB74C_13</vt:lpwstr>
  </property>
</Properties>
</file>