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56B"/>
          <w:sz w:val="44"/>
        </w:rPr>
        <w:t>TSA FLIGHT LINE APP</w:t>
      </w:r>
    </w:p>
    <w:p>
      <w:pPr>
        <w:jc w:val="center"/>
      </w:pPr>
      <w:r>
        <w:rPr>
          <w:b/>
          <w:color w:val="1A356B"/>
          <w:sz w:val="30"/>
        </w:rPr>
        <w:t>Board of Directors TestFlight Onboarding &amp; Dummy Test Account Guide</w:t>
      </w:r>
    </w:p>
    <w:p>
      <w:pPr>
        <w:jc w:val="center"/>
      </w:pPr>
      <w:r>
        <w:rPr>
          <w:i/>
          <w:color w:val="555555"/>
          <w:sz w:val="22"/>
        </w:rPr>
        <w:t>Version 1 — 2026-08-03</w:t>
      </w:r>
    </w:p>
    <w:p/>
    <w:p>
      <w:pPr>
        <w:pStyle w:val="Heading1"/>
      </w:pPr>
      <w:r>
        <w:t>1. Purpose</w:t>
      </w:r>
    </w:p>
    <w:p>
      <w:r>
        <w:t>Robin has been asked to present the app to the Board of Directors. This guide covers two connected pieces of prep: getting every board member onto TestFlight as a tester with a working login, and setting up a small, permanent set of dummy accounts to safely demonstrate the no-tow block and the 90-day glider currency requirement. The dummy accounts are not one-time test fixtures — by agreement, they stay in the system permanently for future testing.</w:t>
      </w:r>
    </w:p>
    <w:p>
      <w:pPr>
        <w:pStyle w:val="Heading1"/>
      </w:pPr>
      <w:r>
        <w:t>2. Dummy / Test Account Numbering Convention</w:t>
      </w:r>
    </w:p>
    <w:p>
      <w:r>
        <w:t>TSA member numbers already follow a structured schema that the app reads at sync/import time (see Tech Spec Section 2.9). Dummy accounts need their own reserved range so they can never be confused with a real member number, now or as the club's real numbering grows: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Range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0001 – 2999</w:t>
            </w:r>
          </w:p>
        </w:tc>
        <w:tc>
          <w:tcPr>
            <w:tcW w:type="dxa" w:w="2880"/>
          </w:tcPr>
          <w:p>
            <w:r/>
            <w:r>
              <w:t>Regular adult flying members</w:t>
            </w:r>
          </w:p>
        </w:tc>
        <w:tc>
          <w:tcPr>
            <w:tcW w:type="dxa" w:w="2880"/>
          </w:tcPr>
          <w:p>
            <w:r/>
            <w:r>
              <w:t>Existing — standard 4-digit member numbers</w:t>
            </w:r>
          </w:p>
        </w:tc>
      </w:tr>
      <w:tr>
        <w:tc>
          <w:tcPr>
            <w:tcW w:type="dxa" w:w="2880"/>
          </w:tcPr>
          <w:p>
            <w:r/>
            <w:r>
              <w:t>3000 – 3299</w:t>
            </w:r>
          </w:p>
        </w:tc>
        <w:tc>
          <w:tcPr>
            <w:tcW w:type="dxa" w:w="2880"/>
          </w:tcPr>
          <w:p>
            <w:r/>
            <w:r>
              <w:t>Youth members</w:t>
            </w:r>
          </w:p>
        </w:tc>
        <w:tc>
          <w:tcPr>
            <w:tcW w:type="dxa" w:w="2880"/>
          </w:tcPr>
          <w:p>
            <w:r/>
            <w:r>
              <w:t>Existing — isYouthMember derived at sync time</w:t>
            </w:r>
          </w:p>
        </w:tc>
      </w:tr>
      <w:tr>
        <w:tc>
          <w:tcPr>
            <w:tcW w:type="dxa" w:w="2880"/>
          </w:tcPr>
          <w:p>
            <w:r/>
            <w:r>
              <w:t>3300</w:t>
            </w:r>
          </w:p>
        </w:tc>
        <w:tc>
          <w:tcPr>
            <w:tcW w:type="dxa" w:w="2880"/>
          </w:tcPr>
          <w:p>
            <w:r/>
            <w:r>
              <w:t>Demo ride billing account</w:t>
            </w:r>
          </w:p>
        </w:tc>
        <w:tc>
          <w:tcPr>
            <w:tcW w:type="dxa" w:w="2880"/>
          </w:tcPr>
          <w:p>
            <w:r/>
            <w:r>
              <w:t>Existing — not a login account, billing reference only</w:t>
            </w:r>
          </w:p>
        </w:tc>
      </w:tr>
      <w:tr>
        <w:tc>
          <w:tcPr>
            <w:tcW w:type="dxa" w:w="2880"/>
          </w:tcPr>
          <w:p>
            <w:r/>
            <w:r>
              <w:t>9000 – 9099</w:t>
            </w:r>
          </w:p>
        </w:tc>
        <w:tc>
          <w:tcPr>
            <w:tcW w:type="dxa" w:w="2880"/>
          </w:tcPr>
          <w:p>
            <w:r/>
            <w:r>
              <w:t>Dummy / test accounts</w:t>
            </w:r>
          </w:p>
        </w:tc>
        <w:tc>
          <w:tcPr>
            <w:tcW w:type="dxa" w:w="2880"/>
          </w:tcPr>
          <w:p>
            <w:r/>
            <w:r>
              <w:t>New — proposed this session. Never a real member; excluded from any future bookkeeper/QuickBooks export logic; permanent fixtures for exercising no-tow and currency gates.</w:t>
            </w:r>
          </w:p>
        </w:tc>
      </w:tr>
    </w:tbl>
    <w:p/>
    <w:p>
      <w:r>
        <w:t>Because each account's temporary password is its own member number (zero-padded to 6 digits — Section 2.10), the 9000-series number doubles as that dummy account's login password. Recommend keeping a short running list of which 9000-series number is assigned to which test purpose, so they stay reusable across sessions rather than reinvented each time: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Number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t>009000</w:t>
            </w:r>
          </w:p>
        </w:tc>
        <w:tc>
          <w:tcPr>
            <w:tcW w:type="dxa" w:w="4320"/>
          </w:tcPr>
          <w:p>
            <w:r/>
            <w:r>
              <w:t>No-tow block test — imported with No Tow = Yes</w:t>
            </w:r>
          </w:p>
        </w:tc>
      </w:tr>
      <w:tr>
        <w:tc>
          <w:tcPr>
            <w:tcW w:type="dxa" w:w="4320"/>
          </w:tcPr>
          <w:p>
            <w:r/>
            <w:r>
              <w:t>009001</w:t>
            </w:r>
          </w:p>
        </w:tc>
        <w:tc>
          <w:tcPr>
            <w:tcW w:type="dxa" w:w="4320"/>
          </w:tcPr>
          <w:p>
            <w:r/>
            <w:r>
              <w:t>Currency block test — imported with no flight history, exercises the 90-day gate automatically</w:t>
            </w:r>
          </w:p>
        </w:tc>
      </w:tr>
    </w:tbl>
    <w:p/>
    <w:p>
      <w:r>
        <w:t>This range is a recommendation made while writing this guide, not yet reflected in the Tech Spec itself. Worth folding into Section 2.9 for a single source of truth once confirmed.</w:t>
      </w:r>
    </w:p>
    <w:p>
      <w:pPr>
        <w:pStyle w:val="Heading1"/>
      </w:pPr>
      <w:r>
        <w:t>3. Step-by-Step Order</w:t>
      </w:r>
    </w:p>
    <w:p>
      <w:pPr>
        <w:pStyle w:val="Heading2"/>
      </w:pPr>
      <w:r>
        <w:t>Step 1 — Wild Apricot: build the BOD group and export</w:t>
      </w:r>
    </w:p>
    <w:p>
      <w:pPr>
        <w:pStyle w:val="ListBullet"/>
      </w:pPr>
      <w:r>
        <w:t>Create a group in WA for the Board of Directors (or reuse one if it already exists) and add each director to it.</w:t>
      </w:r>
    </w:p>
    <w:p>
      <w:pPr>
        <w:pStyle w:val="ListBullet"/>
      </w:pPr>
      <w:r>
        <w:t>Export the Members list filtered to that group — not a Contacts export. importMembers.js expects Members-export columns specifically: TSA Member Number, User ID, First name, Last name, Email, No Tow, Membership level, Membership status.</w:t>
      </w:r>
    </w:p>
    <w:p>
      <w:pPr>
        <w:pStyle w:val="ListBullet"/>
      </w:pPr>
      <w:r>
        <w:t>Check first: is every board member already a WA Member, or are any of them outside directors who only exist as WA Contacts? A Contact record is missing the Membership-specific fields the import script needs. Anyone in that situation needs at least a nominal membership level in WA before export.</w:t>
      </w:r>
    </w:p>
    <w:p>
      <w:pPr>
        <w:pStyle w:val="ListBullet"/>
      </w:pPr>
      <w:r>
        <w:t>Check first: does every row have a populated, distinct TSA Member Number? A blank number still imports, but the resulting password zero-pads to 000000 — several directors would end up sharing one guessable password. Scan the export before importing.</w:t>
      </w:r>
    </w:p>
    <w:p>
      <w:pPr>
        <w:pStyle w:val="Heading2"/>
      </w:pPr>
      <w:r>
        <w:t>Step 2 — Prepare the dummy test-account CSV, separately from WA</w:t>
      </w:r>
    </w:p>
    <w:p>
      <w:pPr>
        <w:pStyle w:val="ListBullet"/>
      </w:pPr>
      <w:r>
        <w:t>Do not add fictional people to Wild Apricot. importMembers.js only reads a CSV file — it does not care whether the file came from WA.</w:t>
      </w:r>
    </w:p>
    <w:p>
      <w:pPr>
        <w:pStyle w:val="ListBullet"/>
      </w:pPr>
      <w:r>
        <w:t>Use members_test.csv (repo root) as the column-header template — it already has the exact shape the script expects.</w:t>
      </w:r>
    </w:p>
    <w:p>
      <w:pPr>
        <w:pStyle w:val="ListBullet"/>
      </w:pPr>
      <w:r>
        <w:t>Write two rows using the 9000-series numbers from Section 2 above: one with No Tow = Yes, one plain (no flight history needed — currency is computed from flight history, not a stored field, so a brand-new account with zero logged flights is automatically outside the 90-day window the moment it's imported).</w:t>
      </w:r>
    </w:p>
    <w:p>
      <w:pPr>
        <w:pStyle w:val="Heading2"/>
      </w:pPr>
      <w:r>
        <w:t>Step 3 — Run the import</w:t>
      </w:r>
    </w:p>
    <w:p>
      <w:pPr>
        <w:pStyle w:val="ListNumber"/>
      </w:pPr>
      <w:r>
        <w:t>node importMembers.js &lt;bod-export.csv&gt;</w:t>
      </w:r>
    </w:p>
    <w:p>
      <w:pPr>
        <w:pStyle w:val="ListNumber"/>
      </w:pPr>
      <w:r>
        <w:t>node importMembers.js &lt;dummy-accounts.csv&gt;  (or combine both into one file and run once)</w:t>
      </w:r>
    </w:p>
    <w:p>
      <w:r>
        <w:t>Watch the console output — it reports created / skipped / error counts per row. Re-running is safe if a row needs fixing and re-importing; an existing account's password is never reset by a re-run.</w:t>
      </w:r>
    </w:p>
    <w:p>
      <w:pPr>
        <w:pStyle w:val="Heading2"/>
      </w:pPr>
      <w:r>
        <w:t>Step 4 — Communicate credentials to the board</w:t>
      </w:r>
    </w:p>
    <w:p>
      <w:r>
        <w:t>The import script does not email anyone. Robin needs to tell each director their login directly: their email as the username, their member number (zero-padded to 6 digits) as the password. Worth mentioning they can change it in-app afterward (Role Select → Change Password) — a nice small polish point if demoing live at the meeting.</w:t>
      </w:r>
    </w:p>
    <w:p>
      <w:pPr>
        <w:pStyle w:val="Heading2"/>
      </w:pPr>
      <w:r>
        <w:t>Step 5 — App Store Connect: expand the TestFlight tester group</w:t>
      </w:r>
    </w:p>
    <w:p>
      <w:r>
        <w:t>Can happen in parallel with Steps 1–4 — it's an independent system.</w:t>
      </w:r>
    </w:p>
    <w:p>
      <w:pPr>
        <w:pStyle w:val="ListBullet"/>
      </w:pPr>
      <w:r>
        <w:t>Add each director's email as an external tester.</w:t>
      </w:r>
    </w:p>
    <w:p>
      <w:pPr>
        <w:pStyle w:val="ListBullet"/>
      </w:pPr>
      <w:r>
        <w:t>This app has already been through Apple's initial external Beta App Review, so adding new testers to an already-approved group shouldn't trigger a fresh review — but build in a buffer before the meeting in case it does.</w:t>
      </w:r>
    </w:p>
    <w:p>
      <w:pPr>
        <w:pStyle w:val="ListBullet"/>
      </w:pPr>
      <w:r>
        <w:t>Each director needs the TestFlight app installed on their own device to accept the invite before they can install SoaringApp.</w:t>
      </w:r>
    </w:p>
    <w:p>
      <w:pPr>
        <w:pStyle w:val="Heading2"/>
      </w:pPr>
      <w:r>
        <w:t>Step 6 — Test the dummy accounts before the meeting</w:t>
      </w:r>
    </w:p>
    <w:p>
      <w:pPr>
        <w:pStyle w:val="ListBullet"/>
      </w:pPr>
      <w:r>
        <w:t>Log in as the no-tow dummy (009000): confirm Glider Pilot role is blocked with the explanatory alert.</w:t>
      </w:r>
    </w:p>
    <w:p>
      <w:pPr>
        <w:pStyle w:val="ListBullet"/>
      </w:pPr>
      <w:r>
        <w:t>Log in as the currency dummy (009001): confirm club-glider submission is blocked and a request appears on the Line Chief screen's “Currency Clearance Needed” list; grant it via one of the three reasons and confirm submission then succeeds.</w:t>
      </w:r>
    </w:p>
    <w:p>
      <w:pPr>
        <w:pStyle w:val="ListBullet"/>
      </w:pPr>
      <w:r>
        <w:t>Optional: toggle Line Chief Mode off from a tow-pilot-qualified account first, then confirm the currency dummy can submit without being blocked — tagged instead, visible as a “NOT CURRENT” badge on the queue card.</w:t>
      </w:r>
    </w:p>
    <w:p>
      <w:pPr>
        <w:pStyle w:val="Heading1"/>
      </w:pPr>
      <w:r>
        <w:t>4. Operational Cautions</w:t>
      </w:r>
    </w:p>
    <w:p>
      <w:pPr>
        <w:pStyle w:val="ListBullet"/>
      </w:pPr>
      <w:r>
        <w:t>No separate staging environment — everything lands in the same production Firestore database real flight operations use. Test dummy tickets on a non-flying day, or cancel them immediately, or give the day's line chief a heads-up first.</w:t>
      </w:r>
    </w:p>
    <w:p>
      <w:pPr>
        <w:pStyle w:val="ListBullet"/>
      </w:pPr>
      <w:r>
        <w:t>Credential delivery to the board is a manual step — nothing in the app or import script sends it for you.</w:t>
      </w:r>
    </w:p>
    <w:p>
      <w:pPr>
        <w:pStyle w:val="ListBullet"/>
      </w:pPr>
      <w:r>
        <w:t>Blank TSA Member Numbers on any imported row collapse to the same 000000 password — verify the WA export before running the import.</w:t>
      </w:r>
    </w:p>
    <w:p>
      <w:pPr>
        <w:pStyle w:val="ListBullet"/>
      </w:pPr>
      <w:r>
        <w:t>Confirm Contacts vs. Members status in WA for every director before exporting.</w:t>
      </w:r>
    </w:p>
    <w:p>
      <w:pPr>
        <w:pStyle w:val="Heading1"/>
      </w:pPr>
      <w:r>
        <w:t>5. Open Items</w:t>
      </w:r>
    </w:p>
    <w:p>
      <w:pPr>
        <w:pStyle w:val="ListBullet"/>
      </w:pPr>
      <w:r>
        <w:t>The 9000–9099 dummy-account range proposed in Section 2 is not yet reflected in the Tech Spec's member numbering schema (Section 2.9). Recommend folding it in once confirmed, so the numbering rules live in one place.</w:t>
      </w:r>
    </w:p>
    <w:p>
      <w:pPr>
        <w:pStyle w:val="ListBullet"/>
      </w:pPr>
      <w:r>
        <w:t>Whether dummy accounts should ever be excluded from future reporting or export logic (e.g. a bookkeeper CSV export, Phase 5) hasn't been addressed — worth a note on that work whenever it's built.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