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20" w:tblpY="1062"/>
        <w:tblOverlap w:val="never"/>
        <w:tblW w:w="10077"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8027"/>
      </w:tblGrid>
      <w:tr w:rsidR="00EF7AE2" w14:paraId="22D5FD77" w14:textId="77777777">
        <w:trPr>
          <w:trHeight w:val="980"/>
        </w:trPr>
        <w:tc>
          <w:tcPr>
            <w:tcW w:w="2050" w:type="dxa"/>
            <w:shd w:val="clear" w:color="auto" w:fill="1A3A6B"/>
            <w:tcMar>
              <w:top w:w="100" w:type="dxa"/>
              <w:left w:w="160" w:type="dxa"/>
              <w:bottom w:w="100" w:type="dxa"/>
              <w:right w:w="160" w:type="dxa"/>
            </w:tcMar>
            <w:vAlign w:val="center"/>
          </w:tcPr>
          <w:p w14:paraId="6B524228" w14:textId="77777777" w:rsidR="00EF7AE2" w:rsidRDefault="00000000">
            <w:pPr>
              <w:spacing w:after="60" w:line="276" w:lineRule="auto"/>
              <w:jc w:val="center"/>
            </w:pPr>
            <w:r>
              <w:rPr>
                <w:noProof/>
              </w:rPr>
              <mc:AlternateContent>
                <mc:Choice Requires="wps">
                  <w:drawing>
                    <wp:anchor distT="0" distB="0" distL="114300" distR="114300" simplePos="0" relativeHeight="251659264" behindDoc="0" locked="0" layoutInCell="1" allowOverlap="1" wp14:anchorId="433401E0" wp14:editId="3D38D900">
                      <wp:simplePos x="0" y="0"/>
                      <wp:positionH relativeFrom="column">
                        <wp:posOffset>-49530</wp:posOffset>
                      </wp:positionH>
                      <wp:positionV relativeFrom="paragraph">
                        <wp:posOffset>1905</wp:posOffset>
                      </wp:positionV>
                      <wp:extent cx="1183640" cy="615950"/>
                      <wp:effectExtent l="0" t="0" r="16510" b="12700"/>
                      <wp:wrapNone/>
                      <wp:docPr id="2" name="Rectangle 2"/>
                      <wp:cNvGraphicFramePr/>
                      <a:graphic xmlns:a="http://schemas.openxmlformats.org/drawingml/2006/main">
                        <a:graphicData uri="http://schemas.microsoft.com/office/word/2010/wordprocessingShape">
                          <wps:wsp>
                            <wps:cNvSpPr/>
                            <wps:spPr>
                              <a:xfrm>
                                <a:off x="0" y="0"/>
                                <a:ext cx="1183640" cy="61595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C9B32E" w14:textId="77777777" w:rsidR="00EF7AE2" w:rsidRDefault="00000000">
                                  <w:pPr>
                                    <w:jc w:val="center"/>
                                  </w:pPr>
                                  <w:r>
                                    <w:rPr>
                                      <w:noProof/>
                                    </w:rPr>
                                    <w:drawing>
                                      <wp:inline distT="0" distB="0" distL="0" distR="0" wp14:anchorId="1F18F4C6" wp14:editId="1B730847">
                                        <wp:extent cx="980440" cy="490220"/>
                                        <wp:effectExtent l="0" t="0" r="0" b="5080"/>
                                        <wp:docPr id="4" name="Picture 4" descr="C:\Users\DELL LAPTOP\Downloads\Untitled (400 x 200 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DELL LAPTOP\Downloads\Untitled (400 x 200 p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80440" cy="490220"/>
                                                </a:xfrm>
                                                <a:prstGeom prst="rect">
                                                  <a:avLst/>
                                                </a:prstGeom>
                                                <a:noFill/>
                                                <a:ln>
                                                  <a:noFill/>
                                                </a:ln>
                                              </pic:spPr>
                                            </pic:pic>
                                          </a:graphicData>
                                        </a:graphic>
                                      </wp:inline>
                                    </w:drawing>
                                  </w: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3401E0" id="Rectangle 2" o:spid="_x0000_s1026" style="position:absolute;left:0;text-align:left;margin-left:-3.9pt;margin-top:.15pt;width:93.2pt;height: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" filled="f" strokecolor="white [3212]" strokeweight="2pt">
                      <v:textbox>
                        <w:txbxContent>
                          <w:p w14:paraId="4AC9B32E" w14:textId="77777777" w:rsidR="00EF7AE2" w:rsidRDefault="00000000">
                            <w:pPr>
                              <w:jc w:val="center"/>
                            </w:pPr>
                            <w:r>
                              <w:rPr>
                                <w:noProof/>
                              </w:rPr>
                              <w:drawing>
                                <wp:inline distT="0" distB="0" distL="0" distR="0" wp14:anchorId="1F18F4C6" wp14:editId="1B730847">
                                  <wp:extent cx="980440" cy="490220"/>
                                  <wp:effectExtent l="0" t="0" r="0" b="5080"/>
                                  <wp:docPr id="4" name="Picture 4" descr="C:\Users\DELL LAPTOP\Downloads\Untitled (400 x 200 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DELL LAPTOP\Downloads\Untitled (400 x 200 p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80440" cy="490220"/>
                                          </a:xfrm>
                                          <a:prstGeom prst="rect">
                                            <a:avLst/>
                                          </a:prstGeom>
                                          <a:noFill/>
                                          <a:ln>
                                            <a:noFill/>
                                          </a:ln>
                                        </pic:spPr>
                                      </pic:pic>
                                    </a:graphicData>
                                  </a:graphic>
                                </wp:inline>
                              </w:drawing>
                            </w:r>
                            <w:r>
                              <w:t xml:space="preserve"> </w:t>
                            </w:r>
                          </w:p>
                        </w:txbxContent>
                      </v:textbox>
                    </v:rect>
                  </w:pict>
                </mc:Fallback>
              </mc:AlternateContent>
            </w:r>
          </w:p>
        </w:tc>
        <w:tc>
          <w:tcPr>
            <w:tcW w:w="8027" w:type="dxa"/>
            <w:shd w:val="clear" w:color="auto" w:fill="2A4E8C"/>
            <w:tcMar>
              <w:top w:w="80" w:type="dxa"/>
              <w:left w:w="200" w:type="dxa"/>
              <w:bottom w:w="80" w:type="dxa"/>
              <w:right w:w="160" w:type="dxa"/>
            </w:tcMar>
            <w:vAlign w:val="center"/>
          </w:tcPr>
          <w:p w14:paraId="4DC0DC8F" w14:textId="77777777" w:rsidR="00EF7AE2" w:rsidRDefault="00000000">
            <w:pPr>
              <w:spacing w:after="30" w:line="276" w:lineRule="auto"/>
            </w:pPr>
            <w:r>
              <w:rPr>
                <w:b/>
                <w:bCs/>
                <w:color w:val="FFFFFF"/>
                <w:sz w:val="22"/>
                <w:szCs w:val="22"/>
              </w:rPr>
              <w:t>Leading University Research Society</w:t>
            </w:r>
          </w:p>
          <w:p w14:paraId="7ADA46AB" w14:textId="77777777" w:rsidR="00EF7AE2" w:rsidRDefault="00000000">
            <w:pPr>
              <w:spacing w:after="60" w:line="276" w:lineRule="auto"/>
            </w:pPr>
            <w:r>
              <w:rPr>
                <w:i/>
                <w:iCs/>
                <w:color w:val="AABBDD"/>
                <w:sz w:val="18"/>
                <w:szCs w:val="18"/>
              </w:rPr>
              <w:t>Leading University, Sylhet, Bangladesh</w:t>
            </w:r>
          </w:p>
        </w:tc>
      </w:tr>
    </w:tbl>
    <w:p w14:paraId="06699514" w14:textId="77777777" w:rsidR="00EF7AE2" w:rsidRDefault="00EF7AE2">
      <w:pPr>
        <w:spacing w:after="200"/>
      </w:pPr>
    </w:p>
    <w:p w14:paraId="1B88C163" w14:textId="4D0FCE45" w:rsidR="00EF7AE2" w:rsidRPr="00BF5BA4" w:rsidRDefault="005D0D81" w:rsidP="00F72534">
      <w:pPr>
        <w:pStyle w:val="Heading1"/>
        <w:spacing w:after="240"/>
        <w:jc w:val="center"/>
        <w:rPr>
          <w:color w:val="auto"/>
          <w:sz w:val="30"/>
          <w:szCs w:val="30"/>
        </w:rPr>
      </w:pPr>
      <w:r w:rsidRPr="005D0D81">
        <w:rPr>
          <w:color w:val="auto"/>
          <w:sz w:val="30"/>
          <w:szCs w:val="30"/>
        </w:rPr>
        <w:t>scRNA-seq</w:t>
      </w:r>
      <w:r>
        <w:rPr>
          <w:color w:val="auto"/>
          <w:sz w:val="30"/>
          <w:szCs w:val="30"/>
        </w:rPr>
        <w:t xml:space="preserve"> </w:t>
      </w:r>
      <w:r w:rsidRPr="005D0D81">
        <w:rPr>
          <w:color w:val="auto"/>
          <w:sz w:val="30"/>
          <w:szCs w:val="30"/>
        </w:rPr>
        <w:t>Guided In Silico Drug Repurposing Identifies Candidate Therapeutics for Hemorrhagic Fever with Renal Syndrome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02DF0" w14:paraId="275AEE75" w14:textId="77777777" w:rsidTr="00E02DF0">
        <w:tc>
          <w:tcPr>
            <w:tcW w:w="5000" w:type="pct"/>
            <w:tcMar>
              <w:top w:w="40" w:type="dxa"/>
              <w:left w:w="80" w:type="dxa"/>
              <w:bottom w:w="40" w:type="dxa"/>
              <w:right w:w="80" w:type="dxa"/>
            </w:tcMar>
          </w:tcPr>
          <w:p w14:paraId="686FB161" w14:textId="64E7D4E8" w:rsidR="00E02DF0" w:rsidRDefault="00E02DF0">
            <w:pPr>
              <w:spacing w:after="24" w:line="276" w:lineRule="auto"/>
              <w:jc w:val="center"/>
            </w:pPr>
            <w:r>
              <w:rPr>
                <w:b/>
                <w:bCs/>
              </w:rPr>
              <w:t>Md Abu Sadat Soash*</w:t>
            </w:r>
          </w:p>
          <w:p w14:paraId="518AF099" w14:textId="77777777" w:rsidR="00E02DF0" w:rsidRDefault="00E02DF0">
            <w:pPr>
              <w:jc w:val="center"/>
              <w:rPr>
                <w:rFonts w:eastAsia="Calibri"/>
                <w:sz w:val="20"/>
                <w:szCs w:val="20"/>
              </w:rPr>
            </w:pPr>
            <w:r>
              <w:rPr>
                <w:rFonts w:eastAsia="Calibri"/>
                <w:sz w:val="20"/>
                <w:szCs w:val="20"/>
              </w:rPr>
              <w:t>Department of Genetic Engineering and Biotechnology,</w:t>
            </w:r>
          </w:p>
          <w:p w14:paraId="1FF4BBD8" w14:textId="6EBE3109" w:rsidR="00E02DF0" w:rsidRDefault="00E02DF0">
            <w:pPr>
              <w:jc w:val="center"/>
              <w:rPr>
                <w:rFonts w:eastAsia="Calibri"/>
                <w:sz w:val="20"/>
                <w:szCs w:val="20"/>
              </w:rPr>
            </w:pPr>
            <w:r>
              <w:rPr>
                <w:rFonts w:eastAsia="Calibri"/>
                <w:sz w:val="20"/>
                <w:szCs w:val="20"/>
              </w:rPr>
              <w:t>Shahjalal University of Science and Technology, Sylhet, Bangladesh</w:t>
            </w:r>
            <w:r w:rsidR="00FA1FE6">
              <w:rPr>
                <w:rFonts w:eastAsia="Calibri"/>
                <w:sz w:val="20"/>
                <w:szCs w:val="20"/>
              </w:rPr>
              <w:t>.</w:t>
            </w:r>
          </w:p>
          <w:p w14:paraId="0AD70CA3" w14:textId="26781C4E" w:rsidR="00E02DF0" w:rsidRDefault="00E02DF0" w:rsidP="00E02DF0">
            <w:pPr>
              <w:jc w:val="center"/>
              <w:rPr>
                <w:sz w:val="22"/>
                <w:szCs w:val="22"/>
              </w:rPr>
            </w:pPr>
            <w:r w:rsidRPr="00E02DF0">
              <w:rPr>
                <w:sz w:val="22"/>
                <w:szCs w:val="22"/>
              </w:rPr>
              <w:t>mdabu13@student.sust.edu</w:t>
            </w:r>
          </w:p>
          <w:p w14:paraId="770C8168" w14:textId="77777777" w:rsidR="00E02DF0" w:rsidRDefault="00E02DF0">
            <w:pPr>
              <w:spacing w:after="60" w:line="276" w:lineRule="auto"/>
              <w:jc w:val="center"/>
            </w:pPr>
          </w:p>
        </w:tc>
      </w:tr>
    </w:tbl>
    <w:tbl>
      <w:tblPr>
        <w:tblpPr w:leftFromText="180" w:rightFromText="180" w:vertAnchor="text" w:horzAnchor="margin" w:tblpX="165" w:tblpY="48"/>
        <w:tblW w:w="10065" w:type="dxa"/>
        <w:tblBorders>
          <w:top w:val="single" w:sz="4" w:space="0" w:color="1A3A6B"/>
          <w:left w:val="single" w:sz="12" w:space="0" w:color="1A3A6B"/>
          <w:bottom w:val="single" w:sz="4" w:space="0" w:color="1A3A6B"/>
          <w:right w:val="single" w:sz="4" w:space="0" w:color="1A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rsidR="00EF7AE2" w14:paraId="66CDF49E" w14:textId="77777777">
        <w:tc>
          <w:tcPr>
            <w:tcW w:w="10065" w:type="dxa"/>
            <w:shd w:val="clear" w:color="auto" w:fill="EEF2F8"/>
            <w:tcMar>
              <w:top w:w="120" w:type="dxa"/>
              <w:left w:w="200" w:type="dxa"/>
              <w:bottom w:w="100" w:type="dxa"/>
              <w:right w:w="180" w:type="dxa"/>
            </w:tcMar>
          </w:tcPr>
          <w:p w14:paraId="305FC6BB" w14:textId="77777777" w:rsidR="006358BE" w:rsidRDefault="00000000" w:rsidP="006358BE">
            <w:pPr>
              <w:spacing w:after="60" w:line="360" w:lineRule="auto"/>
              <w:jc w:val="both"/>
              <w:rPr>
                <w:b/>
                <w:bCs/>
                <w:i/>
                <w:iCs/>
              </w:rPr>
            </w:pPr>
            <w:r>
              <w:rPr>
                <w:b/>
                <w:bCs/>
                <w:i/>
                <w:iCs/>
              </w:rPr>
              <w:t>Abstract</w:t>
            </w:r>
          </w:p>
          <w:p w14:paraId="16676059" w14:textId="37395E8C" w:rsidR="006358BE" w:rsidRPr="006358BE" w:rsidRDefault="006358BE" w:rsidP="006358BE">
            <w:pPr>
              <w:spacing w:after="60" w:line="360" w:lineRule="auto"/>
              <w:jc w:val="both"/>
            </w:pPr>
            <w:r w:rsidRPr="00CD6FE7">
              <w:rPr>
                <w:b/>
                <w:bCs/>
              </w:rPr>
              <w:t>Objective</w:t>
            </w:r>
            <w:r w:rsidR="00CD6FE7" w:rsidRPr="00CD6FE7">
              <w:rPr>
                <w:b/>
                <w:bCs/>
              </w:rPr>
              <w:t xml:space="preserve"> -</w:t>
            </w:r>
            <w:r w:rsidR="00CD6FE7">
              <w:rPr>
                <w:b/>
                <w:bCs/>
              </w:rPr>
              <w:t xml:space="preserve"> </w:t>
            </w:r>
            <w:r w:rsidRPr="006358BE">
              <w:t>Hemorrhagic Fever with Renal Syndrome</w:t>
            </w:r>
            <w:r w:rsidR="00D6599D">
              <w:t xml:space="preserve"> </w:t>
            </w:r>
            <w:r w:rsidRPr="006358BE">
              <w:t>lacks targeted FDA-approved therapeutics. This study aims to identify novel therapeutic candidates capable of reversing the pathogenic transcriptomic signatures of HFRS, specifically targeting the abnormal presence of Nucleated Red Blood Cells</w:t>
            </w:r>
            <w:r w:rsidR="004777C0">
              <w:t xml:space="preserve"> </w:t>
            </w:r>
            <w:r w:rsidR="004777C0" w:rsidRPr="004777C0">
              <w:t>(NRBCs)</w:t>
            </w:r>
            <w:r w:rsidR="00D6599D">
              <w:t xml:space="preserve"> </w:t>
            </w:r>
            <w:r w:rsidRPr="006358BE">
              <w:t>and multilineage immune dysregulation.</w:t>
            </w:r>
          </w:p>
          <w:p w14:paraId="16E7E730" w14:textId="5F9C519F" w:rsidR="006358BE" w:rsidRPr="006358BE" w:rsidRDefault="006358BE" w:rsidP="006358BE">
            <w:pPr>
              <w:spacing w:after="60" w:line="360" w:lineRule="auto"/>
              <w:jc w:val="both"/>
            </w:pPr>
            <w:r w:rsidRPr="006358BE">
              <w:rPr>
                <w:b/>
                <w:bCs/>
              </w:rPr>
              <w:t>Methodology</w:t>
            </w:r>
            <w:r w:rsidR="00CD6FE7">
              <w:rPr>
                <w:b/>
                <w:bCs/>
              </w:rPr>
              <w:t xml:space="preserve"> - </w:t>
            </w:r>
            <w:r w:rsidRPr="006358BE">
              <w:t>We obtained peripheral blood mononuclear cell single-cell RNA sequencing (scRNA-seq) data from HFRS patients and healthy controls. Utilizing Seurat v5 for data integration and the ASGARD computational pipeline, we extracted differential expression profiles and queried them against the LINCS L1000 pharmacogenomic database.</w:t>
            </w:r>
          </w:p>
          <w:p w14:paraId="599CE065" w14:textId="43A4FE3A" w:rsidR="006358BE" w:rsidRPr="006358BE" w:rsidRDefault="006358BE" w:rsidP="006358BE">
            <w:pPr>
              <w:spacing w:after="60" w:line="360" w:lineRule="auto"/>
              <w:jc w:val="both"/>
            </w:pPr>
            <w:r w:rsidRPr="006358BE">
              <w:rPr>
                <w:b/>
                <w:bCs/>
              </w:rPr>
              <w:t>Findings</w:t>
            </w:r>
            <w:r w:rsidR="00CD6FE7">
              <w:rPr>
                <w:b/>
                <w:bCs/>
              </w:rPr>
              <w:t xml:space="preserve"> - </w:t>
            </w:r>
            <w:r w:rsidRPr="006358BE">
              <w:t>The multi-cluster ASGARD pipeline successfully identified 13 statistically significant FDA-approved drug candidates. Vorinostat and Tretinoin emerged as the top-ranked candidates capable of rescuing immune hyper-inflammation and HFRS-induced erythroid maturation arrest.</w:t>
            </w:r>
          </w:p>
          <w:p w14:paraId="667ACE4D" w14:textId="6742426E" w:rsidR="00EF7AE2" w:rsidRDefault="006358BE" w:rsidP="008652FC">
            <w:pPr>
              <w:spacing w:after="60" w:line="360" w:lineRule="auto"/>
              <w:jc w:val="both"/>
            </w:pPr>
            <w:r w:rsidRPr="006358BE">
              <w:rPr>
                <w:b/>
                <w:bCs/>
              </w:rPr>
              <w:t>Implications</w:t>
            </w:r>
            <w:r w:rsidR="00CD6FE7">
              <w:rPr>
                <w:b/>
                <w:bCs/>
              </w:rPr>
              <w:t xml:space="preserve"> - </w:t>
            </w:r>
            <w:r w:rsidRPr="006358BE">
              <w:t>Our in silico framework successfully translates scRNA-seq pathogenesis data into actionable therapeutic targets, providing a strong rationale for immediate in vitro validation of Vorinostat and Tretinoin for HFRS treatment.</w:t>
            </w:r>
          </w:p>
          <w:p w14:paraId="10494AF9" w14:textId="3135385E" w:rsidR="00EF7AE2" w:rsidRDefault="00000000" w:rsidP="008652FC">
            <w:pPr>
              <w:pStyle w:val="NormalWeb"/>
              <w:spacing w:before="120" w:after="120" w:line="360" w:lineRule="auto"/>
              <w:jc w:val="both"/>
            </w:pPr>
            <w:r>
              <w:rPr>
                <w:b/>
                <w:bCs/>
              </w:rPr>
              <w:t>Keywords -</w:t>
            </w:r>
            <w:r w:rsidR="00B97AC6">
              <w:rPr>
                <w:b/>
                <w:bCs/>
              </w:rPr>
              <w:t xml:space="preserve"> </w:t>
            </w:r>
            <w:r w:rsidR="00B97AC6" w:rsidRPr="00540CB5">
              <w:t>Hemorrhagic Fever with Renal Syndrome, Hantaan virus, Single-cell RNA sequencing, Drug repurposing, Vorinostat, Tretinoin.</w:t>
            </w:r>
          </w:p>
        </w:tc>
      </w:tr>
    </w:tbl>
    <w:p w14:paraId="10D14FC3" w14:textId="77777777" w:rsidR="00FC28B6" w:rsidRDefault="00FC28B6">
      <w:pPr>
        <w:tabs>
          <w:tab w:val="left" w:pos="8790"/>
        </w:tabs>
      </w:pPr>
    </w:p>
    <w:p w14:paraId="61449E3B" w14:textId="77777777" w:rsidR="00FC28B6" w:rsidRDefault="00FC28B6">
      <w:pPr>
        <w:tabs>
          <w:tab w:val="left" w:pos="8790"/>
        </w:tabs>
      </w:pPr>
    </w:p>
    <w:p w14:paraId="16AA48BD" w14:textId="77777777" w:rsidR="00FC28B6" w:rsidRDefault="00FC28B6">
      <w:pPr>
        <w:tabs>
          <w:tab w:val="left" w:pos="8790"/>
        </w:tabs>
      </w:pPr>
    </w:p>
    <w:p w14:paraId="13C08528" w14:textId="77777777" w:rsidR="00BF5BA4" w:rsidRDefault="00BF5BA4">
      <w:pPr>
        <w:tabs>
          <w:tab w:val="left" w:pos="8790"/>
        </w:tabs>
      </w:pPr>
    </w:p>
    <w:p w14:paraId="5CBACFBD" w14:textId="430AE358" w:rsidR="00EF7AE2" w:rsidRDefault="00000000">
      <w:pPr>
        <w:tabs>
          <w:tab w:val="left" w:pos="8790"/>
        </w:tabs>
      </w:pPr>
      <w:r>
        <w:tab/>
      </w:r>
    </w:p>
    <w:p w14:paraId="31851063" w14:textId="77777777" w:rsidR="00DE4AE8" w:rsidRDefault="00DE4AE8">
      <w:pPr>
        <w:tabs>
          <w:tab w:val="left" w:pos="8790"/>
        </w:tabs>
      </w:pPr>
    </w:p>
    <w:p w14:paraId="360D7EBA" w14:textId="77777777" w:rsidR="00EF7AE2" w:rsidRDefault="00EF7AE2">
      <w:pPr>
        <w:tabs>
          <w:tab w:val="left" w:pos="8790"/>
        </w:tabs>
      </w:pPr>
    </w:p>
    <w:p w14:paraId="05C07741" w14:textId="674A852D" w:rsidR="007A76A2" w:rsidRDefault="007A76A2">
      <w:pPr>
        <w:tabs>
          <w:tab w:val="left" w:pos="8790"/>
        </w:tabs>
        <w:sectPr w:rsidR="007A76A2">
          <w:headerReference w:type="default" r:id="rId11"/>
          <w:footerReference w:type="default" r:id="rId12"/>
          <w:type w:val="continuous"/>
          <w:pgSz w:w="12240" w:h="15840"/>
          <w:pgMar w:top="900" w:right="1080" w:bottom="1080" w:left="1080" w:header="708" w:footer="708" w:gutter="0"/>
          <w:cols w:space="720"/>
          <w:docGrid w:linePitch="360"/>
        </w:sectPr>
      </w:pPr>
    </w:p>
    <w:p w14:paraId="43ABBA2D" w14:textId="77777777" w:rsidR="00EF7AE2" w:rsidRDefault="00000000" w:rsidP="00DE4AE8">
      <w:pPr>
        <w:pStyle w:val="Heading2"/>
        <w:rPr>
          <w:b/>
          <w:bCs/>
          <w:color w:val="auto"/>
          <w:sz w:val="24"/>
          <w:szCs w:val="24"/>
        </w:rPr>
      </w:pPr>
      <w:r w:rsidRPr="00DE4AE8">
        <w:rPr>
          <w:b/>
          <w:bCs/>
          <w:color w:val="auto"/>
          <w:sz w:val="24"/>
          <w:szCs w:val="24"/>
        </w:rPr>
        <w:t>I.  INTRODUCTION</w:t>
      </w:r>
    </w:p>
    <w:p w14:paraId="2DABF5EF" w14:textId="77777777" w:rsidR="00DE4AE8" w:rsidRPr="00DE4AE8" w:rsidRDefault="00DE4AE8" w:rsidP="00DE4AE8"/>
    <w:p w14:paraId="06FF4708" w14:textId="25BBF8CD" w:rsidR="0074017E" w:rsidRDefault="00F6365D" w:rsidP="0074017E">
      <w:pPr>
        <w:spacing w:after="80" w:line="360" w:lineRule="auto"/>
        <w:ind w:firstLine="720"/>
        <w:jc w:val="both"/>
      </w:pPr>
      <w:r w:rsidRPr="00F6365D">
        <w:t>Hemorrhagic Fever with Renal Syndrome (HFRS) is a severe, life-threatening rodent-borne zoonosis that poses a significant public health threat, particularly in Asia and Europe</w:t>
      </w:r>
      <w:r>
        <w:t xml:space="preserve"> </w:t>
      </w:r>
      <w:r>
        <w:fldChar w:fldCharType="begin"/>
      </w:r>
      <w:r>
        <w:instrText xml:space="preserve"> ADDIN ZOTERO_ITEM CSL_CITATION {"citationID":"t5Tqyp0a","properties":{"unsorted":false,"formattedCitation":"[1]","plainCitation":"[1]","noteIndex":0},"citationItems":[{"id":28,"uris":["http://zotero.org/users/local/ilBrW4kW/items/Y3ECFL3M"],"itemData":{"id":28,"type":"article-journal","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infections","volume":"21","author":[{"family":"Avšič-Županc","given":"T."},{"family":"Saksida","given":"A."},{"family":"Korva","given":"M."}],"issued":{"date-parts":[["2019",4]]}}}],"schema":"https://github.com/citation-style-language/schema/raw/master/csl-citation.json"} </w:instrText>
      </w:r>
      <w:r>
        <w:fldChar w:fldCharType="separate"/>
      </w:r>
      <w:r w:rsidRPr="00F6365D">
        <w:t>[1]</w:t>
      </w:r>
      <w:r>
        <w:fldChar w:fldCharType="end"/>
      </w:r>
      <w:r w:rsidRPr="00F6365D">
        <w:t xml:space="preserve">. Among the numerous species of hantaviruses, Hantaan virus (HTNV), Seoul virus (SEOV), Puumala virus (PUUV), and Dobrava-Belgrade virus (DOBV) are the primary culprits behind HFRS in the Old World </w:t>
      </w:r>
      <w:r w:rsidR="005A0058">
        <w:fldChar w:fldCharType="begin"/>
      </w:r>
      <w:r w:rsidR="00033007">
        <w:instrText xml:space="preserve"> ADDIN ZOTERO_ITEM CSL_CITATION {"citationID":"lEGi5kX4","properties":{"unsorted":false,"formattedCitation":"[2]","plainCitation":"[2]","noteIndex":0},"citationItems":[{"id":31,"uris":["http://zotero.org/users/local/ilBrW4kW/items/4GAQ5C5K"],"itemData":{"id":31,"type":"article-journal","abstract":"Hemorrhagic Fever with Renal Syndrome (HFRS) is the most frequently diagnosed zoonosis in Asia. This zoonotic infection is the result of exposure to the virus-contaminated aerosols. Orthohantavirus infection may cause Hemorrhagic Fever with Renal Syndrome (HRFS), a disease that is characterized by acute kidney injury and increased vascular permeability. Several species of orthohantaviruses were identified as causing infection, where Hantaan, Puumala, and Seoul viruses are most common. Orthohantaviruses are endemic to several Asian countries, such as China, South Korea, and Japan. Along with those countries, HFRS tops the list of zoonotic infections in the Far Eastern Federal District of Russia. Recently, orthohantavirus circulation was demonstrated in small mammals in Thailand and India, where orthohantavirus was not believed to be endemic. In this review, we summarized the current data on orthohantaviruses in Asia. We gave the synopsis of the history and diversity of orthohantaviruses in Asia. We also described the clinical presentation and current understanding of the pathogenesis of orthohantavirus infection. Additionally, conventional and novel approaches for preventing and treating orthohantavirus infection are discussed.","container-title":"Viruses","DOI":"10.3390/v15020561","ISSN":"1999-4915","issue":"2","journalAbbreviation":"Viruses","language":"en","page":"561","source":"DOI.org (Crossref)","title":"Hemorrhagic Fever with Renal Syndrome in Asia: History, Pathogenesis, Diagnosis, Treatment, and Prevention","title-short":"Hemorrhagic Fever with Renal Syndrome in Asia","volume":"15","author":[{"family":"Sehgal","given":"Ayushi"},{"family":"Mehta","given":"Sanya"},{"family":"Sahay","given":"Kritika"},{"family":"Martynova","given":"Ekaterina"},{"family":"Rizvanov","given":"Albert"},{"family":"Baranwal","given":"Manoj"},{"family":"Chandy","given":"Sara"},{"family":"Khaiboullina","given":"Svetlana"},{"family":"Kabwe","given":"Emmanuel"},{"family":"Davidyuk","given":"Yuriy"}],"issued":{"date-parts":[["2023",2,18]]}}}],"schema":"https://github.com/citation-style-language/schema/raw/master/csl-citation.json"} </w:instrText>
      </w:r>
      <w:r w:rsidR="005A0058">
        <w:fldChar w:fldCharType="separate"/>
      </w:r>
      <w:r w:rsidR="00033007" w:rsidRPr="00033007">
        <w:t>[2]</w:t>
      </w:r>
      <w:r w:rsidR="005A0058">
        <w:fldChar w:fldCharType="end"/>
      </w:r>
      <w:r w:rsidRPr="00F6365D">
        <w:t>.</w:t>
      </w:r>
    </w:p>
    <w:p w14:paraId="60A11FE3" w14:textId="65CDFEBF" w:rsidR="006333B0" w:rsidRDefault="00206ECD" w:rsidP="006333B0">
      <w:pPr>
        <w:spacing w:after="80" w:line="360" w:lineRule="auto"/>
        <w:ind w:firstLine="720"/>
        <w:jc w:val="both"/>
      </w:pPr>
      <w:r w:rsidRPr="00206ECD">
        <w:t xml:space="preserve">The clinical presentation of HFRS is highly complex and typically progresses through five distinct sequential phases: the febrile, hypotensive, oliguric, polyuric, and convalescent phases </w:t>
      </w:r>
      <w:r>
        <w:fldChar w:fldCharType="begin"/>
      </w:r>
      <w:r w:rsidR="00033007">
        <w:instrText xml:space="preserve"> ADDIN ZOTERO_ITEM CSL_CITATION {"citationID":"zXh3Sl6m","properties":{"unsorted":false,"formattedCitation":"[1], [3]","plainCitation":"[1], [3]","noteIndex":0},"citationItems":[{"id":28,"uris":["http://zotero.org/users/local/ilBrW4kW/items/Y3ECFL3M"],"itemData":{"id":28,"type":"article-journal","container-title":"Clinical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id":32,"uris":["http://zotero.org/users/local/ilBrW4kW/items/DHUL64QM"],"itemData":{"id":32,"type":"article-journal","container-title":"Infection &amp; Chemotherapy","DOI":"10.3947/ic.2021.0148","ISSN":"2093-2340, 2092-6448","issue":"1","journalAbbreviation":"Infect Chemother","language":"en","page":"1","source":"DOI.org (Crossref)","title":"Hemorrhagic Fever with Renal Syndrome: Literature Review, Epidemiology, Clinical Picture and Pathogenesis","title-short":"Hemorrhagic Fever with Renal Syndrome","volume":"54","author":[{"family":"Tariq","given":"Misbah"},{"family":"Kim","given":"Dong-Min"}],"issued":{"date-parts":[["2022"]]}}}],"schema":"https://github.com/citation-style-language/schema/raw/master/csl-citation.json"} </w:instrText>
      </w:r>
      <w:r>
        <w:fldChar w:fldCharType="separate"/>
      </w:r>
      <w:r w:rsidR="00033007" w:rsidRPr="00033007">
        <w:t>[1], [3]</w:t>
      </w:r>
      <w:r>
        <w:fldChar w:fldCharType="end"/>
      </w:r>
      <w:r w:rsidRPr="00206ECD">
        <w:t>.</w:t>
      </w:r>
      <w:r w:rsidR="003C2FE2">
        <w:t xml:space="preserve"> </w:t>
      </w:r>
      <w:r w:rsidRPr="00206ECD">
        <w:t xml:space="preserve">During the oliguric phase, acute kidney injury (AKI) becomes prominent, and the risk of severe complications such as pulmonary edema, hemorrhages, and multi-organ failure reaches its peak, accounting for half of the total HFRS-related fatalities </w:t>
      </w:r>
      <w:r>
        <w:fldChar w:fldCharType="begin"/>
      </w:r>
      <w:r w:rsidR="00033007">
        <w:instrText xml:space="preserve"> ADDIN ZOTERO_ITEM CSL_CITATION {"citationID":"dy2CxPA8","properties":{"unsorted":false,"formattedCitation":"[2]","plainCitation":"[2]","noteIndex":0},"citationItems":[{"id":31,"uris":["http://zotero.org/users/local/ilBrW4kW/items/4GAQ5C5K"],"itemData":{"id":31,"type":"article-journal","abstract":"Hemorrhagic Fever with Renal Syndrome (HFRS) is the most frequently diagnosed zoonosis in Asia. This zoonotic infection is the result of exposure to the virus-contaminated aerosols. Orthohantavirus infection may cause Hemorrhagic Fever with Renal Syndrome (HRFS), a disease that is characterized by acute kidney injury and increased vascular permeability. Several species of orthohantaviruses were identified as causing infection, where Hantaan, Puumala, and Seoul viruses are most common. Orthohantaviruses are endemic to several Asian countries, such as China, South Korea, and Japan. Along with those countries, HFRS tops the list of zoonotic infections in the Far Eastern Federal District of Russia. Recently, orthohantavirus circulation was demonstrated in small mammals in Thailand and India, where orthohantavirus was not believed to be endemic. In this review, we summarized the current data on orthohantaviruses in Asia. We gave the synopsis of the history and diversity of orthohantaviruses in Asia. We also described the clinical presentation and current understanding of the pathogenesis of orthohantavirus infection. Additionally, conventional and novel approaches for preventing and treating orthohantavirus infection are discussed.","container-title":"Viruses","DOI":"10.3390/v15020561","ISSN":"1999-4915","issue":"2","journalAbbreviation":"Viruses","language":"en","page":"561","source":"DOI.org (Crossref)","title":"Hemorrhagic Fever with Renal Syndrome in Asia: History, Pathogenesis, Diagnosis, Treatment, and Prevention","title-short":"Hemorrhagic Fever with Renal Syndrome in Asia","volume":"15","author":[{"family":"Sehgal","given":"Ayushi"},{"family":"Mehta","given":"Sanya"},{"family":"Sahay","given":"Kritika"},{"family":"Martynova","given":"Ekaterina"},{"family":"Rizvanov","given":"Albert"},{"family":"Baranwal","given":"Manoj"},{"family":"Chandy","given":"Sara"},{"family":"Khaiboullina","given":"Svetlana"},{"family":"Kabwe","given":"Emmanuel"},{"family":"Davidyuk","given":"Yuriy"}],"issued":{"date-parts":[["2023",2,18]]}}}],"schema":"https://github.com/citation-style-language/schema/raw/master/csl-citation.json"} </w:instrText>
      </w:r>
      <w:r>
        <w:fldChar w:fldCharType="separate"/>
      </w:r>
      <w:r w:rsidR="00033007" w:rsidRPr="00033007">
        <w:t>[2]</w:t>
      </w:r>
      <w:r>
        <w:fldChar w:fldCharType="end"/>
      </w:r>
      <w:r w:rsidRPr="00206ECD">
        <w:t>.</w:t>
      </w:r>
    </w:p>
    <w:p w14:paraId="2FF2601E" w14:textId="733524DD" w:rsidR="00206ECD" w:rsidRDefault="0074017E" w:rsidP="006333B0">
      <w:pPr>
        <w:spacing w:after="80" w:line="360" w:lineRule="auto"/>
        <w:ind w:firstLine="720"/>
        <w:jc w:val="both"/>
      </w:pPr>
      <w:r w:rsidRPr="0074017E">
        <w:t xml:space="preserve">The pathogenesis of HTNV infection is deeply rooted in the virus's interaction with the host's vascular system and immune response. Hantaviruses primarily target human vascular endothelial cells and macrophages without causing direct cytopathic effects </w:t>
      </w:r>
      <w:r>
        <w:fldChar w:fldCharType="begin"/>
      </w:r>
      <w:r w:rsidR="00033007">
        <w:instrText xml:space="preserve"> ADDIN ZOTERO_ITEM CSL_CITATION {"citationID":"AqRs94zr","properties":{"unsorted":false,"formattedCitation":"[3], [4]","plainCitation":"[3], [4]","noteIndex":0},"citationItems":[{"id":29,"uris":["http://zotero.org/users/local/ilBrW4kW/items/VK9G58Y4"],"itemData":{"id":29,"type":"article-journal","abstract":"Hantaviruses are a significant and emerging global public health threat, impacting more than 200,000 individuals worldwide each year. The single-stranded RNA viruses belong to the\n              Hantaviridae\n              family and are responsible for causing two acute febrile diseases in humans: Hantavirus pulmonary syndrome (HPS) and hemorrhagic fever with renal syndrome (HFRS). Currently, there are no licensed treatments or vaccines available globally for HTNV infection. Various candidate drugs have shown efficacy in increasing survival rates during the early stages of HTNV infection. Some of these drugs include lactoferrin, ribavirin, ETAR, favipiravir and vandetanib. Immunotherapy utilizing neutralizing antibodies (NAbs) generated from Hantavirus convalescent patients show efficacy against HTNV. Monoclonal antibodies such as MIB22 and JL16 have demonstrated effectiveness in protecting against HTNV infection. The development of vaccines and antivirals, used independently and/or in combination, is critical for elucidating hantaviral infections and the impact on public health. RNA interference (RNAi) arised as an emerging antiviral therapy, is a highly specific degrades RNA, with post-transcriptional mechanism using eukaryotic cells platform. That has demonstrated efficacy against a wide range of viruses, both\n              in vitro\n              and\n              in vivo\n              . Recent antiviral methods involve using small interfering RNA (siRNA) and other, immune-based therapies to target specific gene segments (S, M, or L) of the Hantavirus. This therapeutic approach enhances viral RNA clearance through the RNA interference process in Vero E6 cells or human lung microvascular endothelial cells. However, the use of siRNAs faces challenges due to their low biological stability and limited\n              in vivo\n              targeting ability. Despite their successful inhibition of Hantavirus replication in host cells, their antiviral efficacy may be hindered. In the current review, we focus on advances in therapeutic strategies, as antiviral medications, immune-based therapies and vaccine candidates aimed at enhancing the body’s ability to control the progression of Hantavirus infections, with the potential to reduce the risk of severe disease.","container-title":"Frontiers in Microbiology","DOI":"10.3389/fmicb.2023.1233433","ISSN":"1664-302X","journalAbbreviation":"Front. Microbiol.","page":"1233433","source":"DOI.org (Crossref)","title":"Hantavirus: an overview and advancements in therapeutic approaches for infection","title-short":"Hantavirus","volume":"14","author":[{"family":"Afzal","given":"Samia"},{"family":"Ali","given":"Liaqat"},{"family":"Batool","given":"Anum"},{"family":"Afzal","given":"Momina"},{"family":"Kanwal","given":"Nida"},{"family":"Hassan","given":"Muhammad"},{"family":"Safdar","given":"Muhammad"},{"family":"Ahmad","given":"Atif"},{"family":"Yang","given":"Jing"}],"issued":{"date-parts":[["2023",10,12]]}}},{"id":32,"uris":["http://zotero.org/users/local/ilBrW4kW/items/DHUL64QM"],"itemData":{"id":32,"type":"article-journal","container-title":"Infection &amp; Chemotherapy","DOI":"10.3947/ic.2021.0148","ISSN":"2093-2340, 2092-6448","issue":"1","journalAbbreviation":"Infect Chemother","language":"en","page":"1","source":"DOI.org (Crossref)","title":"Hemorrhagic Fever with Renal Syndrome: Literature Review, Epidemiology, Clinical Picture and Pathogenesis","title-short":"Hemorrhagic Fever with Renal Syndrome","volume":"54","author":[{"family":"Tariq","given":"Misbah"},{"family":"Kim","given":"Dong-Min"}],"issued":{"date-parts":[["2022"]]}}}],"schema":"https://github.com/citation-style-language/schema/raw/master/csl-citation.json"} </w:instrText>
      </w:r>
      <w:r>
        <w:fldChar w:fldCharType="separate"/>
      </w:r>
      <w:r w:rsidR="00033007" w:rsidRPr="00033007">
        <w:t>[3], [4]</w:t>
      </w:r>
      <w:r>
        <w:fldChar w:fldCharType="end"/>
      </w:r>
      <w:r w:rsidRPr="0074017E">
        <w:t xml:space="preserve">. Instead, the viruses enter endothelial cells by binding to </w:t>
      </w:r>
      <w:r w:rsidR="00D263FD" w:rsidRPr="001A49D9">
        <w:rPr>
          <w:i/>
          <w:iCs/>
        </w:rPr>
        <w:t>α</w:t>
      </w:r>
      <w:r w:rsidR="00D263FD" w:rsidRPr="001A49D9">
        <w:rPr>
          <w:i/>
          <w:iCs/>
          <w:vertAlign w:val="subscript"/>
        </w:rPr>
        <w:t>v</w:t>
      </w:r>
      <w:r w:rsidR="00D263FD" w:rsidRPr="001A49D9">
        <w:rPr>
          <w:i/>
          <w:iCs/>
        </w:rPr>
        <w:t>β</w:t>
      </w:r>
      <w:r w:rsidR="00D263FD" w:rsidRPr="001A49D9">
        <w:rPr>
          <w:i/>
          <w:iCs/>
          <w:vertAlign w:val="subscript"/>
        </w:rPr>
        <w:t>3</w:t>
      </w:r>
      <w:r w:rsidRPr="001A49D9">
        <w:rPr>
          <w:i/>
          <w:iCs/>
        </w:rPr>
        <w:t>​</w:t>
      </w:r>
      <w:r w:rsidR="00D263FD">
        <w:rPr>
          <w:i/>
          <w:iCs/>
        </w:rPr>
        <w:t xml:space="preserve"> </w:t>
      </w:r>
      <w:r w:rsidRPr="001A49D9">
        <w:rPr>
          <w:i/>
          <w:iCs/>
        </w:rPr>
        <w:t>integrin</w:t>
      </w:r>
      <w:r w:rsidRPr="0074017E">
        <w:t>, subsequently provoking profound endothelial dysfunction</w:t>
      </w:r>
      <w:r>
        <w:t xml:space="preserve"> </w:t>
      </w:r>
      <w:r>
        <w:fldChar w:fldCharType="begin"/>
      </w:r>
      <w:r>
        <w:instrText xml:space="preserve"> ADDIN ZOTERO_ITEM CSL_CITATION {"citationID":"oteoIFa4","properties":{"unsorted":false,"formattedCitation":"[1]","plainCitation":"[1]","noteIndex":0},"citationItems":[{"id":28,"uris":["http://zotero.org/users/local/ilBrW4kW/items/Y3ECFL3M"],"itemData":{"id":28,"type":"article-journal","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infections","volume":"21","author":[{"family":"Avšič-Županc","given":"T."},{"family":"Saksida","given":"A."},{"family":"Korva","given":"M."}],"issued":{"date-parts":[["2019",4]]}}}],"schema":"https://github.com/citation-style-language/schema/raw/master/csl-citation.json"} </w:instrText>
      </w:r>
      <w:r>
        <w:fldChar w:fldCharType="separate"/>
      </w:r>
      <w:r w:rsidRPr="0074017E">
        <w:t>[1]</w:t>
      </w:r>
      <w:r>
        <w:fldChar w:fldCharType="end"/>
      </w:r>
      <w:r w:rsidRPr="0074017E">
        <w:t xml:space="preserve">. Furthermore, the host's aggressive immune response, often described as a cytokine storm, exacerbates the </w:t>
      </w:r>
      <w:r w:rsidRPr="0074017E">
        <w:t xml:space="preserve">vascular damage </w:t>
      </w:r>
      <w:r>
        <w:fldChar w:fldCharType="begin"/>
      </w:r>
      <w:r w:rsidR="00033007">
        <w:instrText xml:space="preserve"> ADDIN ZOTERO_ITEM CSL_CITATION {"citationID":"7PDrMrIt","properties":{"unsorted":false,"formattedCitation":"[2]","plainCitation":"[2]","noteIndex":0},"citationItems":[{"id":31,"uris":["http://zotero.org/users/local/ilBrW4kW/items/4GAQ5C5K"],"itemData":{"id":31,"type":"article-journal","abstract":"Hemorrhagic Fever with Renal Syndrome (HFRS) is the most frequently diagnosed zoonosis in Asia. This zoonotic infection is the result of exposure to the virus-contaminated aerosols. Orthohantavirus infection may cause Hemorrhagic Fever with Renal Syndrome (HRFS), a disease that is characterized by acute kidney injury and increased vascular permeability. Several species of orthohantaviruses were identified as causing infection, where Hantaan, Puumala, and Seoul viruses are most common. Orthohantaviruses are endemic to several Asian countries, such as China, South Korea, and Japan. Along with those countries, HFRS tops the list of zoonotic infections in the Far Eastern Federal District of Russia. Recently, orthohantavirus circulation was demonstrated in small mammals in Thailand and India, where orthohantavirus was not believed to be endemic. In this review, we summarized the current data on orthohantaviruses in Asia. We gave the synopsis of the history and diversity of orthohantaviruses in Asia. We also described the clinical presentation and current understanding of the pathogenesis of orthohantavirus infection. Additionally, conventional and novel approaches for preventing and treating orthohantavirus infection are discussed.","container-title":"Viruses","DOI":"10.3390/v15020561","ISSN":"1999-4915","issue":"2","journalAbbreviation":"Viruses","language":"en","page":"561","source":"DOI.org (Crossref)","title":"Hemorrhagic Fever with Renal Syndrome in Asia: History, Pathogenesis, Diagnosis, Treatment, and Prevention","title-short":"Hemorrhagic Fever with Renal Syndrome in Asia","volume":"15","author":[{"family":"Sehgal","given":"Ayushi"},{"family":"Mehta","given":"Sanya"},{"family":"Sahay","given":"Kritika"},{"family":"Martynova","given":"Ekaterina"},{"family":"Rizvanov","given":"Albert"},{"family":"Baranwal","given":"Manoj"},{"family":"Chandy","given":"Sara"},{"family":"Khaiboullina","given":"Svetlana"},{"family":"Kabwe","given":"Emmanuel"},{"family":"Davidyuk","given":"Yuriy"}],"issued":{"date-parts":[["2023",2,18]]}}}],"schema":"https://github.com/citation-style-language/schema/raw/master/csl-citation.json"} </w:instrText>
      </w:r>
      <w:r>
        <w:fldChar w:fldCharType="separate"/>
      </w:r>
      <w:r w:rsidR="00033007" w:rsidRPr="00033007">
        <w:t>[2]</w:t>
      </w:r>
      <w:r>
        <w:fldChar w:fldCharType="end"/>
      </w:r>
      <w:r w:rsidRPr="0074017E">
        <w:t xml:space="preserve">. This systemic hyper-inflammation promotes further endothelial barrier breakdown, coagulopathy, and profound thrombocytopenia, which are the clinical hallmarks of severe HFRS </w:t>
      </w:r>
      <w:r>
        <w:fldChar w:fldCharType="begin"/>
      </w:r>
      <w:r w:rsidR="00033007">
        <w:instrText xml:space="preserve"> ADDIN ZOTERO_ITEM CSL_CITATION {"citationID":"IkH4aXSg","properties":{"unsorted":false,"formattedCitation":"[2]","plainCitation":"[2]","noteIndex":0},"citationItems":[{"id":31,"uris":["http://zotero.org/users/local/ilBrW4kW/items/4GAQ5C5K"],"itemData":{"id":31,"type":"article-journal","abstract":"Hemorrhagic Fever with Renal Syndrome (HFRS) is the most frequently diagnosed zoonosis in Asia. This zoonotic infection is the result of exposure to the virus-contaminated aerosols. Orthohantavirus infection may cause Hemorrhagic Fever with Renal Syndrome (HRFS), a disease that is characterized by acute kidney injury and increased vascular permeability. Several species of orthohantaviruses were identified as causing infection, where Hantaan, Puumala, and Seoul viruses are most common. Orthohantaviruses are endemic to several Asian countries, such as China, South Korea, and Japan. Along with those countries, HFRS tops the list of zoonotic infections in the Far Eastern Federal District of Russia. Recently, orthohantavirus circulation was demonstrated in small mammals in Thailand and India, where orthohantavirus was not believed to be endemic. In this review, we summarized the current data on orthohantaviruses in Asia. We gave the synopsis of the history and diversity of orthohantaviruses in Asia. We also described the clinical presentation and current understanding of the pathogenesis of orthohantavirus infection. Additionally, conventional and novel approaches for preventing and treating orthohantavirus infection are discussed.","container-title":"Viruses","DOI":"10.3390/v15020561","ISSN":"1999-4915","issue":"2","journalAbbreviation":"Viruses","language":"en","page":"561","source":"DOI.org (Crossref)","title":"Hemorrhagic Fever with Renal Syndrome in Asia: History, Pathogenesis, Diagnosis, Treatment, and Prevention","title-short":"Hemorrhagic Fever with Renal Syndrome in Asia","volume":"15","author":[{"family":"Sehgal","given":"Ayushi"},{"family":"Mehta","given":"Sanya"},{"family":"Sahay","given":"Kritika"},{"family":"Martynova","given":"Ekaterina"},{"family":"Rizvanov","given":"Albert"},{"family":"Baranwal","given":"Manoj"},{"family":"Chandy","given":"Sara"},{"family":"Khaiboullina","given":"Svetlana"},{"family":"Kabwe","given":"Emmanuel"},{"family":"Davidyuk","given":"Yuriy"}],"issued":{"date-parts":[["2023",2,18]]}}}],"schema":"https://github.com/citation-style-language/schema/raw/master/csl-citation.json"} </w:instrText>
      </w:r>
      <w:r>
        <w:fldChar w:fldCharType="separate"/>
      </w:r>
      <w:r w:rsidR="00033007" w:rsidRPr="00033007">
        <w:t>[2]</w:t>
      </w:r>
      <w:r>
        <w:fldChar w:fldCharType="end"/>
      </w:r>
      <w:r w:rsidRPr="0074017E">
        <w:t>.</w:t>
      </w:r>
    </w:p>
    <w:p w14:paraId="79E3D094" w14:textId="651AB545" w:rsidR="0074017E" w:rsidRDefault="00A7063B" w:rsidP="0074017E">
      <w:pPr>
        <w:spacing w:after="80" w:line="360" w:lineRule="auto"/>
        <w:ind w:firstLine="720"/>
        <w:jc w:val="both"/>
      </w:pPr>
      <w:r w:rsidRPr="00A7063B">
        <w:t xml:space="preserve">Clinical management of HFRS remains overwhelmingly supportive. </w:t>
      </w:r>
      <w:r w:rsidR="004D43AF" w:rsidRPr="004D43AF">
        <w:t>While the antiviral Ribavirin demonstrates limited efficacy when administered early, there are currently no universally approved, targeted therapeutics for HTNV infection, highlighting an urgent need for novel interventions capable of counteracting the multifaceted pathogenesis of HFRS</w:t>
      </w:r>
      <w:r w:rsidR="004D43AF">
        <w:t xml:space="preserve"> </w:t>
      </w:r>
      <w:r w:rsidR="0074017E">
        <w:fldChar w:fldCharType="begin"/>
      </w:r>
      <w:r w:rsidR="00033007">
        <w:instrText xml:space="preserve"> ADDIN ZOTERO_ITEM CSL_CITATION {"citationID":"rZbfWm0X","properties":{"unsorted":false,"formattedCitation":"[1], [4]","plainCitation":"[1], [4]","noteIndex":0},"citationItems":[{"id":28,"uris":["http://zotero.org/users/local/ilBrW4kW/items/Y3ECFL3M"],"itemData":{"id":28,"type":"article-journal","container-title":"Clinical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id":29,"uris":["http://zotero.org/users/local/ilBrW4kW/items/VK9G58Y4"],"itemData":{"id":29,"type":"article-journal","abstract":"Hantaviruses are a significant and emerging global public health threat, impacting more than 200,000 individuals worldwide each year. The single-stranded RNA viruses belong to the\n              Hantaviridae\n              family and are responsible for causing two acute febrile diseases in humans: Hantavirus pulmonary syndrome (HPS) and hemorrhagic fever with renal syndrome (HFRS). Currently, there are no licensed treatments or vaccines available globally for HTNV infection. Various candidate drugs have shown efficacy in increasing survival rates during the early stages of HTNV infection. Some of these drugs include lactoferrin, ribavirin, ETAR, favipiravir and vandetanib. Immunotherapy utilizing neutralizing antibodies (NAbs) generated from Hantavirus convalescent patients show efficacy against HTNV. Monoclonal antibodies such as MIB22 and JL16 have demonstrated effectiveness in protecting against HTNV infection. The development of vaccines and antivirals, used independently and/or in combination, is critical for elucidating hantaviral infections and the impact on public health. RNA interference (RNAi) arised as an emerging antiviral therapy, is a highly specific degrades RNA, with post-transcriptional mechanism using eukaryotic cells platform. That has demonstrated efficacy against a wide range of viruses, both\n              in vitro\n              and\n              in vivo\n              . Recent antiviral methods involve using small interfering RNA (siRNA) and other, immune-based therapies to target specific gene segments (S, M, or L) of the Hantavirus. This therapeutic approach enhances viral RNA clearance through the RNA interference process in Vero E6 cells or human lung microvascular endothelial cells. However, the use of siRNAs faces challenges due to their low biological stability and limited\n              in vivo\n              targeting ability. Despite their successful inhibition of Hantavirus replication in host cells, their antiviral efficacy may be hindered. In the current review, we focus on advances in therapeutic strategies, as antiviral medications, immune-based therapies and vaccine candidates aimed at enhancing the body’s ability to control the progression of Hantavirus infections, with the potential to reduce the risk of severe disease.","container-title":"Frontiers in Microbiology","DOI":"10.3389/fmicb.2023.1233433","ISSN":"1664-302X","journalAbbreviation":"Front. Microbiol.","page":"1233433","source":"DOI.org (Crossref)","title":"Hantavirus: an overview and advancements in therapeutic approaches for infection","title-short":"Hantavirus","volume":"14","author":[{"family":"Afzal","given":"Samia"},{"family":"Ali","given":"Liaqat"},{"family":"Batool","given":"Anum"},{"family":"Afzal","given":"Momina"},{"family":"Kanwal","given":"Nida"},{"family":"Hassan","given":"Muhammad"},{"family":"Safdar","given":"Muhammad"},{"family":"Ahmad","given":"Atif"},{"family":"Yang","given":"Jing"}],"issued":{"date-parts":[["2023",10,12]]}}}],"schema":"https://github.com/citation-style-language/schema/raw/master/csl-citation.json"} </w:instrText>
      </w:r>
      <w:r w:rsidR="0074017E">
        <w:fldChar w:fldCharType="separate"/>
      </w:r>
      <w:r w:rsidR="00033007" w:rsidRPr="00033007">
        <w:t>[1], [4]</w:t>
      </w:r>
      <w:r w:rsidR="0074017E">
        <w:fldChar w:fldCharType="end"/>
      </w:r>
      <w:r w:rsidR="0074017E" w:rsidRPr="0074017E">
        <w:t>.</w:t>
      </w:r>
    </w:p>
    <w:p w14:paraId="32251831" w14:textId="70A224B6" w:rsidR="0074017E" w:rsidRDefault="0074017E" w:rsidP="0074017E">
      <w:pPr>
        <w:spacing w:after="80" w:line="360" w:lineRule="auto"/>
        <w:ind w:firstLine="720"/>
        <w:jc w:val="both"/>
      </w:pPr>
      <w:r w:rsidRPr="0074017E">
        <w:t xml:space="preserve">Recent advancements in single-cell RNA sequencing (scRNA-seq) have revolutionized our understanding of the profound intercellular heterogeneity and complex immune landscape during HTNV infection. A breakthrough finding in recent scRNA-seq studies on the peripheral blood mononuclear cells (PBMCs) of critical HFRS patients has been the anomalous presence of circulating Nucleated Red Blood Cells (NRBCs). In the context of HFRS, the absolute count and percentage of circulating NRBCs have been found to correlate strongly and positively with the HTNV viral load and the overall severity of the disease. Transcriptomic and clinical analyses suggest that this phenomenon may be linked to an HTNV-induced arrest in erythroid maturation, compounded by deficiencies in the folate pathway (Vitamin B12 and B9), driving </w:t>
      </w:r>
      <w:r w:rsidRPr="0074017E">
        <w:lastRenderedPageBreak/>
        <w:t xml:space="preserve">megaloblastic changes and the premature release of nucleated precursors </w:t>
      </w:r>
      <w:r>
        <w:fldChar w:fldCharType="begin"/>
      </w:r>
      <w:r>
        <w:instrText xml:space="preserve"> ADDIN ZOTERO_ITEM CSL_CITATION {"citationID":"HxWZZL0A","properties":{"unsorted":false,"formattedCitation":"[5]","plainCitation":"[5]","noteIndex":0},"citationItems":[{"id":34,"uris":["http://zotero.org/users/local/ilBrW4kW/items/PRVMPX87"],"itemData":{"id":34,"type":"article-journal","abstract":"Hemorrhagic fever with renal syndrome (HFRS) is a regional infectious disease of epidemic potential caused by the Hantaan virus (HTNV). Red blood cells (RBCs) are the major components of peripheral blood. However, pathological changes in RBCs and the underlying mechanisms during HTNV infection remain largely unclear. Therefore, this study sought to explore changes in RBCs in the peripheral blood of HFRS patients. We isolated PBMCs from HFRS patients and performed single-cell RNA sequencing. The results showed that clusters of RBCs in the peripheral blood of HFRS could be classified as nucleated red blood cells (NRBC) based on their cellular components, gene expression profiles and cell surface markers. In addition, it was shown that the higher the count of NRBC in peripheral blood, the more severe the disease status was. Moreover, hematological indices related to RBCs were analyzed and the results showed that impairment in the folate pathway might be the possible reason behind the presence of NRBCs. This study, for the first time showed that the presence of NRBCs in the peripheral blood of HFRS patients was associated with disease severity. This was also the first study to show that infection with the HTNV virus hindered the maturation of RBCs. Therefore, this work provides further insights on the role of and pathological changes in RBCs during HTNV infection.","container-title":"Frontiers in Medicine","DOI":"10.3389/fmed.2021.665410","ISSN":"2296-858X","journalAbbreviation":"Front. Med.","page":"665410","source":"DOI.org (Crossref)","title":"The Presence of Circulating Nucleated Red Blood Cells Is Associated With Disease Severity in Patients of Hemorrhagic Fever With Renal Syndrome","volume":"8","author":[{"family":"Zhang","given":"Jingang"},{"family":"Tang","given":"Kang"},{"family":"Zhang","given":"Yun"},{"family":"Ma","given":"Ying"},{"family":"Zhang","given":"Chunmei"},{"family":"Hu","given":"Haifeng"},{"family":"Jia","given":"Xiaozhou"},{"family":"Zhuang","given":"Ran"},{"family":"Jin","given":"Boquan"},{"family":"Wang","given":"Meng"},{"family":"Zhang","given":"Xiyue"},{"family":"Liu","given":"Dalu"},{"family":"Zhang","given":"Yusi"}],"issued":{"date-parts":[["2021",5,25]]}}}],"schema":"https://github.com/citation-style-language/schema/raw/master/csl-citation.json"} </w:instrText>
      </w:r>
      <w:r>
        <w:fldChar w:fldCharType="separate"/>
      </w:r>
      <w:r w:rsidRPr="0074017E">
        <w:t>[5]</w:t>
      </w:r>
      <w:r>
        <w:fldChar w:fldCharType="end"/>
      </w:r>
      <w:r w:rsidRPr="0074017E">
        <w:t>.</w:t>
      </w:r>
    </w:p>
    <w:p w14:paraId="070457A8" w14:textId="010E3C98" w:rsidR="00296717" w:rsidRDefault="00227591" w:rsidP="005E5E89">
      <w:pPr>
        <w:spacing w:after="80" w:line="360" w:lineRule="auto"/>
        <w:ind w:firstLine="720"/>
        <w:jc w:val="both"/>
      </w:pPr>
      <w:r w:rsidRPr="00227591">
        <w:t xml:space="preserve">Despite these insights, a critical research gap remains in translating these high-resolution single-cell discoveries into actionable clinical interventions. Traditional bulk-tissue transcriptomic approaches often mask the critical gene expression signatures of rare but highly pathogenic cell populations, such as NRBCs, leaving a void in targeted therapies for HFRS. The advent of high-resolution scRNA-seq datasets presents a unique opportunity to bridge this gap using advanced in silico drug repurposing methodologies. To address this, we utilized the ASGARD (A Single-cell Guided Pipeline to Aid Repurposing of Drugs) computational pipeline. ASGARD defines a robust multi-cluster drug score that considers the unique transcriptomic alterations across all individual cell clusters, explicitly targeting the intercellular heterogeneity of the disease. </w:t>
      </w:r>
      <w:r w:rsidR="005E5E89" w:rsidRPr="005E5E89">
        <w:t>In this study, we hypothesize that mapping the single-cell transcriptomic signature of HFRS, with a particular focus on global immune hyperactivation and the distinct NRBC maturation defect, against massive pharmacogenomic databases will overcome previous analytical limitations and uncover viable, ready-to-deploy therapeutic candidates for Hantaan virus infection.</w:t>
      </w:r>
    </w:p>
    <w:p w14:paraId="15BC7A26" w14:textId="77777777" w:rsidR="00296717" w:rsidRDefault="00296717" w:rsidP="00296717">
      <w:pPr>
        <w:spacing w:after="80" w:line="360" w:lineRule="auto"/>
        <w:jc w:val="both"/>
      </w:pPr>
    </w:p>
    <w:p w14:paraId="4719B25A" w14:textId="77777777" w:rsidR="002D67A5" w:rsidRDefault="002D67A5" w:rsidP="00296717">
      <w:pPr>
        <w:spacing w:after="80" w:line="360" w:lineRule="auto"/>
        <w:jc w:val="both"/>
      </w:pPr>
    </w:p>
    <w:p w14:paraId="74EDE65F" w14:textId="77777777" w:rsidR="002D67A5" w:rsidRDefault="002D67A5" w:rsidP="00296717">
      <w:pPr>
        <w:spacing w:after="80" w:line="360" w:lineRule="auto"/>
        <w:jc w:val="both"/>
      </w:pPr>
    </w:p>
    <w:p w14:paraId="0FF8F461" w14:textId="19D8871E" w:rsidR="00E301EC" w:rsidRDefault="00E301EC" w:rsidP="00DE4AE8">
      <w:pPr>
        <w:pStyle w:val="Heading2"/>
        <w:rPr>
          <w:b/>
          <w:bCs/>
          <w:color w:val="auto"/>
          <w:sz w:val="24"/>
          <w:szCs w:val="24"/>
        </w:rPr>
      </w:pPr>
      <w:r w:rsidRPr="00DE4AE8">
        <w:rPr>
          <w:b/>
          <w:bCs/>
          <w:color w:val="auto"/>
          <w:sz w:val="24"/>
          <w:szCs w:val="24"/>
        </w:rPr>
        <w:t>II. METHODOLOGY</w:t>
      </w:r>
    </w:p>
    <w:p w14:paraId="4FE94CA3" w14:textId="77777777" w:rsidR="00DE4AE8" w:rsidRPr="00DE4AE8" w:rsidRDefault="00DE4AE8" w:rsidP="00DE4AE8"/>
    <w:p w14:paraId="5CC3DB65" w14:textId="0E17DC8B" w:rsidR="00E301EC" w:rsidRPr="00E301EC" w:rsidRDefault="00B04716" w:rsidP="00E301EC">
      <w:pPr>
        <w:spacing w:after="80" w:line="360" w:lineRule="auto"/>
        <w:ind w:firstLine="720"/>
        <w:jc w:val="both"/>
      </w:pPr>
      <w:r w:rsidRPr="00B04716">
        <w:t>This independent in silico drug repurposing workflow utilizes secondary scRNA-seq data to evaluate therapeutic candidates. The core analytical techniques employed include Canonical Correlation Analysis (CCA) for batch-effect correction, unsupervised graph-based clustering via UMAP for cellular resolution, Wilcoxon Rank-Sum testing for differential expression profiling, and Kolmogorov-Smirnov (K-S) statistical testing within the ASGARD pipeline to evaluate drug-induced transcriptomic reversal. The foundational clinical correlations and cell type discoveries were previously established in the base study by Zhang et al</w:t>
      </w:r>
      <w:r w:rsidR="00921DC4">
        <w:t>.</w:t>
      </w:r>
      <w:r w:rsidR="001E5788">
        <w:t xml:space="preserve"> </w:t>
      </w:r>
      <w:r w:rsidR="001E5788">
        <w:fldChar w:fldCharType="begin"/>
      </w:r>
      <w:r w:rsidR="001E5788">
        <w:instrText xml:space="preserve"> ADDIN ZOTERO_ITEM CSL_CITATION {"citationID":"HnYPkgpy","properties":{"unsorted":false,"formattedCitation":"[5]","plainCitation":"[5]","noteIndex":0},"citationItems":[{"id":34,"uris":["http://zotero.org/users/local/ilBrW4kW/items/PRVMPX87"],"itemData":{"id":34,"type":"article-journal","abstract":"Hemorrhagic fever with renal syndrome (HFRS) is a regional infectious disease of epidemic potential caused by the Hantaan virus (HTNV). Red blood cells (RBCs) are the major components of peripheral blood. However, pathological changes in RBCs and the underlying mechanisms during HTNV infection remain largely unclear. Therefore, this study sought to explore changes in RBCs in the peripheral blood of HFRS patients. We isolated PBMCs from HFRS patients and performed single-cell RNA sequencing. The results showed that clusters of RBCs in the peripheral blood of HFRS could be classified as nucleated red blood cells (NRBC) based on their cellular components, gene expression profiles and cell surface markers. In addition, it was shown that the higher the count of NRBC in peripheral blood, the more severe the disease status was. Moreover, hematological indices related to RBCs were analyzed and the results showed that impairment in the folate pathway might be the possible reason behind the presence of NRBCs. This study, for the first time showed that the presence of NRBCs in the peripheral blood of HFRS patients was associated with disease severity. This was also the first study to show that infection with the HTNV virus hindered the maturation of RBCs. Therefore, this work provides further insights on the role of and pathological changes in RBCs during HTNV infection.","container-title":"Frontiers in Medicine","DOI":"10.3389/fmed.2021.665410","ISSN":"2296-858X","journalAbbreviation":"Front. Med.","page":"665410","source":"DOI.org (Crossref)","title":"The Presence of Circulating Nucleated Red Blood Cells Is Associated With Disease Severity in Patients of Hemorrhagic Fever With Renal Syndrome","volume":"8","author":[{"family":"Zhang","given":"Jingang"},{"family":"Tang","given":"Kang"},{"family":"Zhang","given":"Yun"},{"family":"Ma","given":"Ying"},{"family":"Zhang","given":"Chunmei"},{"family":"Hu","given":"Haifeng"},{"family":"Jia","given":"Xiaozhou"},{"family":"Zhuang","given":"Ran"},{"family":"Jin","given":"Boquan"},{"family":"Wang","given":"Meng"},{"family":"Zhang","given":"Xiyue"},{"family":"Liu","given":"Dalu"},{"family":"Zhang","given":"Yusi"}],"issued":{"date-parts":[["2021",5,25]]}}}],"schema":"https://github.com/citation-style-language/schema/raw/master/csl-citation.json"} </w:instrText>
      </w:r>
      <w:r w:rsidR="001E5788">
        <w:fldChar w:fldCharType="separate"/>
      </w:r>
      <w:r w:rsidR="001E5788" w:rsidRPr="00E301EC">
        <w:t>[5]</w:t>
      </w:r>
      <w:r w:rsidR="001E5788">
        <w:fldChar w:fldCharType="end"/>
      </w:r>
      <w:r w:rsidRPr="00B04716">
        <w:t>.</w:t>
      </w:r>
    </w:p>
    <w:p w14:paraId="60C48755" w14:textId="77777777" w:rsidR="00E301EC" w:rsidRPr="00E301EC" w:rsidRDefault="00E301EC" w:rsidP="00E301EC">
      <w:pPr>
        <w:spacing w:after="80" w:line="360" w:lineRule="auto"/>
        <w:jc w:val="both"/>
        <w:rPr>
          <w:b/>
          <w:bCs/>
        </w:rPr>
      </w:pPr>
      <w:r w:rsidRPr="00E301EC">
        <w:rPr>
          <w:b/>
          <w:bCs/>
        </w:rPr>
        <w:t>A. Data Acquisition and Quality Control</w:t>
      </w:r>
    </w:p>
    <w:p w14:paraId="6E88B951" w14:textId="77777777" w:rsidR="00E301EC" w:rsidRPr="00E301EC" w:rsidRDefault="00E301EC" w:rsidP="00E301EC">
      <w:pPr>
        <w:spacing w:after="80" w:line="360" w:lineRule="auto"/>
        <w:ind w:firstLine="720"/>
        <w:jc w:val="both"/>
      </w:pPr>
      <w:r w:rsidRPr="00E301EC">
        <w:t>Raw single-cell RNA sequencing (scRNA-seq) datasets were obtained from the National Center for Biotechnology Information (NCBI) Gene Expression Omnibus (GEO) under the accession number GSE161354. This dataset comprises peripheral blood mononuclear cells (PBMCs) from hospitalized HFRS patients and normal healthy controls.</w:t>
      </w:r>
    </w:p>
    <w:p w14:paraId="0E3A58C8" w14:textId="56E6FD73" w:rsidR="00E301EC" w:rsidRPr="00E301EC" w:rsidRDefault="00E301EC" w:rsidP="00E301EC">
      <w:pPr>
        <w:spacing w:after="80" w:line="360" w:lineRule="auto"/>
        <w:ind w:firstLine="720"/>
        <w:jc w:val="both"/>
      </w:pPr>
      <w:r w:rsidRPr="00E301EC">
        <w:t>Data processing and quality control were executed using the Seurat package (version 5.4.0) in R</w:t>
      </w:r>
      <w:r w:rsidR="006333B0">
        <w:t xml:space="preserve"> </w:t>
      </w:r>
      <w:r w:rsidR="00CD25CA">
        <w:fldChar w:fldCharType="begin"/>
      </w:r>
      <w:r w:rsidR="006F1D9B">
        <w:instrText xml:space="preserve"> ADDIN ZOTERO_ITEM CSL_CITATION {"citationID":"LKmlxL0S","properties":{"unsorted":false,"formattedCitation":"[6]","plainCitation":"[6]","noteIndex":0},"citationItems":[{"id":38,"uris":["http://zotero.org/users/local/ilBrW4kW/items/ZGVDHE9I"],"itemData":{"id":38,"type":"article-journal","container-title":"Nature Biotechnology","DOI":"10.1038/s41587-023-01767-y","ISSN":"1087-0156, 1546-1696","issue":"2","journalAbbreviation":"Nat Biotechnol","language":"en","page":"293-304","source":"DOI.org (Crossref)","title":"Dictionary learning for integrative, multimodal and scalable single-cell analysis","volume":"42","author":[{"family":"Hao","given":"Yuhan"},{"family":"Stuart","given":"Tim"},{"family":"Kowalski","given":"Madeline H."},{"family":"Choudhary","given":"Saket"},{"family":"Hoffman","given":"Paul"},{"family":"Hartman","given":"Austin"},{"family":"Srivastava","given":"Avi"},{"family":"Molla","given":"Gesmira"},{"family":"Madad","given":"Shaista"},{"family":"Fernandez-Granda","given":"Carlos"},{"family":"Satija","given":"Rahul"}],"issued":{"date-parts":[["2024",2]]}}}],"schema":"https://github.com/citation-style-language/schema/raw/master/csl-citation.json"} </w:instrText>
      </w:r>
      <w:r w:rsidR="00CD25CA">
        <w:fldChar w:fldCharType="separate"/>
      </w:r>
      <w:r w:rsidR="006F1D9B" w:rsidRPr="006F1D9B">
        <w:t>[6]</w:t>
      </w:r>
      <w:r w:rsidR="00CD25CA">
        <w:fldChar w:fldCharType="end"/>
      </w:r>
      <w:r w:rsidRPr="00E301EC">
        <w:t xml:space="preserve">. To eliminate low-quality cells, empty droplets, and cellular debris, strict filtering thresholds were applied across all samples. Cells expressing fewer than 200 genes (nFeature_RNA &lt; 200) or possessing a mitochondrial gene expression ratio greater than 20% (percent.mt &gt; </w:t>
      </w:r>
      <w:r w:rsidRPr="00E301EC">
        <w:lastRenderedPageBreak/>
        <w:t>20) were filtered out. Subsequently, to prevent mitochondrial transcripts from skewing downstream clustering and differential expression, all mitochondrial genes were explicitly removed from the active gene expression matrix.</w:t>
      </w:r>
    </w:p>
    <w:p w14:paraId="6F6CA9F9" w14:textId="77777777" w:rsidR="00E301EC" w:rsidRPr="00E301EC" w:rsidRDefault="00E301EC" w:rsidP="00E301EC">
      <w:pPr>
        <w:spacing w:after="80" w:line="360" w:lineRule="auto"/>
        <w:jc w:val="both"/>
        <w:rPr>
          <w:b/>
          <w:bCs/>
        </w:rPr>
      </w:pPr>
      <w:r w:rsidRPr="00E301EC">
        <w:rPr>
          <w:b/>
          <w:bCs/>
        </w:rPr>
        <w:t>B. Data Integration and Clustering</w:t>
      </w:r>
    </w:p>
    <w:p w14:paraId="4020C90B" w14:textId="119747E6" w:rsidR="00E301EC" w:rsidRPr="00E301EC" w:rsidRDefault="00C42C55" w:rsidP="00E301EC">
      <w:pPr>
        <w:spacing w:after="80" w:line="360" w:lineRule="auto"/>
        <w:ind w:firstLine="720"/>
        <w:jc w:val="both"/>
      </w:pPr>
      <w:r w:rsidRPr="00C42C55">
        <w:t>To correct technical batch effects, Canonical Correlation Analysis (CCA) was applied using Seurat's IntegrateData function. Following integration and scaling, Principal Component Analysis (PCA) and unsupervised graph-based clustering (resolution 0.5) were executed, and clusters were visualized via UMAP. To verify the presence of the pathogenic nucleated red blood cell (NRBC) clusters in the base study, we mapped hallmark hemoglobin genes (HBA1, HBA2, and HBB) across our UMAP embeddings.</w:t>
      </w:r>
    </w:p>
    <w:p w14:paraId="44CD7014" w14:textId="77777777" w:rsidR="00E301EC" w:rsidRPr="00E301EC" w:rsidRDefault="00E301EC" w:rsidP="00E301EC">
      <w:pPr>
        <w:spacing w:after="80" w:line="360" w:lineRule="auto"/>
        <w:jc w:val="both"/>
        <w:rPr>
          <w:b/>
          <w:bCs/>
        </w:rPr>
      </w:pPr>
      <w:r w:rsidRPr="00E301EC">
        <w:rPr>
          <w:b/>
          <w:bCs/>
        </w:rPr>
        <w:t>C. Differential Expression Analysis</w:t>
      </w:r>
    </w:p>
    <w:p w14:paraId="70DC3787" w14:textId="066BC93D" w:rsidR="000336B9" w:rsidRPr="00E301EC" w:rsidRDefault="00E301EC" w:rsidP="00CD5EBB">
      <w:pPr>
        <w:spacing w:after="80" w:line="360" w:lineRule="auto"/>
        <w:ind w:firstLine="720"/>
        <w:jc w:val="both"/>
      </w:pPr>
      <w:r w:rsidRPr="00E301EC">
        <w:t>To capture the specific transcriptomic signature of the HFRS disease state, Differential Expression Genes (DEGs) were calculated for each identified cluster. We performed a direct comparison between the cells derived from the HFRS disease state and the cells from the normal healthy controls within each specific cluster. The DEGs were computed utilizing the standard Seurat Wilcoxon Rank-Sum test (FindMarkers). To ensure a broad and robust input for the downstream drug repurposing algorithms, the testing thresholds were set to a minimum log fold-change (logfc.threshold) of 0.1 and a minimum cellular expression percentage (min.pct) of 10%.</w:t>
      </w:r>
    </w:p>
    <w:p w14:paraId="0DBD4330" w14:textId="1771B3CD" w:rsidR="00E301EC" w:rsidRPr="00E301EC" w:rsidRDefault="00E301EC" w:rsidP="00E301EC">
      <w:pPr>
        <w:spacing w:after="80" w:line="360" w:lineRule="auto"/>
        <w:jc w:val="both"/>
        <w:rPr>
          <w:b/>
          <w:bCs/>
        </w:rPr>
      </w:pPr>
      <w:r w:rsidRPr="00E301EC">
        <w:rPr>
          <w:b/>
          <w:bCs/>
        </w:rPr>
        <w:t xml:space="preserve">D. Drug Repurposing </w:t>
      </w:r>
      <w:r w:rsidR="00F04781">
        <w:rPr>
          <w:b/>
          <w:bCs/>
        </w:rPr>
        <w:t xml:space="preserve">using </w:t>
      </w:r>
      <w:r w:rsidRPr="00E301EC">
        <w:rPr>
          <w:b/>
          <w:bCs/>
        </w:rPr>
        <w:t>ASGARD</w:t>
      </w:r>
    </w:p>
    <w:p w14:paraId="30C73B9D" w14:textId="6453589D" w:rsidR="00E301EC" w:rsidRPr="00E301EC" w:rsidRDefault="00E301EC" w:rsidP="00E301EC">
      <w:pPr>
        <w:spacing w:after="80" w:line="360" w:lineRule="auto"/>
        <w:ind w:firstLine="720"/>
        <w:jc w:val="both"/>
      </w:pPr>
      <w:r w:rsidRPr="00E301EC">
        <w:t>The extracted DEG lists</w:t>
      </w:r>
      <w:r>
        <w:t xml:space="preserve">, </w:t>
      </w:r>
      <w:r w:rsidRPr="00E301EC">
        <w:t>representing the disease-induced transcriptomic alterations across all viable cell clusters</w:t>
      </w:r>
      <w:r>
        <w:t xml:space="preserve"> </w:t>
      </w:r>
      <w:r w:rsidRPr="00E301EC">
        <w:t>were imported into the ASGARD (A Single-cell Guided Pipeline to Aid Repurposing of Drugs) computational pipeline (version 1.0.0)</w:t>
      </w:r>
      <w:r>
        <w:t xml:space="preserve"> </w:t>
      </w:r>
      <w:r>
        <w:fldChar w:fldCharType="begin"/>
      </w:r>
      <w:r w:rsidR="006F1D9B">
        <w:instrText xml:space="preserve"> ADDIN ZOTERO_ITEM CSL_CITATION {"citationID":"pZ7FDw6N","properties":{"unsorted":false,"formattedCitation":"[7]","plainCitation":"[7]","noteIndex":0},"citationItems":[{"id":36,"uris":["http://zotero.org/users/local/ilBrW4kW/items/M5PWIEVC"],"itemData":{"id":36,"type":"article-journal","abstract":"Abstract\n            \n              Single-cell RNA sequencing technology has enabled in-depth analysis of intercellular heterogeneity in various diseases. However, its full potential for precision medicine has yet to be reached. Towards this, we propose A Single-cell Guided Pipeline to Aid Repurposing of Drugs (ASGARD) that defines a drug score to recommend drugs by considering all cell clusters to address the intercellular heterogeneity within each patient. ASGARD shows significantly better average accuracy on single-drug therapy compared to two bulk-cell-based drug repurposing methods. We also demonstrated that it performs considerably better than other cell cluster-level predicting methods. In addition, we validate ASGARD using the drug response prediction method TRANSACT with Triple-Negative-Breast-Cancer patient samples. We find that many top-ranked drugs are either approved by the Food and Drug Administration or in clinical trials treating corresponding diseases. In conclusion, ASGARD is a promising drug repurposing recommendation tool guided by single-cell RNA-seq for personalized medicine. ASGARD is free for educational use at\n              https://github.com/lanagarmire/ASGARD\n              .","container-title":"Nature Communications","DOI":"10.1038/s41467-023-36637-3","ISSN":"2041-1723","issue":"1","journalAbbreviation":"Nat Commun","language":"en","page":"993","source":"DOI.org (Crossref)","title":"ASGARD is A Single-cell Guided Pipeline to Aid Repurposing of Drugs","volume":"14","author":[{"family":"He","given":"Bing"},{"family":"Xiao","given":"Yao"},{"family":"Liang","given":"Haodong"},{"family":"Huang","given":"Qianhui"},{"family":"Du","given":"Yuheng"},{"family":"Li","given":"Yijun"},{"family":"Garmire","given":"David"},{"family":"Sun","given":"Duxin"},{"family":"Garmire","given":"Lana X."}],"issued":{"date-parts":[["2023",2,22]]}}}],"schema":"https://github.com/citation-style-language/schema/raw/master/csl-citation.json"} </w:instrText>
      </w:r>
      <w:r>
        <w:fldChar w:fldCharType="separate"/>
      </w:r>
      <w:r w:rsidR="006F1D9B" w:rsidRPr="006F1D9B">
        <w:t>[7]</w:t>
      </w:r>
      <w:r>
        <w:fldChar w:fldCharType="end"/>
      </w:r>
      <w:r w:rsidRPr="00E301EC">
        <w:t>. ASGARD calculates a multi-cluster drug score by evaluating a drug’s potential efficacy across multiple distinct cell populations simultaneously, thereby addressing the intercellular heterogeneity of HFRS.</w:t>
      </w:r>
    </w:p>
    <w:p w14:paraId="6646D232" w14:textId="13ECBE63" w:rsidR="00E301EC" w:rsidRPr="00E301EC" w:rsidRDefault="00E301EC" w:rsidP="00E301EC">
      <w:pPr>
        <w:spacing w:after="80" w:line="360" w:lineRule="auto"/>
        <w:ind w:firstLine="720"/>
        <w:jc w:val="both"/>
      </w:pPr>
      <w:r w:rsidRPr="00E301EC">
        <w:t>The pipeline queried the extensive LINCS L1000 database (specifically utilizing datasets GSE92742 and GSE70138), which contains gene expression perturbation profiles for thousands of compounds. To maximize biological relevance, the database was dynamically filtered to only evaluate drug responses documented within native hematopoietic and lymphoid tissue cell lines.</w:t>
      </w:r>
    </w:p>
    <w:p w14:paraId="45FAB20A" w14:textId="77777777" w:rsidR="00E301EC" w:rsidRDefault="00E301EC" w:rsidP="00E301EC">
      <w:pPr>
        <w:spacing w:after="80" w:line="360" w:lineRule="auto"/>
        <w:ind w:firstLine="720"/>
        <w:jc w:val="both"/>
      </w:pPr>
      <w:r w:rsidRPr="00E301EC">
        <w:t>For each individual cell cluster, ASGARD performed a Kolmogorov-Smirnov (K-S) test to identify drugs capable of significantly reversing the disease-specific gene expression pattern. The algorithm then generated an overall Multi-Cluster Drug Score by mathematically integrating the statistical significance (FDR) of the drug's effect, the ratio of target genes reversed, and the relative proportion of each cell cluster within the diseased population. The resulting candidates were compiled and sorted to identify top-ranked therapeutics suitable for repurposing against HFRS.</w:t>
      </w:r>
    </w:p>
    <w:p w14:paraId="0316FE93" w14:textId="5602B8FC" w:rsidR="00EF7AE2" w:rsidRDefault="00000000" w:rsidP="00DE4AE8">
      <w:pPr>
        <w:pStyle w:val="Heading2"/>
        <w:rPr>
          <w:b/>
          <w:bCs/>
          <w:color w:val="auto"/>
          <w:sz w:val="24"/>
          <w:szCs w:val="24"/>
        </w:rPr>
      </w:pPr>
      <w:r w:rsidRPr="00DE4AE8">
        <w:rPr>
          <w:b/>
          <w:bCs/>
          <w:color w:val="auto"/>
          <w:sz w:val="24"/>
          <w:szCs w:val="24"/>
        </w:rPr>
        <w:lastRenderedPageBreak/>
        <w:t>III.  RESULTS</w:t>
      </w:r>
    </w:p>
    <w:p w14:paraId="411A2A04" w14:textId="77777777" w:rsidR="00EF35EC" w:rsidRPr="00EF35EC" w:rsidRDefault="00EF35EC" w:rsidP="00EF35EC"/>
    <w:p w14:paraId="7376B086" w14:textId="4930F27B" w:rsidR="00EF35EC" w:rsidRDefault="00EF35EC" w:rsidP="00EF35EC">
      <w:pPr>
        <w:spacing w:line="360" w:lineRule="auto"/>
        <w:ind w:firstLine="720"/>
        <w:jc w:val="both"/>
      </w:pPr>
      <w:r w:rsidRPr="0033312D">
        <w:t>Following integration and unsupervised clustering of the 8 samples, the unified cellular landscape resolved into 20 distinct transcriptomic clusters (Fig. 1).</w:t>
      </w:r>
      <w:r>
        <w:t xml:space="preserve"> </w:t>
      </w:r>
      <w:r w:rsidRPr="00600501">
        <w:t xml:space="preserve">To define the identity of each </w:t>
      </w:r>
      <w:r w:rsidRPr="00600501">
        <w:t>resolved cluster, we extracted highly conserved, positive cluster markers using the Wilcoxon rank-sum test</w:t>
      </w:r>
      <w:r>
        <w:t xml:space="preserve"> </w:t>
      </w:r>
      <w:r>
        <w:fldChar w:fldCharType="begin"/>
      </w:r>
      <w:r w:rsidR="006F1D9B">
        <w:instrText xml:space="preserve"> ADDIN ZOTERO_ITEM CSL_CITATION {"citationID":"p9BiNccT","properties":{"unsorted":false,"formattedCitation":"[6]","plainCitation":"[6]","noteIndex":0},"citationItems":[{"id":38,"uris":["http://zotero.org/users/local/ilBrW4kW/items/ZGVDHE9I"],"itemData":{"id":38,"type":"article-journal","container-title":"Nature Biotechnology","DOI":"10.1038/s41587-023-01767-y","ISSN":"1087-0156, 1546-1696","issue":"2","journalAbbreviation":"Nat Biotechnol","language":"en","page":"293-304","source":"DOI.org (Crossref)","title":"Dictionary learning for integrative, multimodal and scalable single-cell analysis","volume":"42","author":[{"family":"Hao","given":"Yuhan"},{"family":"Stuart","given":"Tim"},{"family":"Kowalski","given":"Madeline H."},{"family":"Choudhary","given":"Saket"},{"family":"Hoffman","given":"Paul"},{"family":"Hartman","given":"Austin"},{"family":"Srivastava","given":"Avi"},{"family":"Molla","given":"Gesmira"},{"family":"Madad","given":"Shaista"},{"family":"Fernandez-Granda","given":"Carlos"},{"family":"Satija","given":"Rahul"}],"issued":{"date-parts":[["2024",2]]}}}],"schema":"https://github.com/citation-style-language/schema/raw/master/csl-citation.json"} </w:instrText>
      </w:r>
      <w:r>
        <w:fldChar w:fldCharType="separate"/>
      </w:r>
      <w:r w:rsidR="006F1D9B" w:rsidRPr="006F1D9B">
        <w:t>[6]</w:t>
      </w:r>
      <w:r>
        <w:fldChar w:fldCharType="end"/>
      </w:r>
      <w:r w:rsidRPr="00600501">
        <w:t>.</w:t>
      </w:r>
    </w:p>
    <w:p w14:paraId="76D54939" w14:textId="77777777" w:rsidR="00EF35EC" w:rsidRDefault="00EF35EC" w:rsidP="00005165">
      <w:pPr>
        <w:jc w:val="both"/>
      </w:pPr>
    </w:p>
    <w:p w14:paraId="5E72DFA1" w14:textId="77777777" w:rsidR="00EF35EC" w:rsidRDefault="00EF35EC" w:rsidP="00005165">
      <w:pPr>
        <w:jc w:val="both"/>
      </w:pPr>
    </w:p>
    <w:p w14:paraId="50F61D75" w14:textId="77777777" w:rsidR="00EF35EC" w:rsidRDefault="00EF35EC" w:rsidP="00005165">
      <w:pPr>
        <w:jc w:val="both"/>
      </w:pPr>
    </w:p>
    <w:p w14:paraId="5955D50C" w14:textId="77777777" w:rsidR="00EF35EC" w:rsidRDefault="00EF35EC" w:rsidP="00005165">
      <w:pPr>
        <w:jc w:val="both"/>
        <w:sectPr w:rsidR="00EF35EC" w:rsidSect="00EF35EC">
          <w:type w:val="continuous"/>
          <w:pgSz w:w="12240" w:h="15840"/>
          <w:pgMar w:top="900" w:right="1080" w:bottom="1080" w:left="1080" w:header="708" w:footer="708" w:gutter="0"/>
          <w:cols w:num="2" w:space="480"/>
          <w:docGrid w:linePitch="360"/>
        </w:sectPr>
      </w:pPr>
    </w:p>
    <w:p w14:paraId="1DC008B3" w14:textId="77777777" w:rsidR="00005165" w:rsidRDefault="00005165" w:rsidP="00005165">
      <w:pPr>
        <w:jc w:val="both"/>
      </w:pPr>
    </w:p>
    <w:p w14:paraId="6B1A8AC0" w14:textId="77777777" w:rsidR="00005165" w:rsidRDefault="00005165" w:rsidP="00005165">
      <w:pPr>
        <w:jc w:val="both"/>
      </w:pPr>
      <w:r>
        <w:rPr>
          <w:noProof/>
          <w14:ligatures w14:val="standardContextual"/>
        </w:rPr>
        <w:drawing>
          <wp:inline distT="0" distB="0" distL="0" distR="0" wp14:anchorId="764FB44B" wp14:editId="6AC48E31">
            <wp:extent cx="5943600" cy="1981200"/>
            <wp:effectExtent l="0" t="0" r="0" b="0"/>
            <wp:docPr id="20937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839" name="Picture 209378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7449CBC7" w14:textId="63BEEE2E" w:rsidR="00005165" w:rsidRDefault="00005165" w:rsidP="00005165">
      <w:pPr>
        <w:jc w:val="both"/>
      </w:pPr>
      <w:r w:rsidRPr="00675C15">
        <w:rPr>
          <w:b/>
          <w:bCs/>
        </w:rPr>
        <w:t>Fig. 1.</w:t>
      </w:r>
      <w:r w:rsidRPr="00675C15">
        <w:t xml:space="preserve"> Multi-panel UMAP projections of the integrated single-cell transcriptomic landscape across 8 separate</w:t>
      </w:r>
      <w:r>
        <w:t xml:space="preserve"> samples</w:t>
      </w:r>
      <w:r w:rsidRPr="00675C15">
        <w:t>. Panels demonstrate from left to right: (Left) Patient-level cellular distribution ensuring seamless alignment and batch-effect correction via Seurat v5 CCA;</w:t>
      </w:r>
      <w:r>
        <w:t xml:space="preserve"> </w:t>
      </w:r>
      <w:r w:rsidRPr="00675C15">
        <w:t>(Center) Split projection by health condition highlighting localized macro-structural shifts between Normal controls (green) and acute HFRS cases (red); (Right) Structural partitioning of cells into 20 distinct clusters</w:t>
      </w:r>
      <w:r>
        <w:t xml:space="preserve"> and </w:t>
      </w:r>
      <w:r w:rsidR="00F04781">
        <w:t>i</w:t>
      </w:r>
      <w:r w:rsidRPr="00D10A49">
        <w:t>dentified broad cell types</w:t>
      </w:r>
      <w:r w:rsidRPr="00675C15">
        <w:t>.</w:t>
      </w:r>
    </w:p>
    <w:p w14:paraId="4E1B7E03" w14:textId="77777777" w:rsidR="00005165" w:rsidRPr="00675C15" w:rsidRDefault="00005165" w:rsidP="00005165">
      <w:pPr>
        <w:jc w:val="both"/>
      </w:pPr>
    </w:p>
    <w:p w14:paraId="4F75F361" w14:textId="77777777" w:rsidR="00005165" w:rsidRDefault="00005165" w:rsidP="00005165">
      <w:pPr>
        <w:jc w:val="both"/>
        <w:sectPr w:rsidR="00005165" w:rsidSect="00005165">
          <w:type w:val="continuous"/>
          <w:pgSz w:w="12240" w:h="15840"/>
          <w:pgMar w:top="900" w:right="1080" w:bottom="1080" w:left="1080" w:header="708" w:footer="708" w:gutter="0"/>
          <w:cols w:space="480"/>
          <w:docGrid w:linePitch="360"/>
        </w:sectPr>
      </w:pPr>
    </w:p>
    <w:p w14:paraId="5AD44040" w14:textId="06977A70" w:rsidR="00005165" w:rsidRPr="00675C15" w:rsidRDefault="00600501" w:rsidP="0033312D">
      <w:pPr>
        <w:spacing w:line="360" w:lineRule="auto"/>
        <w:ind w:firstLine="720"/>
        <w:jc w:val="both"/>
      </w:pPr>
      <w:r w:rsidRPr="00600501">
        <w:t xml:space="preserve">Adhering to the established cluster identification criteria outlined in the foundational HFRS study </w:t>
      </w:r>
      <w:r>
        <w:fldChar w:fldCharType="begin"/>
      </w:r>
      <w:r>
        <w:instrText xml:space="preserve"> ADDIN ZOTERO_ITEM CSL_CITATION {"citationID":"5uuq825d","properties":{"unsorted":false,"formattedCitation":"[5]","plainCitation":"[5]","noteIndex":0},"citationItems":[{"id":34,"uris":["http://zotero.org/users/local/ilBrW4kW/items/PRVMPX87"],"itemData":{"id":34,"type":"article-journal","abstract":"Hemorrhagic fever with renal syndrome (HFRS) is a regional infectious disease of epidemic potential caused by the Hantaan virus (HTNV). Red blood cells (RBCs) are the major components of peripheral blood. However, pathological changes in RBCs and the underlying mechanisms during HTNV infection remain largely unclear. Therefore, this study sought to explore changes in RBCs in the peripheral blood of HFRS patients. We isolated PBMCs from HFRS patients and performed single-cell RNA sequencing. The results showed that clusters of RBCs in the peripheral blood of HFRS could be classified as nucleated red blood cells (NRBC) based on their cellular components, gene expression profiles and cell surface markers. In addition, it was shown that the higher the count of NRBC in peripheral blood, the more severe the disease status was. Moreover, hematological indices related to RBCs were analyzed and the results showed that impairment in the folate pathway might be the possible reason behind the presence of NRBCs. This study, for the first time showed that the presence of NRBCs in the peripheral blood of HFRS patients was associated with disease severity. This was also the first study to show that infection with the HTNV virus hindered the maturation of RBCs. Therefore, this work provides further insights on the role of and pathological changes in RBCs during HTNV infection.","container-title":"Frontiers in Medicine","DOI":"10.3389/fmed.2021.665410","ISSN":"2296-858X","journalAbbreviation":"Front. Med.","page":"665410","source":"DOI.org (Crossref)","title":"The Presence of Circulating Nucleated Red Blood Cells Is Associated With Disease Severity in Patients of Hemorrhagic Fever With Renal Syndrome","volume":"8","author":[{"family":"Zhang","given":"Jingang"},{"family":"Tang","given":"Kang"},{"family":"Zhang","given":"Yun"},{"family":"Ma","given":"Ying"},{"family":"Zhang","given":"Chunmei"},{"family":"Hu","given":"Haifeng"},{"family":"Jia","given":"Xiaozhou"},{"family":"Zhuang","given":"Ran"},{"family":"Jin","given":"Boquan"},{"family":"Wang","given":"Meng"},{"family":"Zhang","given":"Xiyue"},{"family":"Liu","given":"Dalu"},{"family":"Zhang","given":"Yusi"}],"issued":{"date-parts":[["2021",5,25]]}}}],"schema":"https://github.com/citation-style-language/schema/raw/master/csl-citation.json"} </w:instrText>
      </w:r>
      <w:r>
        <w:fldChar w:fldCharType="separate"/>
      </w:r>
      <w:r w:rsidRPr="00600501">
        <w:t>[5]</w:t>
      </w:r>
      <w:r>
        <w:fldChar w:fldCharType="end"/>
      </w:r>
      <w:r w:rsidRPr="00600501">
        <w:t>, the significance parameters were set to a minimum log fold-change (lnFC) &gt; 0.25, P &lt; 0.05, and a minimum cellular expression (min.pct) &gt; 0.1.</w:t>
      </w:r>
      <w:r w:rsidR="002F4F15">
        <w:t xml:space="preserve"> </w:t>
      </w:r>
      <w:r w:rsidR="002F4F15" w:rsidRPr="002F4F15">
        <w:t>Traditional immune compartments (including CD8+ and Naive T cells, Classical Monocytes, NK cells, Plasma cells, B cells, and Dendritic cells) were readily assigned based on established canonical lineage markers.</w:t>
      </w:r>
      <w:r w:rsidR="00005165">
        <w:t xml:space="preserve"> </w:t>
      </w:r>
      <w:r w:rsidR="00005165" w:rsidRPr="00CE1DC9">
        <w:t xml:space="preserve">Crucially, Cluster 17 was identified as a highly </w:t>
      </w:r>
      <w:r w:rsidR="00005165" w:rsidRPr="00CE1DC9">
        <w:t xml:space="preserve">anomalous and specialized cluster of circulating NRBCs, characterized by extreme enrichment of hallmark erythroid structural and maturation transcripts. Differential expression analysis revealed striking upregulation of genes including </w:t>
      </w:r>
      <w:r w:rsidR="00005165" w:rsidRPr="00CE1DC9">
        <w:rPr>
          <w:i/>
          <w:iCs/>
        </w:rPr>
        <w:t>AHSP</w:t>
      </w:r>
      <w:r w:rsidR="00005165" w:rsidRPr="00CE1DC9">
        <w:t xml:space="preserve">, </w:t>
      </w:r>
      <w:r w:rsidR="00005165" w:rsidRPr="00CE1DC9">
        <w:rPr>
          <w:i/>
          <w:iCs/>
        </w:rPr>
        <w:t>HBA2</w:t>
      </w:r>
      <w:r w:rsidR="00005165" w:rsidRPr="00CE1DC9">
        <w:t xml:space="preserve">, </w:t>
      </w:r>
      <w:r w:rsidR="00005165" w:rsidRPr="00CE1DC9">
        <w:rPr>
          <w:i/>
          <w:iCs/>
        </w:rPr>
        <w:t>SLC4A1</w:t>
      </w:r>
      <w:r w:rsidR="00005165" w:rsidRPr="00CE1DC9">
        <w:t xml:space="preserve">, </w:t>
      </w:r>
      <w:r w:rsidR="00005165" w:rsidRPr="00CE1DC9">
        <w:rPr>
          <w:i/>
          <w:iCs/>
        </w:rPr>
        <w:t>HBM</w:t>
      </w:r>
      <w:r w:rsidR="00005165" w:rsidRPr="00CE1DC9">
        <w:t>,</w:t>
      </w:r>
      <w:r w:rsidR="00A02BF7">
        <w:t xml:space="preserve"> </w:t>
      </w:r>
      <w:r w:rsidR="00005165" w:rsidRPr="00CE1DC9">
        <w:rPr>
          <w:i/>
          <w:iCs/>
        </w:rPr>
        <w:t>GYPB</w:t>
      </w:r>
      <w:r w:rsidR="00005165" w:rsidRPr="00CE1DC9">
        <w:t xml:space="preserve">, and </w:t>
      </w:r>
      <w:r w:rsidR="00005165" w:rsidRPr="00CE1DC9">
        <w:rPr>
          <w:i/>
          <w:iCs/>
        </w:rPr>
        <w:t>GYPA</w:t>
      </w:r>
      <w:r w:rsidR="00005165" w:rsidRPr="00CE1DC9">
        <w:t>. Feature plots of representative canonical hemoglobin transcripts further validate the highly localized expression of this erythroid signature (Fig. 2).</w:t>
      </w:r>
    </w:p>
    <w:p w14:paraId="7B069E3C" w14:textId="77777777" w:rsidR="00005165" w:rsidRDefault="00005165" w:rsidP="00005165">
      <w:pPr>
        <w:jc w:val="both"/>
        <w:sectPr w:rsidR="00005165" w:rsidSect="00005165">
          <w:type w:val="continuous"/>
          <w:pgSz w:w="12240" w:h="15840"/>
          <w:pgMar w:top="900" w:right="1080" w:bottom="1080" w:left="1080" w:header="708" w:footer="708" w:gutter="0"/>
          <w:cols w:num="2" w:space="480"/>
          <w:docGrid w:linePitch="360"/>
        </w:sectPr>
      </w:pPr>
    </w:p>
    <w:p w14:paraId="1BB1C4A6" w14:textId="77777777" w:rsidR="00005165" w:rsidRDefault="00005165" w:rsidP="00005165">
      <w:pPr>
        <w:jc w:val="both"/>
      </w:pPr>
      <w:r>
        <w:rPr>
          <w:noProof/>
          <w14:ligatures w14:val="standardContextual"/>
        </w:rPr>
        <w:lastRenderedPageBreak/>
        <w:drawing>
          <wp:inline distT="0" distB="0" distL="0" distR="0" wp14:anchorId="118FCBD7" wp14:editId="548BA915">
            <wp:extent cx="5943600" cy="1981200"/>
            <wp:effectExtent l="0" t="0" r="0" b="0"/>
            <wp:docPr id="35698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6158" name="Picture 3569861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0DD1CF47" w14:textId="77777777" w:rsidR="00005165" w:rsidRPr="00675C15" w:rsidRDefault="00005165" w:rsidP="00AB7476">
      <w:r w:rsidRPr="00CE1DC9">
        <w:rPr>
          <w:b/>
          <w:bCs/>
        </w:rPr>
        <w:t xml:space="preserve">Fig. 2. </w:t>
      </w:r>
      <w:r w:rsidRPr="00CE1DC9">
        <w:t>Feature plots illustrating expression intensities of canonical structural erythroid transcripts across the consolidated UMAP landscape. High-level transcript localization of HBA1, HBA2, and HBB explicitly marks the peripheral emergence of the pathogenic NRBC cluster.</w:t>
      </w:r>
    </w:p>
    <w:p w14:paraId="5301B6C8" w14:textId="77777777" w:rsidR="00005165" w:rsidRPr="00675C15" w:rsidRDefault="00005165" w:rsidP="00005165">
      <w:pPr>
        <w:jc w:val="both"/>
      </w:pPr>
    </w:p>
    <w:tbl>
      <w:tblPr>
        <w:tblStyle w:val="TableGrid"/>
        <w:tblW w:w="0" w:type="auto"/>
        <w:tblLook w:val="04A0" w:firstRow="1" w:lastRow="0" w:firstColumn="1" w:lastColumn="0" w:noHBand="0" w:noVBand="1"/>
      </w:tblPr>
      <w:tblGrid>
        <w:gridCol w:w="1870"/>
        <w:gridCol w:w="1870"/>
        <w:gridCol w:w="1870"/>
        <w:gridCol w:w="1870"/>
        <w:gridCol w:w="1870"/>
      </w:tblGrid>
      <w:tr w:rsidR="00005165" w:rsidRPr="00675C15" w14:paraId="719F80F2" w14:textId="77777777" w:rsidTr="00313B5C">
        <w:trPr>
          <w:trHeight w:val="288"/>
        </w:trPr>
        <w:tc>
          <w:tcPr>
            <w:tcW w:w="1870" w:type="dxa"/>
            <w:vAlign w:val="center"/>
            <w:hideMark/>
          </w:tcPr>
          <w:p w14:paraId="03CE01E2" w14:textId="77777777" w:rsidR="00005165" w:rsidRPr="00675C15" w:rsidRDefault="00005165" w:rsidP="0089647A">
            <w:pPr>
              <w:jc w:val="both"/>
            </w:pPr>
            <w:r w:rsidRPr="00675C15">
              <w:rPr>
                <w:b/>
                <w:bCs/>
              </w:rPr>
              <w:t>Cell Type</w:t>
            </w:r>
          </w:p>
        </w:tc>
        <w:tc>
          <w:tcPr>
            <w:tcW w:w="1870" w:type="dxa"/>
            <w:vAlign w:val="center"/>
            <w:hideMark/>
          </w:tcPr>
          <w:p w14:paraId="112AEBCF" w14:textId="77777777" w:rsidR="00005165" w:rsidRPr="00675C15" w:rsidRDefault="00005165" w:rsidP="0089647A">
            <w:pPr>
              <w:jc w:val="both"/>
            </w:pPr>
            <w:r w:rsidRPr="00675C15">
              <w:rPr>
                <w:b/>
                <w:bCs/>
              </w:rPr>
              <w:t>Within-Cluster Healthy (%)</w:t>
            </w:r>
          </w:p>
        </w:tc>
        <w:tc>
          <w:tcPr>
            <w:tcW w:w="1870" w:type="dxa"/>
            <w:vAlign w:val="center"/>
            <w:hideMark/>
          </w:tcPr>
          <w:p w14:paraId="36A51A39" w14:textId="77777777" w:rsidR="00005165" w:rsidRPr="00675C15" w:rsidRDefault="00005165" w:rsidP="0089647A">
            <w:pPr>
              <w:jc w:val="both"/>
            </w:pPr>
            <w:r w:rsidRPr="00675C15">
              <w:rPr>
                <w:b/>
                <w:bCs/>
              </w:rPr>
              <w:t>Within-Cluster Disease (%)</w:t>
            </w:r>
          </w:p>
        </w:tc>
        <w:tc>
          <w:tcPr>
            <w:tcW w:w="1870" w:type="dxa"/>
            <w:vAlign w:val="center"/>
            <w:hideMark/>
          </w:tcPr>
          <w:p w14:paraId="76EBD51F" w14:textId="77777777" w:rsidR="00005165" w:rsidRPr="00675C15" w:rsidRDefault="00005165" w:rsidP="0089647A">
            <w:pPr>
              <w:jc w:val="both"/>
            </w:pPr>
            <w:r w:rsidRPr="00675C15">
              <w:rPr>
                <w:b/>
                <w:bCs/>
              </w:rPr>
              <w:t>Global Healthy Pool (% of Total)</w:t>
            </w:r>
          </w:p>
        </w:tc>
        <w:tc>
          <w:tcPr>
            <w:tcW w:w="1870" w:type="dxa"/>
            <w:vAlign w:val="center"/>
            <w:hideMark/>
          </w:tcPr>
          <w:p w14:paraId="505BECFD" w14:textId="77777777" w:rsidR="00005165" w:rsidRPr="00675C15" w:rsidRDefault="00005165" w:rsidP="0089647A">
            <w:pPr>
              <w:jc w:val="both"/>
            </w:pPr>
            <w:r w:rsidRPr="00675C15">
              <w:rPr>
                <w:b/>
                <w:bCs/>
              </w:rPr>
              <w:t>Global Disease Pool (% of Total)</w:t>
            </w:r>
          </w:p>
        </w:tc>
      </w:tr>
      <w:tr w:rsidR="00005165" w:rsidRPr="00675C15" w14:paraId="79803334" w14:textId="77777777" w:rsidTr="00313B5C">
        <w:trPr>
          <w:trHeight w:val="288"/>
        </w:trPr>
        <w:tc>
          <w:tcPr>
            <w:tcW w:w="1870" w:type="dxa"/>
            <w:vAlign w:val="center"/>
            <w:hideMark/>
          </w:tcPr>
          <w:p w14:paraId="0F22B85B" w14:textId="77777777" w:rsidR="00005165" w:rsidRPr="00675C15" w:rsidRDefault="00005165" w:rsidP="0089647A">
            <w:pPr>
              <w:jc w:val="both"/>
            </w:pPr>
            <w:r w:rsidRPr="00675C15">
              <w:rPr>
                <w:b/>
                <w:bCs/>
              </w:rPr>
              <w:t>Cycling cells</w:t>
            </w:r>
          </w:p>
        </w:tc>
        <w:tc>
          <w:tcPr>
            <w:tcW w:w="1870" w:type="dxa"/>
            <w:vAlign w:val="center"/>
            <w:hideMark/>
          </w:tcPr>
          <w:p w14:paraId="42073906" w14:textId="77777777" w:rsidR="00005165" w:rsidRPr="00675C15" w:rsidRDefault="00005165" w:rsidP="0089647A">
            <w:pPr>
              <w:jc w:val="both"/>
            </w:pPr>
            <w:r w:rsidRPr="00675C15">
              <w:t>2.00</w:t>
            </w:r>
          </w:p>
        </w:tc>
        <w:tc>
          <w:tcPr>
            <w:tcW w:w="1870" w:type="dxa"/>
            <w:vAlign w:val="center"/>
            <w:hideMark/>
          </w:tcPr>
          <w:p w14:paraId="2A237D56" w14:textId="77777777" w:rsidR="00005165" w:rsidRPr="00675C15" w:rsidRDefault="00005165" w:rsidP="0089647A">
            <w:pPr>
              <w:jc w:val="both"/>
            </w:pPr>
            <w:r w:rsidRPr="00675C15">
              <w:t>98.00</w:t>
            </w:r>
          </w:p>
        </w:tc>
        <w:tc>
          <w:tcPr>
            <w:tcW w:w="1870" w:type="dxa"/>
            <w:vAlign w:val="center"/>
            <w:hideMark/>
          </w:tcPr>
          <w:p w14:paraId="2E8C2422" w14:textId="77777777" w:rsidR="00005165" w:rsidRPr="00675C15" w:rsidRDefault="00005165" w:rsidP="0089647A">
            <w:pPr>
              <w:jc w:val="both"/>
            </w:pPr>
            <w:r w:rsidRPr="00675C15">
              <w:t>1.43</w:t>
            </w:r>
          </w:p>
        </w:tc>
        <w:tc>
          <w:tcPr>
            <w:tcW w:w="1870" w:type="dxa"/>
            <w:vAlign w:val="center"/>
            <w:hideMark/>
          </w:tcPr>
          <w:p w14:paraId="515308AA" w14:textId="77777777" w:rsidR="00005165" w:rsidRPr="00675C15" w:rsidRDefault="00005165" w:rsidP="0089647A">
            <w:pPr>
              <w:jc w:val="both"/>
            </w:pPr>
            <w:r w:rsidRPr="00675C15">
              <w:t>22.16</w:t>
            </w:r>
          </w:p>
        </w:tc>
      </w:tr>
      <w:tr w:rsidR="00005165" w:rsidRPr="00675C15" w14:paraId="506FC7A0" w14:textId="77777777" w:rsidTr="00313B5C">
        <w:trPr>
          <w:trHeight w:val="288"/>
        </w:trPr>
        <w:tc>
          <w:tcPr>
            <w:tcW w:w="1870" w:type="dxa"/>
            <w:vAlign w:val="center"/>
            <w:hideMark/>
          </w:tcPr>
          <w:p w14:paraId="46393CBD" w14:textId="77777777" w:rsidR="00005165" w:rsidRPr="00675C15" w:rsidRDefault="00005165" w:rsidP="0089647A">
            <w:pPr>
              <w:jc w:val="both"/>
            </w:pPr>
            <w:r w:rsidRPr="00675C15">
              <w:rPr>
                <w:b/>
                <w:bCs/>
              </w:rPr>
              <w:t>CD8+ T cells</w:t>
            </w:r>
          </w:p>
        </w:tc>
        <w:tc>
          <w:tcPr>
            <w:tcW w:w="1870" w:type="dxa"/>
            <w:vAlign w:val="center"/>
            <w:hideMark/>
          </w:tcPr>
          <w:p w14:paraId="1CDBF967" w14:textId="77777777" w:rsidR="00005165" w:rsidRPr="00675C15" w:rsidRDefault="00005165" w:rsidP="0089647A">
            <w:pPr>
              <w:jc w:val="both"/>
            </w:pPr>
            <w:r w:rsidRPr="00675C15">
              <w:t>19.19</w:t>
            </w:r>
          </w:p>
        </w:tc>
        <w:tc>
          <w:tcPr>
            <w:tcW w:w="1870" w:type="dxa"/>
            <w:vAlign w:val="center"/>
            <w:hideMark/>
          </w:tcPr>
          <w:p w14:paraId="3DFB969F" w14:textId="77777777" w:rsidR="00005165" w:rsidRPr="00675C15" w:rsidRDefault="00005165" w:rsidP="0089647A">
            <w:pPr>
              <w:jc w:val="both"/>
            </w:pPr>
            <w:r w:rsidRPr="00675C15">
              <w:t>80.81</w:t>
            </w:r>
          </w:p>
        </w:tc>
        <w:tc>
          <w:tcPr>
            <w:tcW w:w="1870" w:type="dxa"/>
            <w:vAlign w:val="center"/>
            <w:hideMark/>
          </w:tcPr>
          <w:p w14:paraId="77CE200F" w14:textId="77777777" w:rsidR="00005165" w:rsidRPr="00675C15" w:rsidRDefault="00005165" w:rsidP="0089647A">
            <w:pPr>
              <w:jc w:val="both"/>
            </w:pPr>
            <w:r w:rsidRPr="00675C15">
              <w:t>12.53</w:t>
            </w:r>
          </w:p>
        </w:tc>
        <w:tc>
          <w:tcPr>
            <w:tcW w:w="1870" w:type="dxa"/>
            <w:vAlign w:val="center"/>
            <w:hideMark/>
          </w:tcPr>
          <w:p w14:paraId="39B0D889" w14:textId="77777777" w:rsidR="00005165" w:rsidRPr="00675C15" w:rsidRDefault="00005165" w:rsidP="0089647A">
            <w:pPr>
              <w:jc w:val="both"/>
            </w:pPr>
            <w:r w:rsidRPr="00675C15">
              <w:t>16.71</w:t>
            </w:r>
          </w:p>
        </w:tc>
      </w:tr>
      <w:tr w:rsidR="00005165" w:rsidRPr="00675C15" w14:paraId="6572339C" w14:textId="77777777" w:rsidTr="00313B5C">
        <w:trPr>
          <w:trHeight w:val="288"/>
        </w:trPr>
        <w:tc>
          <w:tcPr>
            <w:tcW w:w="1870" w:type="dxa"/>
            <w:vAlign w:val="center"/>
            <w:hideMark/>
          </w:tcPr>
          <w:p w14:paraId="6B4A2661" w14:textId="77777777" w:rsidR="00005165" w:rsidRPr="00675C15" w:rsidRDefault="00005165" w:rsidP="0089647A">
            <w:pPr>
              <w:jc w:val="both"/>
            </w:pPr>
            <w:r w:rsidRPr="00675C15">
              <w:rPr>
                <w:b/>
                <w:bCs/>
              </w:rPr>
              <w:t>Classical Monocytes</w:t>
            </w:r>
          </w:p>
        </w:tc>
        <w:tc>
          <w:tcPr>
            <w:tcW w:w="1870" w:type="dxa"/>
            <w:vAlign w:val="center"/>
            <w:hideMark/>
          </w:tcPr>
          <w:p w14:paraId="16AF4E9A" w14:textId="77777777" w:rsidR="00005165" w:rsidRPr="00675C15" w:rsidRDefault="00005165" w:rsidP="0089647A">
            <w:pPr>
              <w:jc w:val="both"/>
            </w:pPr>
            <w:r w:rsidRPr="00675C15">
              <w:t>15.72</w:t>
            </w:r>
          </w:p>
        </w:tc>
        <w:tc>
          <w:tcPr>
            <w:tcW w:w="1870" w:type="dxa"/>
            <w:vAlign w:val="center"/>
            <w:hideMark/>
          </w:tcPr>
          <w:p w14:paraId="5E672B0E" w14:textId="77777777" w:rsidR="00005165" w:rsidRPr="00675C15" w:rsidRDefault="00005165" w:rsidP="0089647A">
            <w:pPr>
              <w:jc w:val="both"/>
            </w:pPr>
            <w:r w:rsidRPr="00675C15">
              <w:t>84.28</w:t>
            </w:r>
          </w:p>
        </w:tc>
        <w:tc>
          <w:tcPr>
            <w:tcW w:w="1870" w:type="dxa"/>
            <w:vAlign w:val="center"/>
            <w:hideMark/>
          </w:tcPr>
          <w:p w14:paraId="36EBB25F" w14:textId="77777777" w:rsidR="00005165" w:rsidRPr="00675C15" w:rsidRDefault="00005165" w:rsidP="0089647A">
            <w:pPr>
              <w:jc w:val="both"/>
            </w:pPr>
            <w:r w:rsidRPr="00675C15">
              <w:t>4.60</w:t>
            </w:r>
          </w:p>
        </w:tc>
        <w:tc>
          <w:tcPr>
            <w:tcW w:w="1870" w:type="dxa"/>
            <w:vAlign w:val="center"/>
            <w:hideMark/>
          </w:tcPr>
          <w:p w14:paraId="0B26AAC6" w14:textId="77777777" w:rsidR="00005165" w:rsidRPr="00675C15" w:rsidRDefault="00005165" w:rsidP="0089647A">
            <w:pPr>
              <w:jc w:val="both"/>
            </w:pPr>
            <w:r w:rsidRPr="00675C15">
              <w:t>7.81</w:t>
            </w:r>
          </w:p>
        </w:tc>
      </w:tr>
      <w:tr w:rsidR="00005165" w:rsidRPr="00675C15" w14:paraId="5ED730EF" w14:textId="77777777" w:rsidTr="00313B5C">
        <w:trPr>
          <w:trHeight w:val="288"/>
        </w:trPr>
        <w:tc>
          <w:tcPr>
            <w:tcW w:w="1870" w:type="dxa"/>
            <w:vAlign w:val="center"/>
            <w:hideMark/>
          </w:tcPr>
          <w:p w14:paraId="6932E506" w14:textId="77777777" w:rsidR="00005165" w:rsidRPr="00675C15" w:rsidRDefault="00005165" w:rsidP="0089647A">
            <w:pPr>
              <w:jc w:val="both"/>
            </w:pPr>
            <w:r w:rsidRPr="00675C15">
              <w:rPr>
                <w:b/>
                <w:bCs/>
              </w:rPr>
              <w:t>Plasma cells</w:t>
            </w:r>
          </w:p>
        </w:tc>
        <w:tc>
          <w:tcPr>
            <w:tcW w:w="1870" w:type="dxa"/>
            <w:vAlign w:val="center"/>
            <w:hideMark/>
          </w:tcPr>
          <w:p w14:paraId="608912F6" w14:textId="77777777" w:rsidR="00005165" w:rsidRPr="00675C15" w:rsidRDefault="00005165" w:rsidP="0089647A">
            <w:pPr>
              <w:jc w:val="both"/>
            </w:pPr>
            <w:r w:rsidRPr="00675C15">
              <w:t>0.66</w:t>
            </w:r>
          </w:p>
        </w:tc>
        <w:tc>
          <w:tcPr>
            <w:tcW w:w="1870" w:type="dxa"/>
            <w:vAlign w:val="center"/>
            <w:hideMark/>
          </w:tcPr>
          <w:p w14:paraId="05A943E8" w14:textId="77777777" w:rsidR="00005165" w:rsidRPr="00675C15" w:rsidRDefault="00005165" w:rsidP="0089647A">
            <w:pPr>
              <w:jc w:val="both"/>
            </w:pPr>
            <w:r w:rsidRPr="00675C15">
              <w:t>99.34</w:t>
            </w:r>
          </w:p>
        </w:tc>
        <w:tc>
          <w:tcPr>
            <w:tcW w:w="1870" w:type="dxa"/>
            <w:vAlign w:val="center"/>
            <w:hideMark/>
          </w:tcPr>
          <w:p w14:paraId="499EDB45" w14:textId="77777777" w:rsidR="00005165" w:rsidRPr="00675C15" w:rsidRDefault="00005165" w:rsidP="0089647A">
            <w:pPr>
              <w:jc w:val="both"/>
            </w:pPr>
            <w:r w:rsidRPr="00675C15">
              <w:t>0.14</w:t>
            </w:r>
          </w:p>
        </w:tc>
        <w:tc>
          <w:tcPr>
            <w:tcW w:w="1870" w:type="dxa"/>
            <w:vAlign w:val="center"/>
            <w:hideMark/>
          </w:tcPr>
          <w:p w14:paraId="6E4EC48C" w14:textId="77777777" w:rsidR="00005165" w:rsidRPr="00675C15" w:rsidRDefault="00005165" w:rsidP="0089647A">
            <w:pPr>
              <w:jc w:val="both"/>
            </w:pPr>
            <w:r w:rsidRPr="00675C15">
              <w:t>6.62</w:t>
            </w:r>
          </w:p>
        </w:tc>
      </w:tr>
      <w:tr w:rsidR="00005165" w:rsidRPr="00675C15" w14:paraId="657FADF0" w14:textId="77777777" w:rsidTr="00313B5C">
        <w:trPr>
          <w:trHeight w:val="288"/>
        </w:trPr>
        <w:tc>
          <w:tcPr>
            <w:tcW w:w="1870" w:type="dxa"/>
            <w:vAlign w:val="center"/>
            <w:hideMark/>
          </w:tcPr>
          <w:p w14:paraId="007D2741" w14:textId="77777777" w:rsidR="00005165" w:rsidRPr="00675C15" w:rsidRDefault="00005165" w:rsidP="0089647A">
            <w:pPr>
              <w:jc w:val="both"/>
            </w:pPr>
            <w:r w:rsidRPr="00675C15">
              <w:rPr>
                <w:b/>
                <w:bCs/>
              </w:rPr>
              <w:t>B cells</w:t>
            </w:r>
          </w:p>
        </w:tc>
        <w:tc>
          <w:tcPr>
            <w:tcW w:w="1870" w:type="dxa"/>
            <w:vAlign w:val="center"/>
            <w:hideMark/>
          </w:tcPr>
          <w:p w14:paraId="5C57A7B4" w14:textId="77777777" w:rsidR="00005165" w:rsidRPr="00675C15" w:rsidRDefault="00005165" w:rsidP="0089647A">
            <w:pPr>
              <w:jc w:val="both"/>
            </w:pPr>
            <w:r w:rsidRPr="00675C15">
              <w:t>7.94</w:t>
            </w:r>
          </w:p>
        </w:tc>
        <w:tc>
          <w:tcPr>
            <w:tcW w:w="1870" w:type="dxa"/>
            <w:vAlign w:val="center"/>
            <w:hideMark/>
          </w:tcPr>
          <w:p w14:paraId="29C97BFC" w14:textId="77777777" w:rsidR="00005165" w:rsidRPr="00675C15" w:rsidRDefault="00005165" w:rsidP="0089647A">
            <w:pPr>
              <w:jc w:val="both"/>
            </w:pPr>
            <w:r w:rsidRPr="00675C15">
              <w:t>92.06</w:t>
            </w:r>
          </w:p>
        </w:tc>
        <w:tc>
          <w:tcPr>
            <w:tcW w:w="1870" w:type="dxa"/>
            <w:vAlign w:val="center"/>
            <w:hideMark/>
          </w:tcPr>
          <w:p w14:paraId="31A63E73" w14:textId="77777777" w:rsidR="00005165" w:rsidRPr="00675C15" w:rsidRDefault="00005165" w:rsidP="0089647A">
            <w:pPr>
              <w:jc w:val="both"/>
            </w:pPr>
            <w:r w:rsidRPr="00675C15">
              <w:t>1.36</w:t>
            </w:r>
          </w:p>
        </w:tc>
        <w:tc>
          <w:tcPr>
            <w:tcW w:w="1870" w:type="dxa"/>
            <w:vAlign w:val="center"/>
            <w:hideMark/>
          </w:tcPr>
          <w:p w14:paraId="51B69BB1" w14:textId="77777777" w:rsidR="00005165" w:rsidRPr="00675C15" w:rsidRDefault="00005165" w:rsidP="0089647A">
            <w:pPr>
              <w:jc w:val="both"/>
            </w:pPr>
            <w:r w:rsidRPr="00675C15">
              <w:t>5.01</w:t>
            </w:r>
          </w:p>
        </w:tc>
      </w:tr>
      <w:tr w:rsidR="00005165" w:rsidRPr="00675C15" w14:paraId="534CB07E" w14:textId="77777777" w:rsidTr="00313B5C">
        <w:trPr>
          <w:trHeight w:val="288"/>
        </w:trPr>
        <w:tc>
          <w:tcPr>
            <w:tcW w:w="1870" w:type="dxa"/>
            <w:vAlign w:val="center"/>
            <w:hideMark/>
          </w:tcPr>
          <w:p w14:paraId="6E40CBD1" w14:textId="77777777" w:rsidR="00005165" w:rsidRPr="00675C15" w:rsidRDefault="00005165" w:rsidP="0089647A">
            <w:pPr>
              <w:jc w:val="both"/>
            </w:pPr>
            <w:r w:rsidRPr="00675C15">
              <w:rPr>
                <w:b/>
                <w:bCs/>
              </w:rPr>
              <w:t>NRBCs</w:t>
            </w:r>
          </w:p>
        </w:tc>
        <w:tc>
          <w:tcPr>
            <w:tcW w:w="1870" w:type="dxa"/>
            <w:vAlign w:val="center"/>
            <w:hideMark/>
          </w:tcPr>
          <w:p w14:paraId="46D805E4" w14:textId="77777777" w:rsidR="00005165" w:rsidRPr="00675C15" w:rsidRDefault="00005165" w:rsidP="0089647A">
            <w:pPr>
              <w:jc w:val="both"/>
            </w:pPr>
            <w:r w:rsidRPr="00675C15">
              <w:t>2.07</w:t>
            </w:r>
          </w:p>
        </w:tc>
        <w:tc>
          <w:tcPr>
            <w:tcW w:w="1870" w:type="dxa"/>
            <w:vAlign w:val="center"/>
            <w:hideMark/>
          </w:tcPr>
          <w:p w14:paraId="6866C422" w14:textId="77777777" w:rsidR="00005165" w:rsidRPr="00675C15" w:rsidRDefault="00005165" w:rsidP="0089647A">
            <w:pPr>
              <w:jc w:val="both"/>
            </w:pPr>
            <w:r w:rsidRPr="00675C15">
              <w:t>97.93</w:t>
            </w:r>
          </w:p>
        </w:tc>
        <w:tc>
          <w:tcPr>
            <w:tcW w:w="1870" w:type="dxa"/>
            <w:vAlign w:val="center"/>
            <w:hideMark/>
          </w:tcPr>
          <w:p w14:paraId="497F310E" w14:textId="77777777" w:rsidR="00005165" w:rsidRPr="00675C15" w:rsidRDefault="00005165" w:rsidP="0089647A">
            <w:pPr>
              <w:jc w:val="both"/>
            </w:pPr>
            <w:r w:rsidRPr="00675C15">
              <w:t>0.08</w:t>
            </w:r>
          </w:p>
        </w:tc>
        <w:tc>
          <w:tcPr>
            <w:tcW w:w="1870" w:type="dxa"/>
            <w:vAlign w:val="center"/>
            <w:hideMark/>
          </w:tcPr>
          <w:p w14:paraId="2F89C4B9" w14:textId="77777777" w:rsidR="00005165" w:rsidRPr="00675C15" w:rsidRDefault="00005165" w:rsidP="0089647A">
            <w:pPr>
              <w:jc w:val="both"/>
            </w:pPr>
            <w:r w:rsidRPr="00675C15">
              <w:t>1.14</w:t>
            </w:r>
          </w:p>
        </w:tc>
      </w:tr>
      <w:tr w:rsidR="00005165" w:rsidRPr="00675C15" w14:paraId="739B861C" w14:textId="77777777" w:rsidTr="00313B5C">
        <w:trPr>
          <w:trHeight w:val="288"/>
        </w:trPr>
        <w:tc>
          <w:tcPr>
            <w:tcW w:w="1870" w:type="dxa"/>
            <w:vAlign w:val="center"/>
            <w:hideMark/>
          </w:tcPr>
          <w:p w14:paraId="401BAFF5" w14:textId="77777777" w:rsidR="00005165" w:rsidRPr="00675C15" w:rsidRDefault="00005165" w:rsidP="0089647A">
            <w:pPr>
              <w:jc w:val="both"/>
            </w:pPr>
            <w:r w:rsidRPr="00675C15">
              <w:rPr>
                <w:b/>
                <w:bCs/>
              </w:rPr>
              <w:t>NK cells</w:t>
            </w:r>
          </w:p>
        </w:tc>
        <w:tc>
          <w:tcPr>
            <w:tcW w:w="1870" w:type="dxa"/>
            <w:vAlign w:val="center"/>
            <w:hideMark/>
          </w:tcPr>
          <w:p w14:paraId="013A3036" w14:textId="77777777" w:rsidR="00005165" w:rsidRPr="00675C15" w:rsidRDefault="00005165" w:rsidP="0089647A">
            <w:pPr>
              <w:jc w:val="both"/>
            </w:pPr>
            <w:r w:rsidRPr="00675C15">
              <w:t>46.16</w:t>
            </w:r>
          </w:p>
        </w:tc>
        <w:tc>
          <w:tcPr>
            <w:tcW w:w="1870" w:type="dxa"/>
            <w:vAlign w:val="center"/>
            <w:hideMark/>
          </w:tcPr>
          <w:p w14:paraId="305831CE" w14:textId="77777777" w:rsidR="00005165" w:rsidRPr="00675C15" w:rsidRDefault="00005165" w:rsidP="0089647A">
            <w:pPr>
              <w:jc w:val="both"/>
            </w:pPr>
            <w:r w:rsidRPr="00675C15">
              <w:t>53.84</w:t>
            </w:r>
          </w:p>
        </w:tc>
        <w:tc>
          <w:tcPr>
            <w:tcW w:w="1870" w:type="dxa"/>
            <w:vAlign w:val="center"/>
            <w:hideMark/>
          </w:tcPr>
          <w:p w14:paraId="427B696E" w14:textId="77777777" w:rsidR="00005165" w:rsidRPr="00675C15" w:rsidRDefault="00005165" w:rsidP="0089647A">
            <w:pPr>
              <w:jc w:val="both"/>
            </w:pPr>
            <w:r w:rsidRPr="00675C15">
              <w:t>16.62</w:t>
            </w:r>
          </w:p>
        </w:tc>
        <w:tc>
          <w:tcPr>
            <w:tcW w:w="1870" w:type="dxa"/>
            <w:vAlign w:val="center"/>
            <w:hideMark/>
          </w:tcPr>
          <w:p w14:paraId="13886BC8" w14:textId="77777777" w:rsidR="00005165" w:rsidRPr="00675C15" w:rsidRDefault="00005165" w:rsidP="0089647A">
            <w:pPr>
              <w:jc w:val="both"/>
            </w:pPr>
            <w:r w:rsidRPr="00675C15">
              <w:t>6.14</w:t>
            </w:r>
          </w:p>
        </w:tc>
      </w:tr>
      <w:tr w:rsidR="00005165" w:rsidRPr="00675C15" w14:paraId="07EBCB97" w14:textId="77777777" w:rsidTr="00313B5C">
        <w:trPr>
          <w:trHeight w:val="288"/>
        </w:trPr>
        <w:tc>
          <w:tcPr>
            <w:tcW w:w="1870" w:type="dxa"/>
            <w:vAlign w:val="center"/>
            <w:hideMark/>
          </w:tcPr>
          <w:p w14:paraId="3074D1B1" w14:textId="77777777" w:rsidR="00005165" w:rsidRPr="00675C15" w:rsidRDefault="00005165" w:rsidP="0089647A">
            <w:pPr>
              <w:jc w:val="both"/>
            </w:pPr>
            <w:r w:rsidRPr="00675C15">
              <w:rPr>
                <w:b/>
                <w:bCs/>
              </w:rPr>
              <w:t>Naive T cells</w:t>
            </w:r>
          </w:p>
        </w:tc>
        <w:tc>
          <w:tcPr>
            <w:tcW w:w="1870" w:type="dxa"/>
            <w:vAlign w:val="center"/>
            <w:hideMark/>
          </w:tcPr>
          <w:p w14:paraId="0C9D2DF9" w14:textId="77777777" w:rsidR="00005165" w:rsidRPr="00675C15" w:rsidRDefault="00005165" w:rsidP="0089647A">
            <w:pPr>
              <w:jc w:val="both"/>
            </w:pPr>
            <w:r w:rsidRPr="00675C15">
              <w:t>60.30</w:t>
            </w:r>
          </w:p>
        </w:tc>
        <w:tc>
          <w:tcPr>
            <w:tcW w:w="1870" w:type="dxa"/>
            <w:vAlign w:val="center"/>
            <w:hideMark/>
          </w:tcPr>
          <w:p w14:paraId="04F9658E" w14:textId="77777777" w:rsidR="00005165" w:rsidRPr="00675C15" w:rsidRDefault="00005165" w:rsidP="0089647A">
            <w:pPr>
              <w:jc w:val="both"/>
            </w:pPr>
            <w:r w:rsidRPr="00675C15">
              <w:t>39.70</w:t>
            </w:r>
          </w:p>
        </w:tc>
        <w:tc>
          <w:tcPr>
            <w:tcW w:w="1870" w:type="dxa"/>
            <w:vAlign w:val="center"/>
            <w:hideMark/>
          </w:tcPr>
          <w:p w14:paraId="6EB99F9F" w14:textId="77777777" w:rsidR="00005165" w:rsidRPr="00675C15" w:rsidRDefault="00005165" w:rsidP="0089647A">
            <w:pPr>
              <w:jc w:val="both"/>
            </w:pPr>
            <w:r w:rsidRPr="00675C15">
              <w:t>35.08</w:t>
            </w:r>
          </w:p>
        </w:tc>
        <w:tc>
          <w:tcPr>
            <w:tcW w:w="1870" w:type="dxa"/>
            <w:vAlign w:val="center"/>
            <w:hideMark/>
          </w:tcPr>
          <w:p w14:paraId="622D88F3" w14:textId="77777777" w:rsidR="00005165" w:rsidRPr="00675C15" w:rsidRDefault="00005165" w:rsidP="0089647A">
            <w:pPr>
              <w:jc w:val="both"/>
            </w:pPr>
            <w:r w:rsidRPr="00675C15">
              <w:t>7.31</w:t>
            </w:r>
          </w:p>
        </w:tc>
      </w:tr>
    </w:tbl>
    <w:p w14:paraId="7BEE1640" w14:textId="77777777" w:rsidR="00005165" w:rsidRDefault="00005165" w:rsidP="00AB7476">
      <w:pPr>
        <w:rPr>
          <w:b/>
          <w:bCs/>
        </w:rPr>
      </w:pPr>
      <w:r w:rsidRPr="00675C15">
        <w:rPr>
          <w:b/>
          <w:bCs/>
        </w:rPr>
        <w:t>Table I: Cellular Distribution and Tissue Composition Analysis</w:t>
      </w:r>
    </w:p>
    <w:p w14:paraId="77D89081" w14:textId="77777777" w:rsidR="00005165" w:rsidRDefault="00005165" w:rsidP="00005165">
      <w:pPr>
        <w:jc w:val="both"/>
        <w:rPr>
          <w:b/>
          <w:bCs/>
        </w:rPr>
      </w:pPr>
    </w:p>
    <w:p w14:paraId="6A289D97" w14:textId="77777777" w:rsidR="009B62A2" w:rsidRDefault="009B62A2" w:rsidP="00005165">
      <w:pPr>
        <w:jc w:val="both"/>
        <w:sectPr w:rsidR="009B62A2" w:rsidSect="00005165">
          <w:type w:val="continuous"/>
          <w:pgSz w:w="12240" w:h="15840"/>
          <w:pgMar w:top="900" w:right="1080" w:bottom="1080" w:left="1080" w:header="708" w:footer="708" w:gutter="0"/>
          <w:cols w:space="480"/>
          <w:docGrid w:linePitch="360"/>
        </w:sectPr>
      </w:pPr>
    </w:p>
    <w:p w14:paraId="24C50A86" w14:textId="5B20C8C5" w:rsidR="00005165" w:rsidRDefault="00005165" w:rsidP="00FD007B">
      <w:pPr>
        <w:spacing w:line="360" w:lineRule="auto"/>
        <w:ind w:firstLine="720"/>
        <w:jc w:val="both"/>
      </w:pPr>
      <w:r w:rsidRPr="00675C15">
        <w:t>To understand how HTNV infection restructures peripheral blood kinetics, cell count distributions were calculated from two perspectives: within-cluster composition (the ratio of healthy to disease cells inside each cluster) and global tissue composition (the percentage of the total pool each cell type commands within that condition). The quantitative breakdown detailed in Table I reveals a profound systemic imbalance within the hematopoietic and immune architecture.</w:t>
      </w:r>
    </w:p>
    <w:p w14:paraId="0E09E347" w14:textId="77777777" w:rsidR="004D730D" w:rsidRDefault="004D730D" w:rsidP="00FD007B">
      <w:pPr>
        <w:spacing w:line="360" w:lineRule="auto"/>
        <w:ind w:firstLine="720"/>
        <w:jc w:val="both"/>
      </w:pPr>
    </w:p>
    <w:p w14:paraId="2CA01C1E" w14:textId="77777777" w:rsidR="00005165" w:rsidRPr="00DE4AE8" w:rsidRDefault="00005165" w:rsidP="00FD007B">
      <w:pPr>
        <w:spacing w:line="360" w:lineRule="auto"/>
        <w:ind w:firstLine="720"/>
        <w:jc w:val="both"/>
      </w:pPr>
      <w:r w:rsidRPr="00DE4AE8">
        <w:t>Our global distribution data demonstrates that NRBCs are virtually non-existent in healthy controls, commanding a negligible 0.08% of total recovered cells. However, in the acute phase of HFRS, NRBCs expand significantly to constitute 1.14% of the entire peripheral mononuclear cell pool. Within-cluster analysis further highlights that 97.93% of all detected NRBCs belong strictly to the HFRS disease state. This rapid spillover of un-enucleated erythroid precursors into the peripheral blood strongly indicates that the bone marrow is under severe physiological stress or experiencing direct viral challenge.</w:t>
      </w:r>
    </w:p>
    <w:p w14:paraId="7534F3B4" w14:textId="77777777" w:rsidR="005F0321" w:rsidRDefault="005F0321" w:rsidP="00FD007B">
      <w:pPr>
        <w:spacing w:line="360" w:lineRule="auto"/>
        <w:ind w:firstLine="720"/>
        <w:jc w:val="both"/>
      </w:pPr>
      <w:r w:rsidRPr="005F0321">
        <w:lastRenderedPageBreak/>
        <w:t>Our data also reveals an intensive cellular proliferation event across the peripheral space: active Cycling cells (Clusters 2 and 3, defined by mitotic markers like CCNA2, CDK1, and MCM2) surge dramatically from 1.43% in healthy controls to command an astonishing 22.16% of the entire disease pool. Co-expression of canonical T-cell markers within these clusters indicates that this proliferating population predominantly consists of highly activated, clonally expanding CD8+ T cells reacting aggressively to the viral challenge. This massive expansion is paired with a severe depletion of the resting immune reserve, as Naive T cells drop precipitously from 35.08% to just 7.31%. This systemic shift reflects the aggressive activation and differentiation of naive pools into cytotoxic lineages (CD8+ T cells expanding to 16.71%) and antibody-secreting factories (Plasma cells rising from 0.14% to 6.62%).</w:t>
      </w:r>
    </w:p>
    <w:p w14:paraId="0DA73AA8" w14:textId="77777777" w:rsidR="00534A5A" w:rsidRDefault="00534A5A" w:rsidP="00FD007B">
      <w:pPr>
        <w:spacing w:line="360" w:lineRule="auto"/>
        <w:ind w:firstLine="720"/>
        <w:jc w:val="both"/>
      </w:pPr>
    </w:p>
    <w:p w14:paraId="0EB3AF33" w14:textId="77777777" w:rsidR="00534A5A" w:rsidRDefault="00534A5A" w:rsidP="00FD007B">
      <w:pPr>
        <w:spacing w:line="360" w:lineRule="auto"/>
        <w:ind w:firstLine="720"/>
        <w:jc w:val="both"/>
      </w:pPr>
    </w:p>
    <w:p w14:paraId="33329FDE" w14:textId="379580AD" w:rsidR="00213E67" w:rsidRDefault="001F0602" w:rsidP="00213E67">
      <w:pPr>
        <w:spacing w:line="360" w:lineRule="auto"/>
        <w:ind w:firstLine="720"/>
        <w:jc w:val="both"/>
        <w:sectPr w:rsidR="00213E67" w:rsidSect="009B62A2">
          <w:type w:val="continuous"/>
          <w:pgSz w:w="12240" w:h="15840"/>
          <w:pgMar w:top="900" w:right="1080" w:bottom="1080" w:left="1080" w:header="708" w:footer="708" w:gutter="0"/>
          <w:cols w:num="2" w:space="480"/>
          <w:docGrid w:linePitch="360"/>
        </w:sectPr>
      </w:pPr>
      <w:r w:rsidRPr="001F0602">
        <w:t>To identify therapeutic strategies capable of reversing these multi-lineage transcriptomic alterations, cluster-specific differential expression matrices were supplied directly to the ASGARD pipeline</w:t>
      </w:r>
      <w:r>
        <w:t xml:space="preserve">. </w:t>
      </w:r>
      <w:r w:rsidR="00005165" w:rsidRPr="00675C15">
        <w:t xml:space="preserve">For the highly abnormal NRBC population (Cluster 17), a tailored differential expression workaround was engineered: because healthy baseline controls lack a native matching NRBC population, Cluster 17 disease cells were compared directly against the </w:t>
      </w:r>
      <w:r w:rsidR="00005165" w:rsidRPr="00675C15">
        <w:rPr>
          <w:i/>
          <w:iCs/>
        </w:rPr>
        <w:t>entire consolidated pool</w:t>
      </w:r>
      <w:r w:rsidR="00005165" w:rsidRPr="00675C15">
        <w:t xml:space="preserve"> of healthy PBMCs to isolate the pathological transcriptomic signature. By mapping these specialized single-cell DEGs against the LINCS L1000 hematopoietic reference profiles, ASGARD identified 13 statistically significant FDA-approved candidate compounds with negative connectivity scores, indicating a strong capability to reverse HFRS-induced cellular pathology. The top five repurposing candidates are detailed in Table II.</w:t>
      </w:r>
    </w:p>
    <w:p w14:paraId="0696B921" w14:textId="77777777" w:rsidR="00005165" w:rsidRPr="00675C15" w:rsidRDefault="00005165" w:rsidP="00005165">
      <w:pPr>
        <w:jc w:val="both"/>
      </w:pPr>
    </w:p>
    <w:tbl>
      <w:tblPr>
        <w:tblStyle w:val="TableGrid"/>
        <w:tblW w:w="10070" w:type="dxa"/>
        <w:tblLook w:val="04A0" w:firstRow="1" w:lastRow="0" w:firstColumn="1" w:lastColumn="0" w:noHBand="0" w:noVBand="1"/>
      </w:tblPr>
      <w:tblGrid>
        <w:gridCol w:w="1761"/>
        <w:gridCol w:w="1714"/>
        <w:gridCol w:w="1204"/>
        <w:gridCol w:w="1346"/>
        <w:gridCol w:w="4045"/>
      </w:tblGrid>
      <w:tr w:rsidR="00005165" w:rsidRPr="002D0ADB" w14:paraId="1E7E3C03" w14:textId="77777777" w:rsidTr="002D68D5">
        <w:trPr>
          <w:trHeight w:val="288"/>
        </w:trPr>
        <w:tc>
          <w:tcPr>
            <w:tcW w:w="1761" w:type="dxa"/>
            <w:noWrap/>
            <w:vAlign w:val="center"/>
            <w:hideMark/>
          </w:tcPr>
          <w:p w14:paraId="5F48DEA9" w14:textId="77777777" w:rsidR="00005165" w:rsidRPr="002D0ADB" w:rsidRDefault="00005165" w:rsidP="006C0460">
            <w:pPr>
              <w:rPr>
                <w:b/>
                <w:bCs/>
                <w:color w:val="000000"/>
                <w:lang w:bidi="bn-IN"/>
              </w:rPr>
            </w:pPr>
            <w:r w:rsidRPr="002D0ADB">
              <w:rPr>
                <w:b/>
                <w:bCs/>
                <w:color w:val="000000"/>
              </w:rPr>
              <w:t>Drug Name</w:t>
            </w:r>
          </w:p>
        </w:tc>
        <w:tc>
          <w:tcPr>
            <w:tcW w:w="1714" w:type="dxa"/>
            <w:noWrap/>
            <w:vAlign w:val="center"/>
            <w:hideMark/>
          </w:tcPr>
          <w:p w14:paraId="0992D1AA" w14:textId="0E218F2A" w:rsidR="00005165" w:rsidRPr="002D0ADB" w:rsidRDefault="00005165" w:rsidP="006C0460">
            <w:pPr>
              <w:rPr>
                <w:b/>
                <w:bCs/>
                <w:color w:val="000000"/>
              </w:rPr>
            </w:pPr>
            <w:r w:rsidRPr="002D0ADB">
              <w:rPr>
                <w:b/>
                <w:bCs/>
                <w:color w:val="000000"/>
              </w:rPr>
              <w:t>Therapeutic</w:t>
            </w:r>
            <w:r w:rsidR="002D0ADB">
              <w:rPr>
                <w:b/>
                <w:bCs/>
                <w:color w:val="000000"/>
              </w:rPr>
              <w:t xml:space="preserve"> </w:t>
            </w:r>
            <w:r w:rsidRPr="002D0ADB">
              <w:rPr>
                <w:b/>
                <w:bCs/>
                <w:color w:val="000000"/>
              </w:rPr>
              <w:t>score</w:t>
            </w:r>
          </w:p>
        </w:tc>
        <w:tc>
          <w:tcPr>
            <w:tcW w:w="1204" w:type="dxa"/>
            <w:noWrap/>
            <w:vAlign w:val="center"/>
            <w:hideMark/>
          </w:tcPr>
          <w:p w14:paraId="6082192F" w14:textId="77777777" w:rsidR="00005165" w:rsidRPr="002D0ADB" w:rsidRDefault="00005165" w:rsidP="006C0460">
            <w:pPr>
              <w:rPr>
                <w:b/>
                <w:bCs/>
                <w:color w:val="000000"/>
              </w:rPr>
            </w:pPr>
            <w:r w:rsidRPr="002D0ADB">
              <w:rPr>
                <w:b/>
                <w:bCs/>
                <w:color w:val="000000"/>
              </w:rPr>
              <w:t>P value</w:t>
            </w:r>
          </w:p>
        </w:tc>
        <w:tc>
          <w:tcPr>
            <w:tcW w:w="1346" w:type="dxa"/>
            <w:noWrap/>
            <w:vAlign w:val="center"/>
            <w:hideMark/>
          </w:tcPr>
          <w:p w14:paraId="7A0D0347" w14:textId="77777777" w:rsidR="00005165" w:rsidRPr="002D0ADB" w:rsidRDefault="00005165" w:rsidP="006C0460">
            <w:pPr>
              <w:rPr>
                <w:b/>
                <w:bCs/>
                <w:color w:val="000000"/>
              </w:rPr>
            </w:pPr>
            <w:r w:rsidRPr="002D0ADB">
              <w:rPr>
                <w:b/>
                <w:bCs/>
                <w:color w:val="000000"/>
              </w:rPr>
              <w:t>FDR</w:t>
            </w:r>
          </w:p>
        </w:tc>
        <w:tc>
          <w:tcPr>
            <w:tcW w:w="4045" w:type="dxa"/>
            <w:noWrap/>
            <w:vAlign w:val="center"/>
            <w:hideMark/>
          </w:tcPr>
          <w:p w14:paraId="6043A783" w14:textId="77777777" w:rsidR="00005165" w:rsidRPr="002D0ADB" w:rsidRDefault="00005165" w:rsidP="006C0460">
            <w:pPr>
              <w:rPr>
                <w:b/>
                <w:bCs/>
                <w:color w:val="000000"/>
              </w:rPr>
            </w:pPr>
            <w:r w:rsidRPr="002D0ADB">
              <w:rPr>
                <w:b/>
                <w:bCs/>
                <w:color w:val="000000"/>
              </w:rPr>
              <w:t>Primary Mechanism of Action</w:t>
            </w:r>
          </w:p>
        </w:tc>
      </w:tr>
      <w:tr w:rsidR="00005165" w:rsidRPr="002D0ADB" w14:paraId="3F28A5AD" w14:textId="77777777" w:rsidTr="002D68D5">
        <w:trPr>
          <w:trHeight w:val="288"/>
        </w:trPr>
        <w:tc>
          <w:tcPr>
            <w:tcW w:w="1761" w:type="dxa"/>
            <w:noWrap/>
            <w:vAlign w:val="center"/>
            <w:hideMark/>
          </w:tcPr>
          <w:p w14:paraId="6BD0F662" w14:textId="59C0E71A" w:rsidR="00005165" w:rsidRPr="002D0ADB" w:rsidRDefault="002D68D5" w:rsidP="006C0460">
            <w:pPr>
              <w:rPr>
                <w:color w:val="000000"/>
              </w:rPr>
            </w:pPr>
            <w:r>
              <w:rPr>
                <w:color w:val="000000"/>
              </w:rPr>
              <w:t>V</w:t>
            </w:r>
            <w:r w:rsidR="00005165" w:rsidRPr="002D0ADB">
              <w:rPr>
                <w:color w:val="000000"/>
              </w:rPr>
              <w:t>orinostat</w:t>
            </w:r>
          </w:p>
        </w:tc>
        <w:tc>
          <w:tcPr>
            <w:tcW w:w="1714" w:type="dxa"/>
            <w:noWrap/>
            <w:vAlign w:val="center"/>
            <w:hideMark/>
          </w:tcPr>
          <w:p w14:paraId="4A890FC0" w14:textId="77777777" w:rsidR="00005165" w:rsidRPr="002D0ADB" w:rsidRDefault="00005165" w:rsidP="006C0460">
            <w:pPr>
              <w:rPr>
                <w:color w:val="000000"/>
              </w:rPr>
            </w:pPr>
            <w:r w:rsidRPr="002D0ADB">
              <w:rPr>
                <w:color w:val="000000"/>
              </w:rPr>
              <w:t>0.370129</w:t>
            </w:r>
          </w:p>
        </w:tc>
        <w:tc>
          <w:tcPr>
            <w:tcW w:w="1204" w:type="dxa"/>
            <w:noWrap/>
            <w:vAlign w:val="center"/>
            <w:hideMark/>
          </w:tcPr>
          <w:p w14:paraId="072E2639" w14:textId="28CBB75D" w:rsidR="00005165" w:rsidRPr="002D0ADB" w:rsidRDefault="007E4110" w:rsidP="006C0460">
            <w:pPr>
              <w:rPr>
                <w:color w:val="000000"/>
              </w:rPr>
            </w:pPr>
            <w:r>
              <w:rPr>
                <w:color w:val="000000"/>
              </w:rPr>
              <w:t>&lt;0.001</w:t>
            </w:r>
          </w:p>
        </w:tc>
        <w:tc>
          <w:tcPr>
            <w:tcW w:w="1346" w:type="dxa"/>
            <w:noWrap/>
            <w:vAlign w:val="center"/>
            <w:hideMark/>
          </w:tcPr>
          <w:p w14:paraId="107D1AA6" w14:textId="7AF0725D" w:rsidR="00005165" w:rsidRPr="002D0ADB" w:rsidRDefault="007E4110" w:rsidP="006C0460">
            <w:pPr>
              <w:rPr>
                <w:color w:val="000000"/>
              </w:rPr>
            </w:pPr>
            <w:r>
              <w:rPr>
                <w:color w:val="000000"/>
              </w:rPr>
              <w:t>&lt;0.001</w:t>
            </w:r>
          </w:p>
        </w:tc>
        <w:tc>
          <w:tcPr>
            <w:tcW w:w="4045" w:type="dxa"/>
            <w:noWrap/>
            <w:vAlign w:val="center"/>
            <w:hideMark/>
          </w:tcPr>
          <w:p w14:paraId="2A73FFCA" w14:textId="77777777" w:rsidR="00005165" w:rsidRPr="002D0ADB" w:rsidRDefault="00005165" w:rsidP="006C0460">
            <w:pPr>
              <w:rPr>
                <w:color w:val="000000"/>
              </w:rPr>
            </w:pPr>
            <w:r w:rsidRPr="002D0ADB">
              <w:rPr>
                <w:color w:val="000000"/>
              </w:rPr>
              <w:t>Histone Deacetylase (HDAC) Inhibitor</w:t>
            </w:r>
          </w:p>
        </w:tc>
      </w:tr>
      <w:tr w:rsidR="00005165" w:rsidRPr="002D0ADB" w14:paraId="089DBF02" w14:textId="77777777" w:rsidTr="002D68D5">
        <w:trPr>
          <w:trHeight w:val="288"/>
        </w:trPr>
        <w:tc>
          <w:tcPr>
            <w:tcW w:w="1761" w:type="dxa"/>
            <w:noWrap/>
            <w:vAlign w:val="center"/>
            <w:hideMark/>
          </w:tcPr>
          <w:p w14:paraId="1568A7A8" w14:textId="2AC66A54" w:rsidR="00005165" w:rsidRPr="002D0ADB" w:rsidRDefault="002D68D5" w:rsidP="006C0460">
            <w:pPr>
              <w:rPr>
                <w:color w:val="000000"/>
              </w:rPr>
            </w:pPr>
            <w:r>
              <w:rPr>
                <w:color w:val="000000"/>
              </w:rPr>
              <w:t>E</w:t>
            </w:r>
            <w:r w:rsidR="00005165" w:rsidRPr="002D0ADB">
              <w:rPr>
                <w:color w:val="000000"/>
              </w:rPr>
              <w:t>verolimus</w:t>
            </w:r>
          </w:p>
        </w:tc>
        <w:tc>
          <w:tcPr>
            <w:tcW w:w="1714" w:type="dxa"/>
            <w:noWrap/>
            <w:vAlign w:val="center"/>
            <w:hideMark/>
          </w:tcPr>
          <w:p w14:paraId="6AF48848" w14:textId="77777777" w:rsidR="00005165" w:rsidRPr="002D0ADB" w:rsidRDefault="00005165" w:rsidP="006C0460">
            <w:pPr>
              <w:rPr>
                <w:color w:val="000000"/>
              </w:rPr>
            </w:pPr>
            <w:r w:rsidRPr="002D0ADB">
              <w:rPr>
                <w:color w:val="000000"/>
              </w:rPr>
              <w:t>0.188134</w:t>
            </w:r>
          </w:p>
        </w:tc>
        <w:tc>
          <w:tcPr>
            <w:tcW w:w="1204" w:type="dxa"/>
            <w:noWrap/>
            <w:vAlign w:val="center"/>
            <w:hideMark/>
          </w:tcPr>
          <w:p w14:paraId="421D3176" w14:textId="072E5EFB" w:rsidR="00005165" w:rsidRPr="002D0ADB" w:rsidRDefault="007E4110" w:rsidP="006C0460">
            <w:pPr>
              <w:rPr>
                <w:color w:val="000000"/>
              </w:rPr>
            </w:pPr>
            <w:r>
              <w:rPr>
                <w:color w:val="000000"/>
              </w:rPr>
              <w:t>&lt;0.001</w:t>
            </w:r>
          </w:p>
        </w:tc>
        <w:tc>
          <w:tcPr>
            <w:tcW w:w="1346" w:type="dxa"/>
            <w:noWrap/>
            <w:vAlign w:val="center"/>
            <w:hideMark/>
          </w:tcPr>
          <w:p w14:paraId="74FF46B8" w14:textId="13C11660" w:rsidR="00005165" w:rsidRPr="002D0ADB" w:rsidRDefault="007E4110" w:rsidP="006C0460">
            <w:pPr>
              <w:rPr>
                <w:color w:val="000000"/>
              </w:rPr>
            </w:pPr>
            <w:r>
              <w:rPr>
                <w:color w:val="000000"/>
              </w:rPr>
              <w:t>&lt;0.001</w:t>
            </w:r>
          </w:p>
        </w:tc>
        <w:tc>
          <w:tcPr>
            <w:tcW w:w="4045" w:type="dxa"/>
            <w:noWrap/>
            <w:vAlign w:val="center"/>
            <w:hideMark/>
          </w:tcPr>
          <w:p w14:paraId="0048EC4C" w14:textId="77777777" w:rsidR="00005165" w:rsidRPr="002D0ADB" w:rsidRDefault="00005165" w:rsidP="006C0460">
            <w:pPr>
              <w:rPr>
                <w:color w:val="000000"/>
              </w:rPr>
            </w:pPr>
            <w:r w:rsidRPr="002D0ADB">
              <w:rPr>
                <w:color w:val="000000"/>
              </w:rPr>
              <w:t>mTOR Kinase Inhibitor (mTORC1)</w:t>
            </w:r>
          </w:p>
        </w:tc>
      </w:tr>
      <w:tr w:rsidR="00005165" w:rsidRPr="002D0ADB" w14:paraId="7FA8E203" w14:textId="77777777" w:rsidTr="002D68D5">
        <w:trPr>
          <w:trHeight w:val="288"/>
        </w:trPr>
        <w:tc>
          <w:tcPr>
            <w:tcW w:w="1761" w:type="dxa"/>
            <w:noWrap/>
            <w:vAlign w:val="center"/>
            <w:hideMark/>
          </w:tcPr>
          <w:p w14:paraId="26B56754" w14:textId="5F293F94" w:rsidR="00005165" w:rsidRPr="002D0ADB" w:rsidRDefault="002D68D5" w:rsidP="006C0460">
            <w:pPr>
              <w:rPr>
                <w:color w:val="000000"/>
              </w:rPr>
            </w:pPr>
            <w:r>
              <w:rPr>
                <w:color w:val="000000"/>
              </w:rPr>
              <w:t>D</w:t>
            </w:r>
            <w:r w:rsidR="00005165" w:rsidRPr="002D0ADB">
              <w:rPr>
                <w:color w:val="000000"/>
              </w:rPr>
              <w:t>aunorubicin</w:t>
            </w:r>
          </w:p>
        </w:tc>
        <w:tc>
          <w:tcPr>
            <w:tcW w:w="1714" w:type="dxa"/>
            <w:noWrap/>
            <w:vAlign w:val="center"/>
            <w:hideMark/>
          </w:tcPr>
          <w:p w14:paraId="1849BAD4" w14:textId="77777777" w:rsidR="00005165" w:rsidRPr="002D0ADB" w:rsidRDefault="00005165" w:rsidP="006C0460">
            <w:pPr>
              <w:rPr>
                <w:color w:val="000000"/>
              </w:rPr>
            </w:pPr>
            <w:r w:rsidRPr="002D0ADB">
              <w:rPr>
                <w:color w:val="000000"/>
              </w:rPr>
              <w:t>0.175704</w:t>
            </w:r>
          </w:p>
        </w:tc>
        <w:tc>
          <w:tcPr>
            <w:tcW w:w="1204" w:type="dxa"/>
            <w:noWrap/>
            <w:vAlign w:val="center"/>
            <w:hideMark/>
          </w:tcPr>
          <w:p w14:paraId="5F911FE2" w14:textId="5E1B560E" w:rsidR="00005165" w:rsidRPr="002D0ADB" w:rsidRDefault="007E4110" w:rsidP="006C0460">
            <w:pPr>
              <w:rPr>
                <w:color w:val="000000"/>
              </w:rPr>
            </w:pPr>
            <w:r>
              <w:rPr>
                <w:color w:val="000000"/>
              </w:rPr>
              <w:t>&lt;0.001</w:t>
            </w:r>
          </w:p>
        </w:tc>
        <w:tc>
          <w:tcPr>
            <w:tcW w:w="1346" w:type="dxa"/>
            <w:noWrap/>
            <w:vAlign w:val="center"/>
            <w:hideMark/>
          </w:tcPr>
          <w:p w14:paraId="5D810085" w14:textId="64B07A22" w:rsidR="00005165" w:rsidRPr="002D0ADB" w:rsidRDefault="007E4110" w:rsidP="006C0460">
            <w:pPr>
              <w:rPr>
                <w:color w:val="000000"/>
              </w:rPr>
            </w:pPr>
            <w:r>
              <w:rPr>
                <w:color w:val="000000"/>
              </w:rPr>
              <w:t>&lt;0.001</w:t>
            </w:r>
          </w:p>
        </w:tc>
        <w:tc>
          <w:tcPr>
            <w:tcW w:w="4045" w:type="dxa"/>
            <w:noWrap/>
            <w:vAlign w:val="center"/>
            <w:hideMark/>
          </w:tcPr>
          <w:p w14:paraId="38FDE78D" w14:textId="77777777" w:rsidR="00005165" w:rsidRPr="002D0ADB" w:rsidRDefault="00005165" w:rsidP="006C0460">
            <w:pPr>
              <w:rPr>
                <w:color w:val="000000"/>
              </w:rPr>
            </w:pPr>
            <w:r w:rsidRPr="002D0ADB">
              <w:rPr>
                <w:color w:val="000000"/>
              </w:rPr>
              <w:t>Topoisomerase II Inhibitor and DNA Intercalator</w:t>
            </w:r>
          </w:p>
        </w:tc>
      </w:tr>
      <w:tr w:rsidR="00005165" w:rsidRPr="002D0ADB" w14:paraId="0ABDAB1F" w14:textId="77777777" w:rsidTr="002D68D5">
        <w:trPr>
          <w:trHeight w:val="288"/>
        </w:trPr>
        <w:tc>
          <w:tcPr>
            <w:tcW w:w="1761" w:type="dxa"/>
            <w:noWrap/>
            <w:vAlign w:val="center"/>
            <w:hideMark/>
          </w:tcPr>
          <w:p w14:paraId="0CF38C79" w14:textId="575F7BE0" w:rsidR="00005165" w:rsidRPr="002D0ADB" w:rsidRDefault="002D68D5" w:rsidP="006C0460">
            <w:pPr>
              <w:rPr>
                <w:color w:val="000000"/>
              </w:rPr>
            </w:pPr>
            <w:r>
              <w:rPr>
                <w:color w:val="000000"/>
              </w:rPr>
              <w:t>T</w:t>
            </w:r>
            <w:r w:rsidR="00005165" w:rsidRPr="002D0ADB">
              <w:rPr>
                <w:color w:val="000000"/>
              </w:rPr>
              <w:t>retinoin</w:t>
            </w:r>
          </w:p>
        </w:tc>
        <w:tc>
          <w:tcPr>
            <w:tcW w:w="1714" w:type="dxa"/>
            <w:noWrap/>
            <w:vAlign w:val="center"/>
            <w:hideMark/>
          </w:tcPr>
          <w:p w14:paraId="7660A956" w14:textId="77777777" w:rsidR="00005165" w:rsidRPr="002D0ADB" w:rsidRDefault="00005165" w:rsidP="006C0460">
            <w:pPr>
              <w:rPr>
                <w:color w:val="000000"/>
              </w:rPr>
            </w:pPr>
            <w:r w:rsidRPr="002D0ADB">
              <w:rPr>
                <w:color w:val="000000"/>
              </w:rPr>
              <w:t>0.158207</w:t>
            </w:r>
          </w:p>
        </w:tc>
        <w:tc>
          <w:tcPr>
            <w:tcW w:w="1204" w:type="dxa"/>
            <w:noWrap/>
            <w:vAlign w:val="center"/>
            <w:hideMark/>
          </w:tcPr>
          <w:p w14:paraId="754D4EF6" w14:textId="0BB2E8C0" w:rsidR="00005165" w:rsidRPr="002D0ADB" w:rsidRDefault="007E4110" w:rsidP="006C0460">
            <w:pPr>
              <w:rPr>
                <w:color w:val="000000"/>
              </w:rPr>
            </w:pPr>
            <w:r>
              <w:rPr>
                <w:color w:val="000000"/>
              </w:rPr>
              <w:t>&lt;0.001</w:t>
            </w:r>
          </w:p>
        </w:tc>
        <w:tc>
          <w:tcPr>
            <w:tcW w:w="1346" w:type="dxa"/>
            <w:noWrap/>
            <w:vAlign w:val="center"/>
            <w:hideMark/>
          </w:tcPr>
          <w:p w14:paraId="31DB23FC" w14:textId="72A095A2" w:rsidR="00005165" w:rsidRPr="002D0ADB" w:rsidRDefault="007E4110" w:rsidP="006C0460">
            <w:pPr>
              <w:rPr>
                <w:color w:val="000000"/>
              </w:rPr>
            </w:pPr>
            <w:r>
              <w:rPr>
                <w:color w:val="000000"/>
              </w:rPr>
              <w:t>&lt;0.001</w:t>
            </w:r>
          </w:p>
        </w:tc>
        <w:tc>
          <w:tcPr>
            <w:tcW w:w="4045" w:type="dxa"/>
            <w:noWrap/>
            <w:vAlign w:val="center"/>
            <w:hideMark/>
          </w:tcPr>
          <w:p w14:paraId="3F0054B0" w14:textId="77777777" w:rsidR="00005165" w:rsidRPr="002D0ADB" w:rsidRDefault="00005165" w:rsidP="006C0460">
            <w:pPr>
              <w:rPr>
                <w:color w:val="000000"/>
              </w:rPr>
            </w:pPr>
            <w:r w:rsidRPr="002D0ADB">
              <w:rPr>
                <w:color w:val="000000"/>
              </w:rPr>
              <w:t>Retinoic Acid Receptor (RAR) Agonist</w:t>
            </w:r>
          </w:p>
        </w:tc>
      </w:tr>
      <w:tr w:rsidR="00005165" w:rsidRPr="002D0ADB" w14:paraId="57C05A38" w14:textId="77777777" w:rsidTr="002D68D5">
        <w:trPr>
          <w:trHeight w:val="288"/>
        </w:trPr>
        <w:tc>
          <w:tcPr>
            <w:tcW w:w="1761" w:type="dxa"/>
            <w:noWrap/>
            <w:vAlign w:val="center"/>
            <w:hideMark/>
          </w:tcPr>
          <w:p w14:paraId="295A8D2B" w14:textId="3B4FC504" w:rsidR="00005165" w:rsidRPr="002D0ADB" w:rsidRDefault="002D68D5" w:rsidP="006C0460">
            <w:pPr>
              <w:rPr>
                <w:color w:val="000000"/>
              </w:rPr>
            </w:pPr>
            <w:r>
              <w:rPr>
                <w:color w:val="000000"/>
              </w:rPr>
              <w:t>S</w:t>
            </w:r>
            <w:r w:rsidR="00005165" w:rsidRPr="002D0ADB">
              <w:rPr>
                <w:color w:val="000000"/>
              </w:rPr>
              <w:t>irolimus</w:t>
            </w:r>
          </w:p>
        </w:tc>
        <w:tc>
          <w:tcPr>
            <w:tcW w:w="1714" w:type="dxa"/>
            <w:noWrap/>
            <w:vAlign w:val="center"/>
            <w:hideMark/>
          </w:tcPr>
          <w:p w14:paraId="11E67A59" w14:textId="77777777" w:rsidR="00005165" w:rsidRPr="002D0ADB" w:rsidRDefault="00005165" w:rsidP="006C0460">
            <w:pPr>
              <w:rPr>
                <w:color w:val="000000"/>
              </w:rPr>
            </w:pPr>
            <w:r w:rsidRPr="002D0ADB">
              <w:rPr>
                <w:color w:val="000000"/>
              </w:rPr>
              <w:t>0.149542</w:t>
            </w:r>
          </w:p>
        </w:tc>
        <w:tc>
          <w:tcPr>
            <w:tcW w:w="1204" w:type="dxa"/>
            <w:noWrap/>
            <w:vAlign w:val="center"/>
            <w:hideMark/>
          </w:tcPr>
          <w:p w14:paraId="51F065FF" w14:textId="03EAFD45" w:rsidR="00005165" w:rsidRPr="002D0ADB" w:rsidRDefault="007E4110" w:rsidP="006C0460">
            <w:pPr>
              <w:rPr>
                <w:color w:val="000000"/>
              </w:rPr>
            </w:pPr>
            <w:r>
              <w:rPr>
                <w:color w:val="000000"/>
              </w:rPr>
              <w:t>&lt;0.001</w:t>
            </w:r>
          </w:p>
        </w:tc>
        <w:tc>
          <w:tcPr>
            <w:tcW w:w="1346" w:type="dxa"/>
            <w:noWrap/>
            <w:vAlign w:val="center"/>
            <w:hideMark/>
          </w:tcPr>
          <w:p w14:paraId="0E85D449" w14:textId="3B025514" w:rsidR="00005165" w:rsidRPr="002D0ADB" w:rsidRDefault="007E4110" w:rsidP="006C0460">
            <w:pPr>
              <w:rPr>
                <w:color w:val="000000"/>
              </w:rPr>
            </w:pPr>
            <w:r>
              <w:rPr>
                <w:color w:val="000000"/>
              </w:rPr>
              <w:t>&lt;0.001</w:t>
            </w:r>
          </w:p>
        </w:tc>
        <w:tc>
          <w:tcPr>
            <w:tcW w:w="4045" w:type="dxa"/>
            <w:noWrap/>
            <w:vAlign w:val="center"/>
            <w:hideMark/>
          </w:tcPr>
          <w:p w14:paraId="3F2DB688" w14:textId="77777777" w:rsidR="00005165" w:rsidRPr="002D0ADB" w:rsidRDefault="00005165" w:rsidP="006C0460">
            <w:pPr>
              <w:rPr>
                <w:color w:val="000000"/>
              </w:rPr>
            </w:pPr>
            <w:r w:rsidRPr="002D0ADB">
              <w:rPr>
                <w:color w:val="000000"/>
              </w:rPr>
              <w:t>mTOR Kinase Inhibitor</w:t>
            </w:r>
          </w:p>
        </w:tc>
      </w:tr>
      <w:tr w:rsidR="00005165" w:rsidRPr="002D0ADB" w14:paraId="57E7BCE8" w14:textId="77777777" w:rsidTr="002D68D5">
        <w:trPr>
          <w:trHeight w:val="288"/>
        </w:trPr>
        <w:tc>
          <w:tcPr>
            <w:tcW w:w="1761" w:type="dxa"/>
            <w:noWrap/>
            <w:vAlign w:val="center"/>
            <w:hideMark/>
          </w:tcPr>
          <w:p w14:paraId="0951F5E2" w14:textId="5DDD9167" w:rsidR="00005165" w:rsidRPr="002D0ADB" w:rsidRDefault="002D68D5" w:rsidP="006C0460">
            <w:pPr>
              <w:rPr>
                <w:color w:val="000000"/>
              </w:rPr>
            </w:pPr>
            <w:r>
              <w:rPr>
                <w:color w:val="000000"/>
              </w:rPr>
              <w:t>C</w:t>
            </w:r>
            <w:r w:rsidR="00005165" w:rsidRPr="002D0ADB">
              <w:rPr>
                <w:color w:val="000000"/>
              </w:rPr>
              <w:t>urcumin</w:t>
            </w:r>
          </w:p>
        </w:tc>
        <w:tc>
          <w:tcPr>
            <w:tcW w:w="1714" w:type="dxa"/>
            <w:noWrap/>
            <w:vAlign w:val="center"/>
            <w:hideMark/>
          </w:tcPr>
          <w:p w14:paraId="285282EB" w14:textId="77777777" w:rsidR="00005165" w:rsidRPr="002D0ADB" w:rsidRDefault="00005165" w:rsidP="006C0460">
            <w:pPr>
              <w:rPr>
                <w:color w:val="000000"/>
              </w:rPr>
            </w:pPr>
            <w:r w:rsidRPr="002D0ADB">
              <w:rPr>
                <w:color w:val="000000"/>
              </w:rPr>
              <w:t>0.130553</w:t>
            </w:r>
          </w:p>
        </w:tc>
        <w:tc>
          <w:tcPr>
            <w:tcW w:w="1204" w:type="dxa"/>
            <w:noWrap/>
            <w:vAlign w:val="center"/>
            <w:hideMark/>
          </w:tcPr>
          <w:p w14:paraId="00754479" w14:textId="19BC44AC" w:rsidR="00005165" w:rsidRPr="002D0ADB" w:rsidRDefault="007E4110" w:rsidP="006C0460">
            <w:pPr>
              <w:rPr>
                <w:color w:val="000000"/>
              </w:rPr>
            </w:pPr>
            <w:r>
              <w:rPr>
                <w:color w:val="000000"/>
              </w:rPr>
              <w:t>&lt;0.001</w:t>
            </w:r>
          </w:p>
        </w:tc>
        <w:tc>
          <w:tcPr>
            <w:tcW w:w="1346" w:type="dxa"/>
            <w:noWrap/>
            <w:vAlign w:val="center"/>
            <w:hideMark/>
          </w:tcPr>
          <w:p w14:paraId="2DD073EE" w14:textId="76ACD3CB" w:rsidR="00005165" w:rsidRPr="002D0ADB" w:rsidRDefault="007E4110" w:rsidP="006C0460">
            <w:pPr>
              <w:rPr>
                <w:color w:val="000000"/>
              </w:rPr>
            </w:pPr>
            <w:r>
              <w:rPr>
                <w:color w:val="000000"/>
              </w:rPr>
              <w:t>&lt;0.001</w:t>
            </w:r>
          </w:p>
        </w:tc>
        <w:tc>
          <w:tcPr>
            <w:tcW w:w="4045" w:type="dxa"/>
            <w:noWrap/>
            <w:vAlign w:val="center"/>
            <w:hideMark/>
          </w:tcPr>
          <w:p w14:paraId="30FC3E1D" w14:textId="77777777" w:rsidR="00005165" w:rsidRPr="002D0ADB" w:rsidRDefault="00005165" w:rsidP="006C0460">
            <w:pPr>
              <w:rPr>
                <w:color w:val="000000"/>
              </w:rPr>
            </w:pPr>
            <w:r w:rsidRPr="002D0ADB">
              <w:rPr>
                <w:color w:val="000000"/>
              </w:rPr>
              <w:t>NF-kB and COX-2 Inhibitor</w:t>
            </w:r>
          </w:p>
        </w:tc>
      </w:tr>
      <w:tr w:rsidR="00005165" w:rsidRPr="002D0ADB" w14:paraId="5FB8E8F2" w14:textId="77777777" w:rsidTr="002D68D5">
        <w:trPr>
          <w:trHeight w:val="288"/>
        </w:trPr>
        <w:tc>
          <w:tcPr>
            <w:tcW w:w="1761" w:type="dxa"/>
            <w:noWrap/>
            <w:vAlign w:val="center"/>
            <w:hideMark/>
          </w:tcPr>
          <w:p w14:paraId="7046F4B8" w14:textId="1D599219" w:rsidR="00005165" w:rsidRPr="002D0ADB" w:rsidRDefault="002D68D5" w:rsidP="006C0460">
            <w:pPr>
              <w:rPr>
                <w:color w:val="000000"/>
              </w:rPr>
            </w:pPr>
            <w:r>
              <w:rPr>
                <w:color w:val="000000"/>
              </w:rPr>
              <w:t>P</w:t>
            </w:r>
            <w:r w:rsidR="00005165" w:rsidRPr="002D0ADB">
              <w:rPr>
                <w:color w:val="000000"/>
              </w:rPr>
              <w:t>erhexiline</w:t>
            </w:r>
          </w:p>
        </w:tc>
        <w:tc>
          <w:tcPr>
            <w:tcW w:w="1714" w:type="dxa"/>
            <w:noWrap/>
            <w:vAlign w:val="center"/>
            <w:hideMark/>
          </w:tcPr>
          <w:p w14:paraId="6D2736AB" w14:textId="77777777" w:rsidR="00005165" w:rsidRPr="002D0ADB" w:rsidRDefault="00005165" w:rsidP="006C0460">
            <w:pPr>
              <w:rPr>
                <w:color w:val="000000"/>
              </w:rPr>
            </w:pPr>
            <w:r w:rsidRPr="002D0ADB">
              <w:rPr>
                <w:color w:val="000000"/>
              </w:rPr>
              <w:t>0.123201</w:t>
            </w:r>
          </w:p>
        </w:tc>
        <w:tc>
          <w:tcPr>
            <w:tcW w:w="1204" w:type="dxa"/>
            <w:noWrap/>
            <w:vAlign w:val="center"/>
            <w:hideMark/>
          </w:tcPr>
          <w:p w14:paraId="146939D5" w14:textId="6F4B7F85" w:rsidR="00005165" w:rsidRPr="002D0ADB" w:rsidRDefault="007E4110" w:rsidP="006C0460">
            <w:pPr>
              <w:rPr>
                <w:color w:val="000000"/>
              </w:rPr>
            </w:pPr>
            <w:r>
              <w:rPr>
                <w:color w:val="000000"/>
              </w:rPr>
              <w:t>&lt;0.001</w:t>
            </w:r>
          </w:p>
        </w:tc>
        <w:tc>
          <w:tcPr>
            <w:tcW w:w="1346" w:type="dxa"/>
            <w:noWrap/>
            <w:vAlign w:val="center"/>
            <w:hideMark/>
          </w:tcPr>
          <w:p w14:paraId="23DC4FA9" w14:textId="12D9105D" w:rsidR="00005165" w:rsidRPr="002D0ADB" w:rsidRDefault="007E4110" w:rsidP="006C0460">
            <w:pPr>
              <w:rPr>
                <w:color w:val="000000"/>
              </w:rPr>
            </w:pPr>
            <w:r>
              <w:rPr>
                <w:color w:val="000000"/>
              </w:rPr>
              <w:t>&lt;0.001</w:t>
            </w:r>
          </w:p>
        </w:tc>
        <w:tc>
          <w:tcPr>
            <w:tcW w:w="4045" w:type="dxa"/>
            <w:noWrap/>
            <w:vAlign w:val="center"/>
            <w:hideMark/>
          </w:tcPr>
          <w:p w14:paraId="55E8D179" w14:textId="77777777" w:rsidR="00005165" w:rsidRPr="002D0ADB" w:rsidRDefault="00005165" w:rsidP="006C0460">
            <w:pPr>
              <w:rPr>
                <w:color w:val="000000"/>
              </w:rPr>
            </w:pPr>
            <w:r w:rsidRPr="002D0ADB">
              <w:rPr>
                <w:color w:val="000000"/>
              </w:rPr>
              <w:t>Carnitine Palmitoyltransferase-1 (CPT-1) Inhibitor</w:t>
            </w:r>
          </w:p>
        </w:tc>
      </w:tr>
      <w:tr w:rsidR="00005165" w:rsidRPr="002D0ADB" w14:paraId="3A2D047A" w14:textId="77777777" w:rsidTr="002D68D5">
        <w:trPr>
          <w:trHeight w:val="288"/>
        </w:trPr>
        <w:tc>
          <w:tcPr>
            <w:tcW w:w="1761" w:type="dxa"/>
            <w:noWrap/>
            <w:vAlign w:val="center"/>
            <w:hideMark/>
          </w:tcPr>
          <w:p w14:paraId="53CD6B86" w14:textId="7F2A5D52" w:rsidR="00005165" w:rsidRPr="002D0ADB" w:rsidRDefault="002D68D5" w:rsidP="006C0460">
            <w:pPr>
              <w:rPr>
                <w:color w:val="000000"/>
              </w:rPr>
            </w:pPr>
            <w:r>
              <w:rPr>
                <w:color w:val="000000"/>
              </w:rPr>
              <w:t>C</w:t>
            </w:r>
            <w:r w:rsidR="00005165" w:rsidRPr="002D0ADB">
              <w:rPr>
                <w:color w:val="000000"/>
              </w:rPr>
              <w:t>alcitriol</w:t>
            </w:r>
          </w:p>
        </w:tc>
        <w:tc>
          <w:tcPr>
            <w:tcW w:w="1714" w:type="dxa"/>
            <w:noWrap/>
            <w:vAlign w:val="center"/>
            <w:hideMark/>
          </w:tcPr>
          <w:p w14:paraId="0AA2C4D5" w14:textId="77777777" w:rsidR="00005165" w:rsidRPr="002D0ADB" w:rsidRDefault="00005165" w:rsidP="006C0460">
            <w:pPr>
              <w:rPr>
                <w:color w:val="000000"/>
              </w:rPr>
            </w:pPr>
            <w:r w:rsidRPr="002D0ADB">
              <w:rPr>
                <w:color w:val="000000"/>
              </w:rPr>
              <w:t>0.112321</w:t>
            </w:r>
          </w:p>
        </w:tc>
        <w:tc>
          <w:tcPr>
            <w:tcW w:w="1204" w:type="dxa"/>
            <w:noWrap/>
            <w:vAlign w:val="center"/>
            <w:hideMark/>
          </w:tcPr>
          <w:p w14:paraId="2165C7FE" w14:textId="009B4030" w:rsidR="00005165" w:rsidRPr="002D0ADB" w:rsidRDefault="007E4110" w:rsidP="006C0460">
            <w:pPr>
              <w:rPr>
                <w:color w:val="000000"/>
              </w:rPr>
            </w:pPr>
            <w:r>
              <w:rPr>
                <w:color w:val="000000"/>
              </w:rPr>
              <w:t>&lt;0.001</w:t>
            </w:r>
          </w:p>
        </w:tc>
        <w:tc>
          <w:tcPr>
            <w:tcW w:w="1346" w:type="dxa"/>
            <w:noWrap/>
            <w:vAlign w:val="center"/>
            <w:hideMark/>
          </w:tcPr>
          <w:p w14:paraId="58B61FFB" w14:textId="1CBD3BB8" w:rsidR="00005165" w:rsidRPr="002D0ADB" w:rsidRDefault="007E4110" w:rsidP="006C0460">
            <w:pPr>
              <w:rPr>
                <w:color w:val="000000"/>
              </w:rPr>
            </w:pPr>
            <w:r>
              <w:rPr>
                <w:color w:val="000000"/>
              </w:rPr>
              <w:t>0.003</w:t>
            </w:r>
          </w:p>
        </w:tc>
        <w:tc>
          <w:tcPr>
            <w:tcW w:w="4045" w:type="dxa"/>
            <w:noWrap/>
            <w:vAlign w:val="center"/>
            <w:hideMark/>
          </w:tcPr>
          <w:p w14:paraId="5DF5CFAD" w14:textId="77777777" w:rsidR="00005165" w:rsidRPr="002D0ADB" w:rsidRDefault="00005165" w:rsidP="006C0460">
            <w:pPr>
              <w:rPr>
                <w:color w:val="000000"/>
              </w:rPr>
            </w:pPr>
            <w:r w:rsidRPr="002D0ADB">
              <w:rPr>
                <w:color w:val="000000"/>
              </w:rPr>
              <w:t>Vitamin D Receptor (VDR) Agonist</w:t>
            </w:r>
          </w:p>
        </w:tc>
      </w:tr>
    </w:tbl>
    <w:p w14:paraId="178C60B6" w14:textId="77777777" w:rsidR="00005165" w:rsidRDefault="00005165" w:rsidP="00AB7476">
      <w:pPr>
        <w:rPr>
          <w:b/>
          <w:bCs/>
        </w:rPr>
      </w:pPr>
      <w:r w:rsidRPr="00675C15">
        <w:rPr>
          <w:b/>
          <w:bCs/>
        </w:rPr>
        <w:t>Table II: Top FDA-Approved Drug Candidates Identified by the ASGARD Pipeline</w:t>
      </w:r>
    </w:p>
    <w:p w14:paraId="1DE11472" w14:textId="16E794FC" w:rsidR="00CD5EBB" w:rsidRDefault="00CD5EBB" w:rsidP="00F82C9A">
      <w:pPr>
        <w:spacing w:line="360" w:lineRule="auto"/>
        <w:jc w:val="both"/>
        <w:rPr>
          <w:b/>
          <w:bCs/>
        </w:rPr>
      </w:pPr>
    </w:p>
    <w:p w14:paraId="6F584B0C" w14:textId="77777777" w:rsidR="00CD5EBB" w:rsidRDefault="00CD5EBB" w:rsidP="00F82C9A">
      <w:pPr>
        <w:spacing w:line="360" w:lineRule="auto"/>
        <w:jc w:val="both"/>
        <w:rPr>
          <w:b/>
          <w:bCs/>
        </w:rPr>
      </w:pPr>
    </w:p>
    <w:p w14:paraId="1821172C" w14:textId="77777777" w:rsidR="00CD5EBB" w:rsidRDefault="00CD5EBB" w:rsidP="00F82C9A">
      <w:pPr>
        <w:spacing w:line="360" w:lineRule="auto"/>
        <w:jc w:val="both"/>
        <w:rPr>
          <w:b/>
          <w:bCs/>
        </w:rPr>
        <w:sectPr w:rsidR="00CD5EBB" w:rsidSect="00005165">
          <w:type w:val="continuous"/>
          <w:pgSz w:w="12240" w:h="15840"/>
          <w:pgMar w:top="900" w:right="1080" w:bottom="1080" w:left="1080" w:header="708" w:footer="708" w:gutter="0"/>
          <w:cols w:space="480"/>
          <w:docGrid w:linePitch="360"/>
        </w:sectPr>
      </w:pPr>
    </w:p>
    <w:p w14:paraId="55E34233" w14:textId="3E3FF1B5" w:rsidR="00F06753" w:rsidRDefault="00F06753" w:rsidP="00F06753">
      <w:pPr>
        <w:pStyle w:val="Heading2"/>
        <w:rPr>
          <w:b/>
          <w:bCs/>
          <w:color w:val="auto"/>
          <w:sz w:val="24"/>
          <w:szCs w:val="24"/>
        </w:rPr>
      </w:pPr>
      <w:r w:rsidRPr="00DE4AE8">
        <w:rPr>
          <w:b/>
          <w:bCs/>
          <w:color w:val="auto"/>
          <w:sz w:val="24"/>
          <w:szCs w:val="24"/>
        </w:rPr>
        <w:lastRenderedPageBreak/>
        <w:t>I</w:t>
      </w:r>
      <w:r>
        <w:rPr>
          <w:b/>
          <w:bCs/>
          <w:color w:val="auto"/>
          <w:sz w:val="24"/>
          <w:szCs w:val="24"/>
        </w:rPr>
        <w:t>V</w:t>
      </w:r>
      <w:r w:rsidRPr="00DE4AE8">
        <w:rPr>
          <w:b/>
          <w:bCs/>
          <w:color w:val="auto"/>
          <w:sz w:val="24"/>
          <w:szCs w:val="24"/>
        </w:rPr>
        <w:t xml:space="preserve">.  </w:t>
      </w:r>
      <w:r>
        <w:rPr>
          <w:b/>
          <w:bCs/>
          <w:color w:val="auto"/>
          <w:sz w:val="24"/>
          <w:szCs w:val="24"/>
        </w:rPr>
        <w:t>DISCUSSION</w:t>
      </w:r>
    </w:p>
    <w:p w14:paraId="233C4013" w14:textId="77777777" w:rsidR="00D36589" w:rsidRPr="00D36589" w:rsidRDefault="00D36589" w:rsidP="00D36589"/>
    <w:p w14:paraId="3A5F5EFD" w14:textId="291CEE00" w:rsidR="00213E67" w:rsidRDefault="00213E67" w:rsidP="00213E67">
      <w:pPr>
        <w:spacing w:line="360" w:lineRule="auto"/>
        <w:ind w:firstLine="720"/>
        <w:jc w:val="both"/>
      </w:pPr>
      <w:r w:rsidRPr="00213E67">
        <w:t>While broad-spectrum mTOR inhibitors (e.g., Everolimus, Sirolimus) and DNA-intercalating cytotoxic agents (e.g., Daunorubicin) ranked highly in the computational matrix, their profound systemic immunosuppressive and cardiotoxic profiles severely limit their rapid clinical translation for an acute, multi-organ hemorrhagic fever. Consequently, our downstream analysis focused strategically on Vorinostat (Rank 1) and Tretinoin (Rank 4). Unlike broad cytotoxic agents, these two compounds act via targeted epigenetic modulation and forced cellular differentiation, respectively</w:t>
      </w:r>
      <w:r w:rsidR="009E3ACE">
        <w:t xml:space="preserve">, </w:t>
      </w:r>
      <w:r w:rsidRPr="00213E67">
        <w:t>pathways that directly and safely antagonize the specific core pathomechanisms of HTNV infection.</w:t>
      </w:r>
    </w:p>
    <w:p w14:paraId="702ACCA1" w14:textId="52FCC4D7" w:rsidR="000F40B5" w:rsidRDefault="00356E9F" w:rsidP="00FD007B">
      <w:pPr>
        <w:spacing w:line="360" w:lineRule="auto"/>
        <w:ind w:firstLine="720"/>
        <w:jc w:val="both"/>
      </w:pPr>
      <w:r w:rsidRPr="00356E9F">
        <w:t xml:space="preserve">Vorinostat (Suberoylanilide Hydroxamic Acid), an FDA-approved histone deacetylase (HDAC) inhibitor for cutaneous T-cell lymphoma, emerged as our top therapeutic candidate (Score=0.370). By inhibiting HDACs, Vorinostat induces chromatin relaxation and transcriptional activation. This mechanism directly counters the core pathogenesis of HFRS. Hantaan virus (HTNV) enters endothelial cells via </w:t>
      </w:r>
      <w:r w:rsidRPr="001A49D9">
        <w:rPr>
          <w:i/>
          <w:iCs/>
        </w:rPr>
        <w:t>α</w:t>
      </w:r>
      <w:r w:rsidRPr="001A49D9">
        <w:rPr>
          <w:i/>
          <w:iCs/>
          <w:vertAlign w:val="subscript"/>
        </w:rPr>
        <w:t>v</w:t>
      </w:r>
      <w:r w:rsidRPr="001A49D9">
        <w:rPr>
          <w:i/>
          <w:iCs/>
        </w:rPr>
        <w:t>​β</w:t>
      </w:r>
      <w:r w:rsidRPr="001A49D9">
        <w:rPr>
          <w:i/>
          <w:iCs/>
          <w:vertAlign w:val="subscript"/>
        </w:rPr>
        <w:t>3</w:t>
      </w:r>
      <w:r w:rsidRPr="001A49D9">
        <w:rPr>
          <w:i/>
          <w:iCs/>
        </w:rPr>
        <w:t>​ integrins</w:t>
      </w:r>
      <w:r w:rsidRPr="00356E9F">
        <w:t xml:space="preserve">, degrading VE-cadherin and compromising vascular integrity. Concurrently, it triggers a massive cytokine storm (e.g., TNF-α, IL-1, IL-6) driven by heavily expanded macrophage and monocyte populations. Recent evidence highlights the potent immunomodulatory properties of HDAC inhibitors. By epigenetically </w:t>
      </w:r>
      <w:r w:rsidRPr="00356E9F">
        <w:t>downregulating hyper-active pro-inflammatory transcriptional machinery in myeloid cells and stabilizing endothelial tight junctions, Vorinostat presents a compelling host-directed therapy to simultaneously mitigate the lethal cytokine storm and vascular collapse characteristic of HFRS</w:t>
      </w:r>
      <w:r>
        <w:t xml:space="preserve"> </w:t>
      </w:r>
      <w:r>
        <w:fldChar w:fldCharType="begin"/>
      </w:r>
      <w:r w:rsidR="00CD25CA">
        <w:instrText xml:space="preserve"> ADDIN ZOTERO_ITEM CSL_CITATION {"citationID":"HRVMnvDA","properties":{"unsorted":false,"formattedCitation":"[8]","plainCitation":"[8]","noteIndex":0},"citationItems":[{"id":39,"uris":["http://zotero.org/users/local/ilBrW4kW/items/A2BJ3SF7"],"itemData":{"id":39,"type":"article-journal","container-title":"Nature Reviews Drug Discovery","DOI":"10.1038/nrd2227","ISSN":"1474-1776, 1474-1784","issue":"1","journalAbbreviation":"Nat Rev Drug Discov","language":"en","license":"http://www.springer.com/tdm","page":"21-22","source":"DOI.org (Crossref)","title":"Vorinostat","volume":"6","author":[{"family":"Grant","given":"Steven"},{"family":"Easley","given":"Chris"},{"family":"Kirkpatrick","given":"Peter"}],"issued":{"date-parts":[["2007",1]]}}}],"schema":"https://github.com/citation-style-language/schema/raw/master/csl-citation.json"} </w:instrText>
      </w:r>
      <w:r>
        <w:fldChar w:fldCharType="separate"/>
      </w:r>
      <w:r w:rsidR="00CD25CA" w:rsidRPr="00CD25CA">
        <w:t>[8]</w:t>
      </w:r>
      <w:r>
        <w:fldChar w:fldCharType="end"/>
      </w:r>
      <w:r w:rsidRPr="00356E9F">
        <w:t xml:space="preserve">. </w:t>
      </w:r>
    </w:p>
    <w:p w14:paraId="2C432809" w14:textId="5EF25EC1" w:rsidR="00DE4AE8" w:rsidRDefault="00DE4AE8" w:rsidP="00FD007B">
      <w:pPr>
        <w:spacing w:line="360" w:lineRule="auto"/>
        <w:ind w:firstLine="720"/>
        <w:jc w:val="both"/>
      </w:pPr>
      <w:r w:rsidRPr="00DE4AE8">
        <w:t>Tretinoin (All-Trans Retinoic Acid), a vitamin A derivative, emerged as a highly significant</w:t>
      </w:r>
      <w:r w:rsidR="000F40B5">
        <w:t xml:space="preserve"> </w:t>
      </w:r>
      <w:r w:rsidRPr="00DE4AE8">
        <w:t>therapeutic candidate (Score=0.158). It is currently indicated for acute promyelocytic leukemia (APL), where it functions as a potent differentiation agent by binding retinoic acid receptors to induce the terminal maturation of stalled leukemic blasts. In HFRS, HTNV infection and systemic deficiencies in Vitamins B12 and B9 trigger a severe erythropoietic maturation block</w:t>
      </w:r>
      <w:r w:rsidR="004930EF">
        <w:t xml:space="preserve"> </w:t>
      </w:r>
      <w:r w:rsidR="004930EF">
        <w:fldChar w:fldCharType="begin"/>
      </w:r>
      <w:r w:rsidR="00CD25CA">
        <w:instrText xml:space="preserve"> ADDIN ZOTERO_ITEM CSL_CITATION {"citationID":"fRtnbVYN","properties":{"unsorted":false,"formattedCitation":"[9]","plainCitation":"[9]","noteIndex":0},"citationItems":[{"id":44,"uris":["http://zotero.org/users/local/ilBrW4kW/items/PFRE92YE"],"itemData":{"id":44,"type":"chapter","abstract":"Tretinoin is a valuable medication with diverse clinical applications, including the treatment of mild, moderate, and severe acne as well as the systemic management of acute promyelocytic leukemia. As a vitamin A derivative in the retinoid class, tretinoin functions by modulating epithelial cell differentiation, reducing comedone formation, and promoting turnover of skin cells. This activity outlines the indications, actions, and contraindications of tretinoin, emphasizing its role in the management of acne vulgaris and acute promyelocytic leukemia. It highlights key factors, including the mechanism of action, adverse event profile, and off-label uses, such as the treatment of pre-malignant and malignant skin conditions, psoriasis, and other common dermatologic disorders. Additionally, the course reviews dosing strategies for both oral and topical formulations, as well as monitoring requirements, including the importance of reliable contraception during systemic therapy, to ensure the safe and effective use of these medications.","call-number":"NBK557478","container-title":"StatPearls","language":"eng","license":"Copyright © 2026, StatPearls Publishing LLC.","note":"PMID: 32491410","publisher":"StatPearls Publishing","publisher-place":"Treasure Island (FL)","source":"PubMed","title":"Tretinoin","URL":"http://www.ncbi.nlm.nih.gov/books/NBK557478/","author":[{"family":"Yoham","given":"Athina L."},{"family":"Casadesus","given":"Damian"}],"accessed":{"date-parts":[["2026",6,1]]},"issued":{"date-parts":[["2026"]]}}}],"schema":"https://github.com/citation-style-language/schema/raw/master/csl-citation.json"} </w:instrText>
      </w:r>
      <w:r w:rsidR="004930EF">
        <w:fldChar w:fldCharType="separate"/>
      </w:r>
      <w:r w:rsidR="00CD25CA" w:rsidRPr="00CD25CA">
        <w:t>[9]</w:t>
      </w:r>
      <w:r w:rsidR="004930EF">
        <w:fldChar w:fldCharType="end"/>
      </w:r>
      <w:r w:rsidRPr="00DE4AE8">
        <w:t>. This disruption impairs DNA replication, resulting in the premature peripheral release of immature NRBCs.</w:t>
      </w:r>
      <w:r w:rsidR="00FD007B">
        <w:t xml:space="preserve"> </w:t>
      </w:r>
      <w:r w:rsidRPr="00DE4AE8">
        <w:t xml:space="preserve">The computational selection of Tretinoin suggests these arrested NRBCs share targetable vulnerabilities with stalled promyelocytes. By utilizing Tretinoin's established capacity to drive cellular differentiation, this agent provides a rational intervention to bypass the HFRS-induced metabolic blockade. Forcing the enucleation and terminal maturation of these stalled NRBCs would restore erythrocyte homeostasis, alleviating the profound clinical anemia and systemic hypoxic stress that exacerbates acute kidney injury. </w:t>
      </w:r>
    </w:p>
    <w:p w14:paraId="47961B44" w14:textId="77777777" w:rsidR="004930EF" w:rsidRDefault="004930EF" w:rsidP="004930EF">
      <w:pPr>
        <w:spacing w:line="360" w:lineRule="auto"/>
        <w:jc w:val="both"/>
      </w:pPr>
    </w:p>
    <w:p w14:paraId="316E3138" w14:textId="77777777" w:rsidR="00CD5EBB" w:rsidRDefault="00CD5EBB" w:rsidP="004930EF">
      <w:pPr>
        <w:spacing w:line="360" w:lineRule="auto"/>
        <w:jc w:val="both"/>
      </w:pPr>
    </w:p>
    <w:p w14:paraId="48E2AEB8" w14:textId="77777777" w:rsidR="00CD5EBB" w:rsidRPr="004930EF" w:rsidRDefault="00CD5EBB" w:rsidP="004930EF">
      <w:pPr>
        <w:spacing w:line="360" w:lineRule="auto"/>
        <w:jc w:val="both"/>
      </w:pPr>
    </w:p>
    <w:p w14:paraId="1C8C47A1" w14:textId="7B66A679" w:rsidR="00EF7AE2" w:rsidRDefault="00000000" w:rsidP="004930EF">
      <w:pPr>
        <w:pStyle w:val="Heading2"/>
        <w:rPr>
          <w:b/>
          <w:bCs/>
          <w:color w:val="auto"/>
          <w:sz w:val="24"/>
          <w:szCs w:val="24"/>
        </w:rPr>
      </w:pPr>
      <w:r w:rsidRPr="004930EF">
        <w:rPr>
          <w:b/>
          <w:bCs/>
          <w:color w:val="auto"/>
          <w:sz w:val="24"/>
          <w:szCs w:val="24"/>
        </w:rPr>
        <w:lastRenderedPageBreak/>
        <w:t>V.  CONCLUSION</w:t>
      </w:r>
    </w:p>
    <w:p w14:paraId="71FC8B59" w14:textId="77777777" w:rsidR="004930EF" w:rsidRPr="004930EF" w:rsidRDefault="004930EF" w:rsidP="004930EF"/>
    <w:p w14:paraId="110BC9A5" w14:textId="424285EF" w:rsidR="00FD007B" w:rsidRDefault="00FF17F0" w:rsidP="00FD007B">
      <w:pPr>
        <w:spacing w:after="160" w:line="360" w:lineRule="auto"/>
        <w:ind w:firstLine="720"/>
        <w:jc w:val="both"/>
      </w:pPr>
      <w:r w:rsidRPr="00FF17F0">
        <w:t>The primary objective of this study was to identify therapeutic candidates capable of reversing the complex transcriptomic alterations induced by Hantaan virus infection. By utilizing a multi-cluster scoring approach on high-resolution scRNA-seq data, our findings successfully justified this objective by identifying 13 statistically significant FDA-approved compounds. We conclude that Vorinostat and Tretinoin are the most rationally targeted candidates for HFRS, as their mechanisms directly counteract the core findings of our transcriptomic analysis: global immune hyper-activation and lineage-specific erythroid maturation defects. Immediate in vitro validation using PBMC and erythroid infection models is recommended to confirm the capacity of these compounds to reverse HFRS pathology.</w:t>
      </w:r>
    </w:p>
    <w:p w14:paraId="33587D61" w14:textId="77777777" w:rsidR="00FD007B" w:rsidRDefault="00FD007B" w:rsidP="00EB584A">
      <w:pPr>
        <w:spacing w:after="160" w:line="360" w:lineRule="auto"/>
        <w:jc w:val="both"/>
      </w:pPr>
    </w:p>
    <w:p w14:paraId="5AC958B7" w14:textId="77777777" w:rsidR="004930EF" w:rsidRPr="004930EF" w:rsidRDefault="004930EF" w:rsidP="004930EF">
      <w:pPr>
        <w:pStyle w:val="Heading2"/>
        <w:rPr>
          <w:b/>
          <w:bCs/>
          <w:color w:val="auto"/>
          <w:sz w:val="24"/>
          <w:szCs w:val="24"/>
        </w:rPr>
      </w:pPr>
      <w:r w:rsidRPr="004930EF">
        <w:rPr>
          <w:b/>
          <w:bCs/>
          <w:color w:val="auto"/>
          <w:sz w:val="24"/>
          <w:szCs w:val="24"/>
        </w:rPr>
        <w:t>DATA AND CODE AVAILABILITY</w:t>
      </w:r>
    </w:p>
    <w:p w14:paraId="0D1B157B" w14:textId="2B5742CA" w:rsidR="008A1370" w:rsidRPr="00487ED3" w:rsidRDefault="004930EF" w:rsidP="00487ED3">
      <w:pPr>
        <w:spacing w:before="160" w:after="80" w:line="360" w:lineRule="auto"/>
        <w:ind w:firstLine="720"/>
        <w:jc w:val="both"/>
      </w:pPr>
      <w:r w:rsidRPr="004930EF">
        <w:t>To ensure total reproducibility, the R scripts</w:t>
      </w:r>
      <w:r w:rsidR="00591236">
        <w:t xml:space="preserve"> </w:t>
      </w:r>
      <w:r w:rsidRPr="004930EF">
        <w:t>(including quality control configurations, canonical correlation analysis, differential expression profiling, and the ASGARD pipeline implementation) alongside</w:t>
      </w:r>
      <w:r w:rsidR="00591236">
        <w:t xml:space="preserve"> </w:t>
      </w:r>
      <w:r w:rsidRPr="004930EF">
        <w:t>CSV results, are deposited in the author's GitHub repository (</w:t>
      </w:r>
      <w:hyperlink r:id="rId15" w:history="1">
        <w:r w:rsidR="0022103B" w:rsidRPr="00CF3008">
          <w:rPr>
            <w:rStyle w:val="Hyperlink"/>
          </w:rPr>
          <w:t>https://github.com/Soash/hfrs-scrna-drug-repurposing</w:t>
        </w:r>
      </w:hyperlink>
      <w:r w:rsidRPr="004930EF">
        <w:t>).</w:t>
      </w:r>
      <w:r w:rsidR="0022103B">
        <w:t xml:space="preserve"> </w:t>
      </w:r>
      <w:r w:rsidRPr="004930EF">
        <w:t>The raw single-cell RNA sequencing data are publicly available in the NCBI Gene Expression Omnibus (GEO) database under the accession number GSE161354.</w:t>
      </w:r>
    </w:p>
    <w:p w14:paraId="7ED3D276" w14:textId="06878FBE" w:rsidR="00EF7AE2" w:rsidRDefault="00000000" w:rsidP="0022103B">
      <w:pPr>
        <w:pStyle w:val="Heading2"/>
        <w:rPr>
          <w:b/>
          <w:bCs/>
          <w:color w:val="auto"/>
          <w:sz w:val="24"/>
          <w:szCs w:val="24"/>
        </w:rPr>
      </w:pPr>
      <w:r w:rsidRPr="0022103B">
        <w:rPr>
          <w:b/>
          <w:bCs/>
          <w:color w:val="auto"/>
          <w:sz w:val="24"/>
          <w:szCs w:val="24"/>
        </w:rPr>
        <w:t>ACKNOWLEDGMENT</w:t>
      </w:r>
    </w:p>
    <w:p w14:paraId="64A929F1" w14:textId="77777777" w:rsidR="0022103B" w:rsidRPr="0022103B" w:rsidRDefault="0022103B" w:rsidP="0022103B"/>
    <w:p w14:paraId="271BBE34" w14:textId="2D817E43" w:rsidR="00EF7AE2" w:rsidRDefault="00901B3F" w:rsidP="00F82C9A">
      <w:pPr>
        <w:spacing w:after="80" w:line="360" w:lineRule="auto"/>
        <w:ind w:firstLine="720"/>
        <w:jc w:val="both"/>
      </w:pPr>
      <w:r w:rsidRPr="00901B3F">
        <w:t>The author declares that no external funding was received for this study. During the preparation of this work, the author utilized Google Gemini</w:t>
      </w:r>
      <w:r>
        <w:t xml:space="preserve"> </w:t>
      </w:r>
      <w:r w:rsidRPr="00901B3F">
        <w:t>to assist with code debugging and to refine the language and readability of the manuscript. After using this tool, the author reviewed and edited the content as needed and takes full responsibility for the final publication.</w:t>
      </w:r>
    </w:p>
    <w:p w14:paraId="48AAA031" w14:textId="77777777" w:rsidR="0022103B" w:rsidRDefault="0022103B" w:rsidP="004930EF">
      <w:pPr>
        <w:spacing w:before="160" w:after="80" w:line="360" w:lineRule="auto"/>
      </w:pPr>
    </w:p>
    <w:p w14:paraId="70568B89" w14:textId="48BAFDE2" w:rsidR="00EF7AE2" w:rsidRDefault="00000000" w:rsidP="0022103B">
      <w:pPr>
        <w:pStyle w:val="Heading2"/>
        <w:rPr>
          <w:b/>
          <w:bCs/>
          <w:color w:val="auto"/>
          <w:sz w:val="24"/>
          <w:szCs w:val="24"/>
        </w:rPr>
      </w:pPr>
      <w:r w:rsidRPr="0022103B">
        <w:rPr>
          <w:b/>
          <w:bCs/>
          <w:color w:val="auto"/>
          <w:sz w:val="24"/>
          <w:szCs w:val="24"/>
        </w:rPr>
        <w:t>REFERENCES</w:t>
      </w:r>
    </w:p>
    <w:p w14:paraId="2A944B92" w14:textId="77777777" w:rsidR="0022103B" w:rsidRDefault="0022103B" w:rsidP="0022103B"/>
    <w:p w14:paraId="19DA7AAE" w14:textId="77777777" w:rsidR="00E87AF3" w:rsidRPr="00E87AF3" w:rsidRDefault="00E87AF3" w:rsidP="00E87AF3">
      <w:pPr>
        <w:pStyle w:val="Bibliography"/>
      </w:pPr>
      <w:r>
        <w:fldChar w:fldCharType="begin"/>
      </w:r>
      <w:r>
        <w:instrText xml:space="preserve"> ADDIN ZOTERO_BIBL {"uncited":[],"omitted":[],"custom":[]} CSL_BIBLIOGRAPHY </w:instrText>
      </w:r>
      <w:r>
        <w:fldChar w:fldCharType="separate"/>
      </w:r>
      <w:r w:rsidRPr="00E87AF3">
        <w:t>[1]</w:t>
      </w:r>
      <w:r w:rsidRPr="00E87AF3">
        <w:tab/>
        <w:t xml:space="preserve">T. Avšič-Županc, A. Saksida, and M. Korva, “Hantavirus infections,” </w:t>
      </w:r>
      <w:r w:rsidRPr="00E87AF3">
        <w:rPr>
          <w:i/>
          <w:iCs/>
        </w:rPr>
        <w:t>Clin. Microbiol. Infect.</w:t>
      </w:r>
      <w:r w:rsidRPr="00E87AF3">
        <w:t>, vol. 21, pp. e6–e16, Apr. 2019, doi: 10.1111/1469-0691.12291.</w:t>
      </w:r>
    </w:p>
    <w:p w14:paraId="6DA12DAA" w14:textId="77777777" w:rsidR="00E87AF3" w:rsidRPr="00E87AF3" w:rsidRDefault="00E87AF3" w:rsidP="00E87AF3">
      <w:pPr>
        <w:pStyle w:val="Bibliography"/>
      </w:pPr>
      <w:r w:rsidRPr="00E87AF3">
        <w:t>[2]</w:t>
      </w:r>
      <w:r w:rsidRPr="00E87AF3">
        <w:tab/>
        <w:t xml:space="preserve">A. Sehgal </w:t>
      </w:r>
      <w:r w:rsidRPr="00E87AF3">
        <w:rPr>
          <w:i/>
          <w:iCs/>
        </w:rPr>
        <w:t>et al.</w:t>
      </w:r>
      <w:r w:rsidRPr="00E87AF3">
        <w:t xml:space="preserve">, “Hemorrhagic Fever with Renal Syndrome in Asia: History, Pathogenesis, Diagnosis, Treatment, and Prevention,” </w:t>
      </w:r>
      <w:r w:rsidRPr="00E87AF3">
        <w:rPr>
          <w:i/>
          <w:iCs/>
        </w:rPr>
        <w:t>Viruses</w:t>
      </w:r>
      <w:r w:rsidRPr="00E87AF3">
        <w:t>, vol. 15, no. 2, p. 561, Feb. 2023, doi: 10.3390/v15020561.</w:t>
      </w:r>
    </w:p>
    <w:p w14:paraId="5B61C566" w14:textId="77777777" w:rsidR="00E87AF3" w:rsidRPr="00E87AF3" w:rsidRDefault="00E87AF3" w:rsidP="00E87AF3">
      <w:pPr>
        <w:pStyle w:val="Bibliography"/>
      </w:pPr>
      <w:r w:rsidRPr="00E87AF3">
        <w:t>[3]</w:t>
      </w:r>
      <w:r w:rsidRPr="00E87AF3">
        <w:tab/>
        <w:t xml:space="preserve">M. Tariq and D.-M. Kim, “Hemorrhagic Fever with Renal Syndrome: Literature Review, Epidemiology, Clinical Picture and Pathogenesis,” </w:t>
      </w:r>
      <w:r w:rsidRPr="00E87AF3">
        <w:rPr>
          <w:i/>
          <w:iCs/>
        </w:rPr>
        <w:t>Infect. Chemother.</w:t>
      </w:r>
      <w:r w:rsidRPr="00E87AF3">
        <w:t>, vol. 54, no. 1, p. 1, 2022, doi: 10.3947/ic.2021.0148.</w:t>
      </w:r>
    </w:p>
    <w:p w14:paraId="50DEB099" w14:textId="77777777" w:rsidR="00E87AF3" w:rsidRPr="00E87AF3" w:rsidRDefault="00E87AF3" w:rsidP="00E87AF3">
      <w:pPr>
        <w:pStyle w:val="Bibliography"/>
      </w:pPr>
      <w:r w:rsidRPr="00E87AF3">
        <w:t>[4]</w:t>
      </w:r>
      <w:r w:rsidRPr="00E87AF3">
        <w:tab/>
        <w:t xml:space="preserve">S. Afzal </w:t>
      </w:r>
      <w:r w:rsidRPr="00E87AF3">
        <w:rPr>
          <w:i/>
          <w:iCs/>
        </w:rPr>
        <w:t>et al.</w:t>
      </w:r>
      <w:r w:rsidRPr="00E87AF3">
        <w:t xml:space="preserve">, “Hantavirus: an overview and advancements in therapeutic approaches for infection,” </w:t>
      </w:r>
      <w:r w:rsidRPr="00E87AF3">
        <w:rPr>
          <w:i/>
          <w:iCs/>
        </w:rPr>
        <w:t>Front. Microbiol.</w:t>
      </w:r>
      <w:r w:rsidRPr="00E87AF3">
        <w:t>, vol. 14, p. 1233433, Oct. 2023, doi: 10.3389/fmicb.2023.1233433.</w:t>
      </w:r>
    </w:p>
    <w:p w14:paraId="0A29AF8F" w14:textId="77777777" w:rsidR="00E87AF3" w:rsidRPr="00E87AF3" w:rsidRDefault="00E87AF3" w:rsidP="00E87AF3">
      <w:pPr>
        <w:pStyle w:val="Bibliography"/>
      </w:pPr>
      <w:r w:rsidRPr="00E87AF3">
        <w:t>[5]</w:t>
      </w:r>
      <w:r w:rsidRPr="00E87AF3">
        <w:tab/>
        <w:t xml:space="preserve">J. Zhang </w:t>
      </w:r>
      <w:r w:rsidRPr="00E87AF3">
        <w:rPr>
          <w:i/>
          <w:iCs/>
        </w:rPr>
        <w:t>et al.</w:t>
      </w:r>
      <w:r w:rsidRPr="00E87AF3">
        <w:t xml:space="preserve">, “The Presence of Circulating Nucleated Red Blood Cells Is Associated With Disease Severity in Patients of Hemorrhagic Fever With Renal Syndrome,” </w:t>
      </w:r>
      <w:r w:rsidRPr="00E87AF3">
        <w:rPr>
          <w:i/>
          <w:iCs/>
        </w:rPr>
        <w:t>Front. Med.</w:t>
      </w:r>
      <w:r w:rsidRPr="00E87AF3">
        <w:t>, vol. 8, p. 665410, May 2021, doi: 10.3389/fmed.2021.665410.</w:t>
      </w:r>
    </w:p>
    <w:p w14:paraId="7C40A97B" w14:textId="77777777" w:rsidR="00E87AF3" w:rsidRPr="00E87AF3" w:rsidRDefault="00E87AF3" w:rsidP="00E87AF3">
      <w:pPr>
        <w:pStyle w:val="Bibliography"/>
      </w:pPr>
      <w:r w:rsidRPr="00E87AF3">
        <w:t>[6]</w:t>
      </w:r>
      <w:r w:rsidRPr="00E87AF3">
        <w:tab/>
        <w:t xml:space="preserve">Y. Hao </w:t>
      </w:r>
      <w:r w:rsidRPr="00E87AF3">
        <w:rPr>
          <w:i/>
          <w:iCs/>
        </w:rPr>
        <w:t>et al.</w:t>
      </w:r>
      <w:r w:rsidRPr="00E87AF3">
        <w:t xml:space="preserve">, “Dictionary learning for integrative, multimodal and scalable single-cell analysis,” </w:t>
      </w:r>
      <w:r w:rsidRPr="00E87AF3">
        <w:rPr>
          <w:i/>
          <w:iCs/>
        </w:rPr>
        <w:t>Nat. Biotechnol.</w:t>
      </w:r>
      <w:r w:rsidRPr="00E87AF3">
        <w:t>, vol. 42, no. 2, pp. 293–304, Feb. 2024, doi: 10.1038/s41587-023-01767-y.</w:t>
      </w:r>
    </w:p>
    <w:p w14:paraId="57B2DE26" w14:textId="77777777" w:rsidR="00E87AF3" w:rsidRPr="00E87AF3" w:rsidRDefault="00E87AF3" w:rsidP="00E87AF3">
      <w:pPr>
        <w:pStyle w:val="Bibliography"/>
      </w:pPr>
      <w:r w:rsidRPr="00E87AF3">
        <w:lastRenderedPageBreak/>
        <w:t>[7]</w:t>
      </w:r>
      <w:r w:rsidRPr="00E87AF3">
        <w:tab/>
        <w:t xml:space="preserve">B. He </w:t>
      </w:r>
      <w:r w:rsidRPr="00E87AF3">
        <w:rPr>
          <w:i/>
          <w:iCs/>
        </w:rPr>
        <w:t>et al.</w:t>
      </w:r>
      <w:r w:rsidRPr="00E87AF3">
        <w:t xml:space="preserve">, “ASGARD is A Single-cell Guided Pipeline to Aid Repurposing of Drugs,” </w:t>
      </w:r>
      <w:r w:rsidRPr="00E87AF3">
        <w:rPr>
          <w:i/>
          <w:iCs/>
        </w:rPr>
        <w:t>Nat. Commun.</w:t>
      </w:r>
      <w:r w:rsidRPr="00E87AF3">
        <w:t>, vol. 14, no. 1, p. 993, Feb. 2023, doi: 10.1038/s41467-023-36637-3.</w:t>
      </w:r>
    </w:p>
    <w:p w14:paraId="04014B6C" w14:textId="77777777" w:rsidR="00E87AF3" w:rsidRPr="00E87AF3" w:rsidRDefault="00E87AF3" w:rsidP="00E87AF3">
      <w:pPr>
        <w:pStyle w:val="Bibliography"/>
      </w:pPr>
      <w:r w:rsidRPr="00E87AF3">
        <w:t>[8]</w:t>
      </w:r>
      <w:r w:rsidRPr="00E87AF3">
        <w:tab/>
        <w:t xml:space="preserve">S. Grant, C. Easley, and P. Kirkpatrick, “Vorinostat,” </w:t>
      </w:r>
      <w:r w:rsidRPr="00E87AF3">
        <w:rPr>
          <w:i/>
          <w:iCs/>
        </w:rPr>
        <w:t>Nat. Rev. Drug Discov.</w:t>
      </w:r>
      <w:r w:rsidRPr="00E87AF3">
        <w:t>, vol. 6, no. 1, pp. 21–22, Jan. 2007, doi: 10.1038/nrd2227.</w:t>
      </w:r>
    </w:p>
    <w:p w14:paraId="40B72C20" w14:textId="77777777" w:rsidR="00E87AF3" w:rsidRPr="00E87AF3" w:rsidRDefault="00E87AF3" w:rsidP="00E87AF3">
      <w:pPr>
        <w:pStyle w:val="Bibliography"/>
      </w:pPr>
      <w:r w:rsidRPr="00E87AF3">
        <w:t>[9]</w:t>
      </w:r>
      <w:r w:rsidRPr="00E87AF3">
        <w:tab/>
        <w:t xml:space="preserve">A. L. Yoham and D. Casadesus, “Tretinoin,” in </w:t>
      </w:r>
      <w:r w:rsidRPr="00E87AF3">
        <w:rPr>
          <w:i/>
          <w:iCs/>
        </w:rPr>
        <w:t>StatPearls</w:t>
      </w:r>
      <w:r w:rsidRPr="00E87AF3">
        <w:t>, Treasure Island (FL): StatPearls Publishing, 2026. Accessed: Jun. 01, 2026. [Online]. Available: http://www.ncbi.nlm.nih.gov/books/NBK557478/</w:t>
      </w:r>
    </w:p>
    <w:p w14:paraId="2C754DC9" w14:textId="4788A057" w:rsidR="00E87AF3" w:rsidRDefault="00E87AF3" w:rsidP="0022103B">
      <w:r>
        <w:fldChar w:fldCharType="end"/>
      </w:r>
    </w:p>
    <w:p w14:paraId="3AAB78EE" w14:textId="77777777" w:rsidR="00487ED3" w:rsidRDefault="00487ED3" w:rsidP="0022103B"/>
    <w:p w14:paraId="5EF12E7F" w14:textId="77777777" w:rsidR="00487ED3" w:rsidRDefault="00487ED3" w:rsidP="0022103B"/>
    <w:p w14:paraId="216B565C" w14:textId="77777777" w:rsidR="00487ED3" w:rsidRDefault="00487ED3" w:rsidP="0022103B"/>
    <w:p w14:paraId="0AD7DA41" w14:textId="77777777" w:rsidR="00487ED3" w:rsidRDefault="00487ED3" w:rsidP="0022103B"/>
    <w:p w14:paraId="4A1675CC" w14:textId="77777777" w:rsidR="00487ED3" w:rsidRDefault="00487ED3" w:rsidP="0022103B"/>
    <w:p w14:paraId="78268913" w14:textId="77777777" w:rsidR="00487ED3" w:rsidRDefault="00487ED3" w:rsidP="0022103B"/>
    <w:p w14:paraId="4855BBAA" w14:textId="77777777" w:rsidR="00487ED3" w:rsidRDefault="00487ED3" w:rsidP="0022103B"/>
    <w:p w14:paraId="4433B415" w14:textId="77777777" w:rsidR="00487ED3" w:rsidRDefault="00487ED3" w:rsidP="0022103B"/>
    <w:p w14:paraId="527E98B3" w14:textId="77777777" w:rsidR="00487ED3" w:rsidRDefault="00487ED3" w:rsidP="0022103B"/>
    <w:p w14:paraId="7F836CE7" w14:textId="77777777" w:rsidR="00487ED3" w:rsidRDefault="00487ED3" w:rsidP="0022103B"/>
    <w:p w14:paraId="4686DFF5" w14:textId="77777777" w:rsidR="00487ED3" w:rsidRDefault="00487ED3" w:rsidP="0022103B"/>
    <w:p w14:paraId="2916EE2A" w14:textId="77777777" w:rsidR="00487ED3" w:rsidRDefault="00487ED3" w:rsidP="0022103B"/>
    <w:p w14:paraId="061B1ABB" w14:textId="77777777" w:rsidR="00487ED3" w:rsidRDefault="00487ED3" w:rsidP="0022103B"/>
    <w:p w14:paraId="37B4AE5E" w14:textId="77777777" w:rsidR="00487ED3" w:rsidRDefault="00487ED3" w:rsidP="0022103B"/>
    <w:p w14:paraId="68605A37" w14:textId="77777777" w:rsidR="00487ED3" w:rsidRDefault="00487ED3" w:rsidP="0022103B"/>
    <w:p w14:paraId="53911E55" w14:textId="77777777" w:rsidR="00487ED3" w:rsidRDefault="00487ED3" w:rsidP="0022103B"/>
    <w:p w14:paraId="653E08F1" w14:textId="77777777" w:rsidR="00487ED3" w:rsidRDefault="00487ED3" w:rsidP="0022103B"/>
    <w:p w14:paraId="02D854B5" w14:textId="77777777" w:rsidR="00487ED3" w:rsidRDefault="00487ED3" w:rsidP="0022103B"/>
    <w:p w14:paraId="01A8CDFF" w14:textId="77777777" w:rsidR="00487ED3" w:rsidRDefault="00487ED3" w:rsidP="0022103B"/>
    <w:p w14:paraId="6C7012B9" w14:textId="77777777" w:rsidR="00487ED3" w:rsidRDefault="00487ED3" w:rsidP="0022103B"/>
    <w:p w14:paraId="4F5EB63D" w14:textId="77777777" w:rsidR="00487ED3" w:rsidRDefault="00487ED3" w:rsidP="0022103B"/>
    <w:p w14:paraId="3F140B2E" w14:textId="77777777" w:rsidR="00487ED3" w:rsidRDefault="00487ED3" w:rsidP="0022103B"/>
    <w:p w14:paraId="653B7477" w14:textId="77777777" w:rsidR="00487ED3" w:rsidRDefault="00487ED3" w:rsidP="0022103B"/>
    <w:p w14:paraId="71CB90D3" w14:textId="77777777" w:rsidR="00487ED3" w:rsidRDefault="00487ED3" w:rsidP="0022103B"/>
    <w:p w14:paraId="2C685464" w14:textId="77777777" w:rsidR="00487ED3" w:rsidRDefault="00487ED3" w:rsidP="0022103B"/>
    <w:p w14:paraId="26634F7A" w14:textId="77777777" w:rsidR="00487ED3" w:rsidRDefault="00487ED3" w:rsidP="0022103B"/>
    <w:p w14:paraId="75DDAF90" w14:textId="77777777" w:rsidR="00487ED3" w:rsidRDefault="00487ED3" w:rsidP="0022103B"/>
    <w:p w14:paraId="5C0CC59A" w14:textId="77777777" w:rsidR="00487ED3" w:rsidRDefault="00487ED3" w:rsidP="0022103B"/>
    <w:p w14:paraId="7D0E3D78" w14:textId="77777777" w:rsidR="00487ED3" w:rsidRDefault="00487ED3" w:rsidP="0022103B"/>
    <w:p w14:paraId="4524B503" w14:textId="77777777" w:rsidR="00487ED3" w:rsidRDefault="00487ED3" w:rsidP="0022103B"/>
    <w:p w14:paraId="55A3A1EF" w14:textId="77777777" w:rsidR="00487ED3" w:rsidRDefault="00487ED3" w:rsidP="0022103B"/>
    <w:p w14:paraId="62FB6D2C" w14:textId="77777777" w:rsidR="00487ED3" w:rsidRDefault="00487ED3" w:rsidP="0022103B"/>
    <w:p w14:paraId="0208CE12" w14:textId="77777777" w:rsidR="00487ED3" w:rsidRDefault="00487ED3" w:rsidP="0022103B"/>
    <w:p w14:paraId="04982DD2" w14:textId="77777777" w:rsidR="00487ED3" w:rsidRDefault="00487ED3" w:rsidP="0022103B"/>
    <w:p w14:paraId="0F748E94" w14:textId="77777777" w:rsidR="00487ED3" w:rsidRDefault="00487ED3" w:rsidP="0022103B"/>
    <w:p w14:paraId="45C37439" w14:textId="77777777" w:rsidR="00487ED3" w:rsidRDefault="00487ED3" w:rsidP="0022103B"/>
    <w:p w14:paraId="3B13347A" w14:textId="77777777" w:rsidR="00487ED3" w:rsidRDefault="00487ED3" w:rsidP="0022103B"/>
    <w:p w14:paraId="6D28C41F" w14:textId="77777777" w:rsidR="00487ED3" w:rsidRDefault="00487ED3" w:rsidP="0022103B"/>
    <w:p w14:paraId="1426B0BF" w14:textId="77777777" w:rsidR="00487ED3" w:rsidRPr="0022103B" w:rsidRDefault="00487ED3" w:rsidP="0022103B"/>
    <w:p w14:paraId="5A4F3C11" w14:textId="2E43AB9B" w:rsidR="006F1D9B" w:rsidRPr="006F1D9B" w:rsidRDefault="006F1D9B" w:rsidP="00C83269">
      <w:pPr>
        <w:pStyle w:val="Bibliography"/>
      </w:pPr>
    </w:p>
    <w:p w14:paraId="4882B525" w14:textId="18F29B7C" w:rsidR="00F82C9A" w:rsidRDefault="00F82C9A" w:rsidP="004930EF">
      <w:pPr>
        <w:spacing w:before="160" w:after="80" w:line="360" w:lineRule="auto"/>
        <w:ind w:firstLine="720"/>
        <w:sectPr w:rsidR="00F82C9A" w:rsidSect="00F82C9A">
          <w:type w:val="continuous"/>
          <w:pgSz w:w="12240" w:h="15840"/>
          <w:pgMar w:top="900" w:right="1080" w:bottom="1080" w:left="1080" w:header="708" w:footer="708" w:gutter="0"/>
          <w:cols w:num="2" w:space="480"/>
          <w:docGrid w:linePitch="360"/>
        </w:sectPr>
      </w:pPr>
    </w:p>
    <w:p w14:paraId="1064D67C" w14:textId="77777777" w:rsidR="009222B6" w:rsidRDefault="009222B6" w:rsidP="004930EF">
      <w:pPr>
        <w:spacing w:before="160" w:after="80" w:line="360" w:lineRule="auto"/>
      </w:pPr>
    </w:p>
    <w:sectPr w:rsidR="009222B6" w:rsidSect="00005165">
      <w:type w:val="continuous"/>
      <w:pgSz w:w="12240" w:h="15840"/>
      <w:pgMar w:top="900" w:right="1080" w:bottom="1080" w:left="1080" w:header="708" w:footer="708" w:gutter="0"/>
      <w:cols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830C" w14:textId="77777777" w:rsidR="009F09AB" w:rsidRDefault="009F09AB">
      <w:r>
        <w:separator/>
      </w:r>
    </w:p>
  </w:endnote>
  <w:endnote w:type="continuationSeparator" w:id="0">
    <w:p w14:paraId="61071C8E" w14:textId="77777777" w:rsidR="009F09AB" w:rsidRDefault="009F0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532036297"/>
      <w:docPartObj>
        <w:docPartGallery w:val="AutoText"/>
      </w:docPartObj>
    </w:sdtPr>
    <w:sdtContent>
      <w:sdt>
        <w:sdtPr>
          <w:rPr>
            <w:sz w:val="22"/>
            <w:szCs w:val="22"/>
          </w:rPr>
          <w:id w:val="999158639"/>
          <w:docPartObj>
            <w:docPartGallery w:val="AutoText"/>
          </w:docPartObj>
        </w:sdtPr>
        <w:sdtContent>
          <w:p w14:paraId="5E8CA52C" w14:textId="6C7B3059" w:rsidR="00EF7AE2" w:rsidRDefault="00000000">
            <w:pPr>
              <w:pStyle w:val="Heading4"/>
              <w:rPr>
                <w:sz w:val="22"/>
                <w:szCs w:val="22"/>
              </w:rPr>
            </w:pPr>
            <w:r>
              <w:rPr>
                <w:sz w:val="22"/>
                <w:szCs w:val="22"/>
              </w:rPr>
              <w:t xml:space="preserve">© LURS                                                                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sidR="004674EB">
              <w:rPr>
                <w:b/>
                <w:bCs/>
                <w:sz w:val="22"/>
                <w:szCs w:val="22"/>
              </w:rPr>
              <w:t>10</w:t>
            </w:r>
            <w:r>
              <w:rPr>
                <w:b/>
                <w:bCs/>
                <w:sz w:val="22"/>
                <w:szCs w:val="22"/>
              </w:rPr>
              <w:t xml:space="preserve">                                                          </w:t>
            </w:r>
            <w:r w:rsidR="004674EB">
              <w:rPr>
                <w:sz w:val="22"/>
                <w:szCs w:val="22"/>
              </w:rPr>
              <w:t>lurs@lus.ac.bd</w:t>
            </w:r>
          </w:p>
        </w:sdtContent>
      </w:sdt>
    </w:sdtContent>
  </w:sdt>
  <w:p w14:paraId="54A96F30" w14:textId="77777777" w:rsidR="00EF7AE2" w:rsidRDefault="00EF7AE2">
    <w:pPr>
      <w:pStyle w:val="Heading4"/>
      <w:rPr>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3A08" w14:textId="77777777" w:rsidR="009F09AB" w:rsidRDefault="009F09AB">
      <w:r>
        <w:separator/>
      </w:r>
    </w:p>
  </w:footnote>
  <w:footnote w:type="continuationSeparator" w:id="0">
    <w:p w14:paraId="7381309B" w14:textId="77777777" w:rsidR="009F09AB" w:rsidRDefault="009F0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5FB7" w14:textId="77777777" w:rsidR="00EF7AE2" w:rsidRDefault="00000000">
    <w:pPr>
      <w:pStyle w:val="Heading4"/>
      <w:jc w:val="right"/>
    </w:pPr>
    <w:r>
      <w:rPr>
        <w:color w:val="1A3A6B"/>
        <w:sz w:val="18"/>
        <w:szCs w:val="18"/>
      </w:rPr>
      <w:t xml:space="preserve">   LURS 3rd Student Research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0405"/>
    <w:multiLevelType w:val="multilevel"/>
    <w:tmpl w:val="EC18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A0D41"/>
    <w:multiLevelType w:val="multilevel"/>
    <w:tmpl w:val="67D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666538">
    <w:abstractNumId w:val="0"/>
  </w:num>
  <w:num w:numId="2" w16cid:durableId="743113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7C"/>
    <w:rsid w:val="0000268B"/>
    <w:rsid w:val="00005165"/>
    <w:rsid w:val="00033007"/>
    <w:rsid w:val="000336B9"/>
    <w:rsid w:val="000415D7"/>
    <w:rsid w:val="00061E07"/>
    <w:rsid w:val="00086502"/>
    <w:rsid w:val="000C1879"/>
    <w:rsid w:val="000C1E7C"/>
    <w:rsid w:val="000D258B"/>
    <w:rsid w:val="000F40B5"/>
    <w:rsid w:val="00126783"/>
    <w:rsid w:val="001A49D9"/>
    <w:rsid w:val="001B6618"/>
    <w:rsid w:val="001E5788"/>
    <w:rsid w:val="001E6304"/>
    <w:rsid w:val="001F0602"/>
    <w:rsid w:val="00206ECD"/>
    <w:rsid w:val="00213E67"/>
    <w:rsid w:val="0022103B"/>
    <w:rsid w:val="00227591"/>
    <w:rsid w:val="00262234"/>
    <w:rsid w:val="00296717"/>
    <w:rsid w:val="002A7889"/>
    <w:rsid w:val="002A7C4B"/>
    <w:rsid w:val="002B0EB8"/>
    <w:rsid w:val="002C0F66"/>
    <w:rsid w:val="002D0ADB"/>
    <w:rsid w:val="002D67A5"/>
    <w:rsid w:val="002D68D5"/>
    <w:rsid w:val="002F4F15"/>
    <w:rsid w:val="00313B5C"/>
    <w:rsid w:val="0033312D"/>
    <w:rsid w:val="003363F1"/>
    <w:rsid w:val="00350214"/>
    <w:rsid w:val="00356E9F"/>
    <w:rsid w:val="003C2FE2"/>
    <w:rsid w:val="004024C3"/>
    <w:rsid w:val="004071EB"/>
    <w:rsid w:val="00407224"/>
    <w:rsid w:val="00455D51"/>
    <w:rsid w:val="004674EB"/>
    <w:rsid w:val="004777C0"/>
    <w:rsid w:val="00487477"/>
    <w:rsid w:val="00487ED3"/>
    <w:rsid w:val="004930EF"/>
    <w:rsid w:val="004D43AF"/>
    <w:rsid w:val="004D730D"/>
    <w:rsid w:val="00503D74"/>
    <w:rsid w:val="00505E5D"/>
    <w:rsid w:val="005301A4"/>
    <w:rsid w:val="00534A5A"/>
    <w:rsid w:val="005430C7"/>
    <w:rsid w:val="00581E50"/>
    <w:rsid w:val="00591236"/>
    <w:rsid w:val="005A0058"/>
    <w:rsid w:val="005D0D81"/>
    <w:rsid w:val="005E5E89"/>
    <w:rsid w:val="005F0321"/>
    <w:rsid w:val="00600501"/>
    <w:rsid w:val="00605086"/>
    <w:rsid w:val="0062255A"/>
    <w:rsid w:val="00624F69"/>
    <w:rsid w:val="006264B0"/>
    <w:rsid w:val="006333B0"/>
    <w:rsid w:val="006358BE"/>
    <w:rsid w:val="006475DD"/>
    <w:rsid w:val="006B52A9"/>
    <w:rsid w:val="006C0460"/>
    <w:rsid w:val="006F1D9B"/>
    <w:rsid w:val="006F39BD"/>
    <w:rsid w:val="00702F9F"/>
    <w:rsid w:val="00717E4B"/>
    <w:rsid w:val="007353D4"/>
    <w:rsid w:val="0074017E"/>
    <w:rsid w:val="00797F5E"/>
    <w:rsid w:val="007A6C95"/>
    <w:rsid w:val="007A76A2"/>
    <w:rsid w:val="007E1C4D"/>
    <w:rsid w:val="007E4110"/>
    <w:rsid w:val="007F5969"/>
    <w:rsid w:val="00844D82"/>
    <w:rsid w:val="00850EED"/>
    <w:rsid w:val="00853F26"/>
    <w:rsid w:val="008652FC"/>
    <w:rsid w:val="00896936"/>
    <w:rsid w:val="008A1370"/>
    <w:rsid w:val="008D3CC3"/>
    <w:rsid w:val="008D7A48"/>
    <w:rsid w:val="00901B3F"/>
    <w:rsid w:val="009120B7"/>
    <w:rsid w:val="00916D31"/>
    <w:rsid w:val="00921DC4"/>
    <w:rsid w:val="009222B6"/>
    <w:rsid w:val="009255E2"/>
    <w:rsid w:val="009505F6"/>
    <w:rsid w:val="00952C4E"/>
    <w:rsid w:val="00976610"/>
    <w:rsid w:val="009A3D8D"/>
    <w:rsid w:val="009B62A2"/>
    <w:rsid w:val="009C152A"/>
    <w:rsid w:val="009C2249"/>
    <w:rsid w:val="009E0FB9"/>
    <w:rsid w:val="009E3ACE"/>
    <w:rsid w:val="009E654A"/>
    <w:rsid w:val="009F09AB"/>
    <w:rsid w:val="009F2B66"/>
    <w:rsid w:val="00A02BF7"/>
    <w:rsid w:val="00A131FB"/>
    <w:rsid w:val="00A16BB5"/>
    <w:rsid w:val="00A60C35"/>
    <w:rsid w:val="00A7063B"/>
    <w:rsid w:val="00A849B3"/>
    <w:rsid w:val="00A84FC8"/>
    <w:rsid w:val="00AB7476"/>
    <w:rsid w:val="00B03606"/>
    <w:rsid w:val="00B04716"/>
    <w:rsid w:val="00B311DF"/>
    <w:rsid w:val="00B3214B"/>
    <w:rsid w:val="00B90353"/>
    <w:rsid w:val="00B907B8"/>
    <w:rsid w:val="00B94575"/>
    <w:rsid w:val="00B97AC6"/>
    <w:rsid w:val="00B97AED"/>
    <w:rsid w:val="00BE5406"/>
    <w:rsid w:val="00BF5BA4"/>
    <w:rsid w:val="00BF74A3"/>
    <w:rsid w:val="00C42098"/>
    <w:rsid w:val="00C42C55"/>
    <w:rsid w:val="00C50A45"/>
    <w:rsid w:val="00C72DE9"/>
    <w:rsid w:val="00C72E1A"/>
    <w:rsid w:val="00C73316"/>
    <w:rsid w:val="00C83269"/>
    <w:rsid w:val="00C85C9C"/>
    <w:rsid w:val="00C960FD"/>
    <w:rsid w:val="00CD25CA"/>
    <w:rsid w:val="00CD5EBB"/>
    <w:rsid w:val="00CD6FE7"/>
    <w:rsid w:val="00CE0A42"/>
    <w:rsid w:val="00D151CF"/>
    <w:rsid w:val="00D17B72"/>
    <w:rsid w:val="00D263FD"/>
    <w:rsid w:val="00D339BA"/>
    <w:rsid w:val="00D36589"/>
    <w:rsid w:val="00D55A12"/>
    <w:rsid w:val="00D6599D"/>
    <w:rsid w:val="00DA1CE0"/>
    <w:rsid w:val="00DC2D2F"/>
    <w:rsid w:val="00DE4AE8"/>
    <w:rsid w:val="00E02DF0"/>
    <w:rsid w:val="00E20CEC"/>
    <w:rsid w:val="00E25DDE"/>
    <w:rsid w:val="00E301EC"/>
    <w:rsid w:val="00E314D0"/>
    <w:rsid w:val="00E331BB"/>
    <w:rsid w:val="00E56DA9"/>
    <w:rsid w:val="00E87AF3"/>
    <w:rsid w:val="00EB584A"/>
    <w:rsid w:val="00EF35EC"/>
    <w:rsid w:val="00EF7AE2"/>
    <w:rsid w:val="00F04781"/>
    <w:rsid w:val="00F063EF"/>
    <w:rsid w:val="00F06753"/>
    <w:rsid w:val="00F20B67"/>
    <w:rsid w:val="00F6365D"/>
    <w:rsid w:val="00F72534"/>
    <w:rsid w:val="00F82C9A"/>
    <w:rsid w:val="00F82E75"/>
    <w:rsid w:val="00FA1FE6"/>
    <w:rsid w:val="00FB535A"/>
    <w:rsid w:val="00FC04D7"/>
    <w:rsid w:val="00FC28B6"/>
    <w:rsid w:val="00FC4422"/>
    <w:rsid w:val="00FD007B"/>
    <w:rsid w:val="00FF17F0"/>
    <w:rsid w:val="3C2E25AE"/>
    <w:rsid w:val="446D0064"/>
    <w:rsid w:val="49296771"/>
    <w:rsid w:val="4B8F2BD4"/>
    <w:rsid w:val="71255175"/>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1EE46C"/>
  <w15:docId w15:val="{C92DA094-ABEB-4CA0-A602-172B5431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uiPriority="99"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bn-BD"/>
    </w:rPr>
  </w:style>
  <w:style w:type="paragraph" w:styleId="Heading1">
    <w:name w:val="heading 1"/>
    <w:next w:val="Normal"/>
    <w:qFormat/>
    <w:pPr>
      <w:outlineLvl w:val="0"/>
    </w:pPr>
    <w:rPr>
      <w:color w:val="2E74B5"/>
      <w:sz w:val="32"/>
      <w:szCs w:val="32"/>
      <w:lang w:bidi="bn-BD"/>
    </w:rPr>
  </w:style>
  <w:style w:type="paragraph" w:styleId="Heading2">
    <w:name w:val="heading 2"/>
    <w:next w:val="Normal"/>
    <w:link w:val="Heading2Char"/>
    <w:qFormat/>
    <w:pPr>
      <w:outlineLvl w:val="1"/>
    </w:pPr>
    <w:rPr>
      <w:color w:val="2E74B5"/>
      <w:sz w:val="26"/>
      <w:szCs w:val="26"/>
      <w:lang w:bidi="bn-BD"/>
    </w:rPr>
  </w:style>
  <w:style w:type="paragraph" w:styleId="Heading3">
    <w:name w:val="heading 3"/>
    <w:next w:val="Normal"/>
    <w:qFormat/>
    <w:pPr>
      <w:outlineLvl w:val="2"/>
    </w:pPr>
    <w:rPr>
      <w:color w:val="1F4D78"/>
      <w:sz w:val="24"/>
      <w:szCs w:val="24"/>
      <w:lang w:bidi="bn-BD"/>
    </w:rPr>
  </w:style>
  <w:style w:type="paragraph" w:styleId="Heading4">
    <w:name w:val="heading 4"/>
    <w:next w:val="Normal"/>
    <w:qFormat/>
    <w:pPr>
      <w:outlineLvl w:val="3"/>
    </w:pPr>
    <w:rPr>
      <w:i/>
      <w:iCs/>
      <w:color w:val="2E74B5"/>
      <w:sz w:val="24"/>
      <w:szCs w:val="24"/>
      <w:lang w:bidi="bn-BD"/>
    </w:rPr>
  </w:style>
  <w:style w:type="paragraph" w:styleId="Heading5">
    <w:name w:val="heading 5"/>
    <w:next w:val="Normal"/>
    <w:qFormat/>
    <w:pPr>
      <w:outlineLvl w:val="4"/>
    </w:pPr>
    <w:rPr>
      <w:color w:val="2E74B5"/>
      <w:sz w:val="24"/>
      <w:szCs w:val="24"/>
      <w:lang w:bidi="bn-BD"/>
    </w:rPr>
  </w:style>
  <w:style w:type="paragraph" w:styleId="Heading6">
    <w:name w:val="heading 6"/>
    <w:next w:val="Normal"/>
    <w:qFormat/>
    <w:pPr>
      <w:outlineLvl w:val="5"/>
    </w:pPr>
    <w:rPr>
      <w:color w:val="1F4D78"/>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bidi="bn-BD"/>
    </w:rPr>
  </w:style>
  <w:style w:type="paragraph" w:styleId="Footer">
    <w:name w:val="footer"/>
    <w:basedOn w:val="Normal"/>
    <w:link w:val="FooterChar"/>
    <w:uiPriority w:val="99"/>
    <w:qFormat/>
    <w:pPr>
      <w:tabs>
        <w:tab w:val="center" w:pos="4680"/>
        <w:tab w:val="right" w:pos="9360"/>
      </w:tabs>
    </w:pPr>
    <w:rPr>
      <w:szCs w:val="30"/>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bidi="bn-BD"/>
    </w:rPr>
  </w:style>
  <w:style w:type="paragraph" w:styleId="Header">
    <w:name w:val="header"/>
    <w:basedOn w:val="Normal"/>
    <w:link w:val="HeaderChar"/>
    <w:pPr>
      <w:tabs>
        <w:tab w:val="center" w:pos="4680"/>
        <w:tab w:val="right" w:pos="9360"/>
      </w:tabs>
    </w:pPr>
    <w:rPr>
      <w:szCs w:val="30"/>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Title">
    <w:name w:val="Title"/>
    <w:qFormat/>
    <w:rPr>
      <w:sz w:val="56"/>
      <w:szCs w:val="56"/>
      <w:lang w:bidi="bn-BD"/>
    </w:rPr>
  </w:style>
  <w:style w:type="paragraph" w:styleId="ListParagraph">
    <w:name w:val="List Paragraph"/>
    <w:qFormat/>
    <w:rPr>
      <w:sz w:val="24"/>
      <w:szCs w:val="24"/>
      <w:lang w:bidi="bn-BD"/>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qFormat/>
    <w:rPr>
      <w:sz w:val="24"/>
      <w:szCs w:val="30"/>
    </w:rPr>
  </w:style>
  <w:style w:type="character" w:customStyle="1" w:styleId="FooterChar">
    <w:name w:val="Footer Char"/>
    <w:basedOn w:val="DefaultParagraphFont"/>
    <w:link w:val="Footer"/>
    <w:uiPriority w:val="99"/>
    <w:qFormat/>
    <w:rPr>
      <w:sz w:val="24"/>
      <w:szCs w:val="30"/>
    </w:rPr>
  </w:style>
  <w:style w:type="character" w:styleId="CommentReference">
    <w:name w:val="annotation reference"/>
    <w:basedOn w:val="DefaultParagraphFont"/>
    <w:rsid w:val="00D339BA"/>
    <w:rPr>
      <w:sz w:val="16"/>
      <w:szCs w:val="16"/>
    </w:rPr>
  </w:style>
  <w:style w:type="paragraph" w:styleId="CommentText">
    <w:name w:val="annotation text"/>
    <w:basedOn w:val="Normal"/>
    <w:link w:val="CommentTextChar"/>
    <w:rsid w:val="00D339BA"/>
    <w:rPr>
      <w:sz w:val="20"/>
      <w:szCs w:val="25"/>
    </w:rPr>
  </w:style>
  <w:style w:type="character" w:customStyle="1" w:styleId="CommentTextChar">
    <w:name w:val="Comment Text Char"/>
    <w:basedOn w:val="DefaultParagraphFont"/>
    <w:link w:val="CommentText"/>
    <w:rsid w:val="00D339BA"/>
    <w:rPr>
      <w:szCs w:val="25"/>
      <w:lang w:bidi="bn-BD"/>
    </w:rPr>
  </w:style>
  <w:style w:type="paragraph" w:styleId="CommentSubject">
    <w:name w:val="annotation subject"/>
    <w:basedOn w:val="CommentText"/>
    <w:next w:val="CommentText"/>
    <w:link w:val="CommentSubjectChar"/>
    <w:rsid w:val="00D339BA"/>
    <w:rPr>
      <w:b/>
      <w:bCs/>
    </w:rPr>
  </w:style>
  <w:style w:type="character" w:customStyle="1" w:styleId="CommentSubjectChar">
    <w:name w:val="Comment Subject Char"/>
    <w:basedOn w:val="CommentTextChar"/>
    <w:link w:val="CommentSubject"/>
    <w:rsid w:val="00D339BA"/>
    <w:rPr>
      <w:b/>
      <w:bCs/>
      <w:szCs w:val="25"/>
      <w:lang w:bidi="bn-BD"/>
    </w:rPr>
  </w:style>
  <w:style w:type="character" w:styleId="UnresolvedMention">
    <w:name w:val="Unresolved Mention"/>
    <w:basedOn w:val="DefaultParagraphFont"/>
    <w:uiPriority w:val="99"/>
    <w:semiHidden/>
    <w:unhideWhenUsed/>
    <w:rsid w:val="00D339BA"/>
    <w:rPr>
      <w:color w:val="605E5C"/>
      <w:shd w:val="clear" w:color="auto" w:fill="E1DFDD"/>
    </w:rPr>
  </w:style>
  <w:style w:type="paragraph" w:styleId="Revision">
    <w:name w:val="Revision"/>
    <w:hidden/>
    <w:uiPriority w:val="99"/>
    <w:unhideWhenUsed/>
    <w:rsid w:val="00D339BA"/>
    <w:rPr>
      <w:sz w:val="24"/>
      <w:szCs w:val="30"/>
      <w:lang w:bidi="bn-BD"/>
    </w:rPr>
  </w:style>
  <w:style w:type="table" w:styleId="TableGrid">
    <w:name w:val="Table Grid"/>
    <w:basedOn w:val="TableNormal"/>
    <w:rsid w:val="00DC2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0E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9B62A2"/>
    <w:pPr>
      <w:tabs>
        <w:tab w:val="left" w:pos="384"/>
      </w:tabs>
      <w:ind w:left="384" w:hanging="384"/>
    </w:pPr>
    <w:rPr>
      <w:szCs w:val="30"/>
    </w:rPr>
  </w:style>
  <w:style w:type="character" w:customStyle="1" w:styleId="Heading2Char">
    <w:name w:val="Heading 2 Char"/>
    <w:basedOn w:val="DefaultParagraphFont"/>
    <w:link w:val="Heading2"/>
    <w:rsid w:val="00F06753"/>
    <w:rPr>
      <w:color w:val="2E74B5"/>
      <w:sz w:val="26"/>
      <w:szCs w:val="26"/>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github.com/Soash/hfrs-scrna-drug-repurposing" TargetMode="External"/><Relationship Id="rId1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9B8A6-32FC-4F5B-BF19-232BAE0DE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10</Pages>
  <Words>8794</Words>
  <Characters>50129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Abu Sadat Soash</cp:lastModifiedBy>
  <cp:revision>258</cp:revision>
  <dcterms:created xsi:type="dcterms:W3CDTF">2026-04-30T19:59:00Z</dcterms:created>
  <dcterms:modified xsi:type="dcterms:W3CDTF">2026-07-31T10:49:00Z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8976851357CE4B6195D72C00D3F8583B_13</vt:lpwstr>
  </property>
  <property fmtid="{D5CDD505-2E9C-101B-9397-08002B2CF9AE}" pid="4" name="KSOTemplateDocerSaveRecord">
    <vt:lpwstr>eyJoZGlkIjoiNjQ5NDYxOTA1NTc2ZWYzZDZlYWJkMmQ3MTE1MTIwNTgiLCJ1c2VySWQiOiIzMTc4OTU4NDUzMDIxIn0=</vt:lpwstr>
  </property>
  <property fmtid="{D5CDD505-2E9C-101B-9397-08002B2CF9AE}" pid="5" name="ZOTERO_PREF_1">
    <vt:lpwstr>&lt;data data-version="3" zotero-version="9.0.6"&gt;&lt;session id="O0xmVaav"/&gt;&lt;style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