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97D"/>
          <w:sz w:val="32"/>
        </w:rPr>
        <w:t>Pilotergebnisse ila — Ausbaustufe 1</w:t>
      </w:r>
    </w:p>
    <w:p>
      <w:pPr>
        <w:spacing w:after="160"/>
      </w:pPr>
      <w:r>
        <w:rPr>
          <w:i/>
          <w:sz w:val="18"/>
        </w:rPr>
        <w:t>Zusammenfassung · Pilotlaufzeit: 01.02.–31.03.2026</w:t>
      </w:r>
    </w:p>
    <w:p>
      <w:pPr>
        <w:pStyle w:val="Heading2"/>
      </w:pPr>
      <w:r>
        <w:rPr>
          <w:color w:val="1F497D"/>
          <w:sz w:val="22"/>
        </w:rPr>
        <w:t>Datenbasis</w:t>
      </w:r>
    </w:p>
    <w:p>
      <w:pPr>
        <w:spacing w:after="80"/>
      </w:pPr>
      <w:r>
        <w:rPr>
          <w:sz w:val="20"/>
        </w:rPr>
        <w:t>133 Nutzer · 312 bearbeitete Schüler · 15.344 erfasste Datensätze</w:t>
        <w:br/>
        <w:t>Auswertungsquellen: Nutzerverhalten (anonymisiert) · In-App-Feedback · Abschlussumfrage (19 TN)</w:t>
      </w:r>
    </w:p>
    <w:p>
      <w:pPr>
        <w:pStyle w:val="Heading2"/>
      </w:pPr>
      <w:r>
        <w:rPr>
          <w:color w:val="1F497D"/>
          <w:sz w:val="22"/>
        </w:rPr>
        <w:t>Nutzungsverhalten</w:t>
      </w:r>
    </w:p>
    <w:p>
      <w:pPr>
        <w:pStyle w:val="ListBullet"/>
        <w:spacing w:after="40"/>
      </w:pPr>
      <w:r>
        <w:rPr>
          <w:sz w:val="20"/>
        </w:rPr>
        <w:t>335 Förderungen angelegt · 176 Förderpläne erstellt (65 % der Nutzer)</w:t>
      </w:r>
    </w:p>
    <w:p>
      <w:pPr>
        <w:pStyle w:val="ListBullet"/>
        <w:spacing w:after="40"/>
      </w:pPr>
      <w:r>
        <w:rPr>
          <w:sz w:val="20"/>
        </w:rPr>
        <w:t>82 % der Förderpläne entstehen direkt nach Anlage der Förderung — der Workflow funktioniert</w:t>
      </w:r>
    </w:p>
    <w:p>
      <w:pPr>
        <w:pStyle w:val="ListBullet"/>
        <w:spacing w:after="40"/>
      </w:pPr>
      <w:r>
        <w:rPr>
          <w:sz w:val="20"/>
        </w:rPr>
        <w:t>Häufigste Anlässe: Drohendes Leistungsversagen (48 %), Teilnahme an bes. Fördermaßnahme (41 %)</w:t>
      </w:r>
    </w:p>
    <w:p>
      <w:pPr>
        <w:pStyle w:val="ListBullet"/>
        <w:spacing w:after="40"/>
      </w:pPr>
      <w:r>
        <w:rPr>
          <w:sz w:val="20"/>
        </w:rPr>
        <w:t>Meistgenutzte Förderbereiche: Rechtschreiben (29 %), Kognition (26 %), Rechnen (21 %)</w:t>
      </w:r>
    </w:p>
    <w:p>
      <w:pPr>
        <w:pStyle w:val="ListBullet"/>
        <w:spacing w:after="40"/>
      </w:pPr>
      <w:r>
        <w:rPr>
          <w:sz w:val="20"/>
        </w:rPr>
        <w:t>Klasse 0 (Vorklasse): meistgenutzter Jahrgang (4.526 Einträge) — bei nur 17 Nutzern</w:t>
      </w:r>
    </w:p>
    <w:p>
      <w:pPr>
        <w:pStyle w:val="ListBullet"/>
        <w:spacing w:after="40"/>
      </w:pPr>
      <w:r>
        <w:rPr>
          <w:sz w:val="20"/>
        </w:rPr>
        <w:t>57 % der Nutzer waren nur einmal in der App · 57 % unter 10 Minuten Nutzungsdauer</w:t>
      </w:r>
    </w:p>
    <w:p>
      <w:pPr>
        <w:pStyle w:val="Heading2"/>
      </w:pPr>
      <w:r>
        <w:rPr>
          <w:color w:val="1F497D"/>
          <w:sz w:val="22"/>
        </w:rPr>
        <w:t>Feedback (In-App · Ø 2,7 von 5)</w:t>
      </w:r>
    </w:p>
    <w:p>
      <w:pPr>
        <w:spacing w:after="40"/>
      </w:pPr>
      <w:r>
        <w:rPr>
          <w:b/>
          <w:sz w:val="20"/>
        </w:rPr>
        <w:t>Top-3-Kritikpunkte aus 27 Freitexten:</w:t>
      </w:r>
    </w:p>
    <w:p>
      <w:pPr>
        <w:pStyle w:val="ListBullet"/>
        <w:spacing w:after="40"/>
      </w:pPr>
      <w:r>
        <w:rPr>
          <w:sz w:val="20"/>
        </w:rPr>
        <w:t>Unterstützer-Feld zu eingeschränkt — nur Vater/Mutter auswählbar; BFZ, Ergotherapie, Logopädie, andere Lehrkräfte fehlen (6 Nennungen)</w:t>
      </w:r>
    </w:p>
    <w:p>
      <w:pPr>
        <w:pStyle w:val="ListBullet"/>
        <w:spacing w:after="40"/>
      </w:pPr>
      <w:r>
        <w:rPr>
          <w:sz w:val="20"/>
        </w:rPr>
        <w:t>Maßnahmen unkonkret, lückenhaft, falsche Ebene — wirken wie Ziele statt Handlungsschritte; Vorklasse, Klasse 1, LRS, DaZ nicht abgedeckt (8 Nennungen)</w:t>
      </w:r>
    </w:p>
    <w:p>
      <w:pPr>
        <w:pStyle w:val="ListBullet"/>
        <w:spacing w:after="40"/>
      </w:pPr>
      <w:r>
        <w:rPr>
          <w:sz w:val="20"/>
        </w:rPr>
        <w:t>Fehlende Förderbereiche und Anlässe — Lernverhalten, Sozialverhalten, LRS, AD(H)S, Autismus nicht vorhanden (3 Nennungen)</w:t>
      </w:r>
    </w:p>
    <w:p>
      <w:pPr>
        <w:spacing w:after="80"/>
      </w:pPr>
      <w:r>
        <w:rPr>
          <w:i/>
          <w:sz w:val="18"/>
        </w:rPr>
        <w:t>Hinweis: 101 von 133 Nutzern haben kein Feedback abgegeben.</w:t>
      </w:r>
    </w:p>
    <w:p>
      <w:pPr>
        <w:pStyle w:val="Heading2"/>
      </w:pPr>
      <w:r>
        <w:rPr>
          <w:color w:val="1F497D"/>
          <w:sz w:val="22"/>
        </w:rPr>
        <w:t>Abschlussumfrage (19 Teilnehmende)</w:t>
      </w:r>
    </w:p>
    <w:p>
      <w:pPr>
        <w:pStyle w:val="ListBullet"/>
        <w:spacing w:after="40"/>
      </w:pPr>
      <w:r>
        <w:rPr>
          <w:sz w:val="20"/>
        </w:rPr>
        <w:t>Technik positiv bewertet · Fachlicher Nutzen gespalten</w:t>
      </w:r>
    </w:p>
    <w:p>
      <w:pPr>
        <w:pStyle w:val="ListBullet"/>
        <w:spacing w:after="40"/>
      </w:pPr>
      <w:r>
        <w:rPr>
          <w:sz w:val="20"/>
        </w:rPr>
        <w:t>Schulleitung bewertet durchgängig besser als Lehrkräfte (bei "Arbeit erleichtert": 3,60 vs. 2,62)</w:t>
      </w:r>
    </w:p>
    <w:p>
      <w:pPr>
        <w:pStyle w:val="ListBullet"/>
        <w:spacing w:after="40"/>
      </w:pPr>
      <w:r>
        <w:rPr>
          <w:sz w:val="20"/>
        </w:rPr>
        <w:t>Tiefstwert gesamt: Ø 2,15 — 8 von 13 Lehrkräften: Förderziele reichen nicht aus</w:t>
      </w:r>
    </w:p>
    <w:p>
      <w:pPr>
        <w:pStyle w:val="Heading2"/>
      </w:pPr>
      <w:r>
        <w:rPr>
          <w:color w:val="1F497D"/>
          <w:sz w:val="22"/>
        </w:rPr>
        <w:t>Fazit</w:t>
      </w:r>
    </w:p>
    <w:p>
      <w:pPr>
        <w:spacing w:after="80"/>
      </w:pPr>
      <w:r>
        <w:rPr>
          <w:sz w:val="20"/>
        </w:rPr>
        <w:t>ila trifft einen echten Bedarf — und die Schulen wollen tiefer gehen. Die Akzeptanz ist da, der Workflow funktioniert. Was fehlt: fachliche Tiefe bei Maßnahmen, Förderbereichen und Unterstützerfeld. Die eigenen Maßnahmen der Lehrkräfte (235 eindeutige Texte, 140 mehrfach verwendet) sind ein direkter Hinweis auf Kataloglücken — und eine fertige Vorlage für die Weiterentwicklung.</w:t>
      </w:r>
    </w:p>
    <w:p>
      <w:pPr>
        <w:pStyle w:val="Heading2"/>
      </w:pPr>
      <w:r>
        <w:rPr>
          <w:color w:val="1F497D"/>
          <w:sz w:val="22"/>
        </w:rPr>
        <w:t>Roadmap-Impulse</w:t>
      </w:r>
    </w:p>
    <w:p>
      <w:pPr>
        <w:pStyle w:val="ListBullet"/>
        <w:spacing w:after="40"/>
      </w:pPr>
      <w:r>
        <w:rPr>
          <w:sz w:val="20"/>
        </w:rPr>
        <w:t>Maßnahmenkatalog überarbeiten (Lücken aus Pilotdaten schließen)</w:t>
      </w:r>
    </w:p>
    <w:p>
      <w:pPr>
        <w:pStyle w:val="ListBullet"/>
        <w:spacing w:after="40"/>
      </w:pPr>
      <w:r>
        <w:rPr>
          <w:sz w:val="20"/>
        </w:rPr>
        <w:t>Unterstützer-Feld erweitern</w:t>
      </w:r>
    </w:p>
    <w:p>
      <w:pPr>
        <w:pStyle w:val="ListBullet"/>
        <w:spacing w:after="40"/>
      </w:pPr>
      <w:r>
        <w:rPr>
          <w:sz w:val="20"/>
        </w:rPr>
        <w:t>Bearbeitbarkeit nach Speichern ermöglichen</w:t>
      </w:r>
    </w:p>
    <w:p>
      <w:pPr>
        <w:pStyle w:val="ListBullet"/>
        <w:spacing w:after="40"/>
      </w:pPr>
      <w:r>
        <w:rPr>
          <w:sz w:val="20"/>
        </w:rPr>
        <w:t>Förderbereiche und Anlässe ergänzen (LRS, DaZ, AD(H)S, Vorklasse)</w:t>
      </w:r>
    </w:p>
    <w:p>
      <w:pPr>
        <w:pStyle w:val="ListBullet"/>
        <w:spacing w:after="40"/>
      </w:pPr>
      <w:r>
        <w:rPr>
          <w:sz w:val="20"/>
        </w:rPr>
        <w:t>Förderplan-Layout verbessern</w:t>
      </w:r>
    </w:p>
    <w:p/>
    <w:p>
      <w:r>
        <w:rPr>
          <w:i/>
          <w:sz w:val="16"/>
        </w:rPr>
        <w:t>Vollständiger Bericht: pilot-ergebnisse/Pilotauswertung_Gesamtbericht_20260410.md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