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F497D"/>
          <w:sz w:val="48"/>
        </w:rPr>
        <w:t>Anforderungen an eine Corporate LLM</w:t>
      </w:r>
    </w:p>
    <w:p>
      <w:pPr>
        <w:jc w:val="center"/>
      </w:pPr>
      <w:r>
        <w:rPr>
          <w:color w:val="404040"/>
          <w:sz w:val="28"/>
        </w:rPr>
        <w:t>für das Referat VI 3.1 des HMKB</w:t>
      </w:r>
    </w:p>
    <w:p/>
    <w:p>
      <w:pPr>
        <w:jc w:val="center"/>
      </w:pPr>
      <w:r>
        <w:rPr>
          <w:color w:val="606060"/>
          <w:sz w:val="22"/>
        </w:rPr>
        <w:t>Stand: 12.04.2026</w:t>
      </w:r>
    </w:p>
    <w:p>
      <w:pPr>
        <w:jc w:val="center"/>
      </w:pPr>
      <w:r>
        <w:rPr>
          <w:i/>
          <w:color w:val="606060"/>
          <w:sz w:val="22"/>
        </w:rPr>
        <w:t>Referat VI 3.1 | HMKB</w:t>
      </w:r>
    </w:p>
    <w:p>
      <w:br w:type="page"/>
    </w:p>
    <w:p>
      <w:pPr>
        <w:pStyle w:val="Heading1"/>
      </w:pPr>
      <w:r>
        <w:t>Anforderungen an eine Corporate LLM</w:t>
      </w:r>
    </w:p>
    <w:p>
      <w:pPr>
        <w:pStyle w:val="Heading2"/>
      </w:pPr>
      <w:r>
        <w:t>für das Referat VI 3.1 des HMKB</w:t>
      </w:r>
    </w:p>
    <w:p>
      <w:r>
        <w:t>*Erstellt: 2026-04-12 | Status: Entwurf*</w:t>
      </w:r>
    </w:p>
    <w:p>
      <w:pPr>
        <w:pStyle w:val="Heading2"/>
      </w:pPr>
      <w:r>
        <w:t>1. Was ist ein Corporate LLM?</w:t>
      </w:r>
    </w:p>
    <w:p>
      <w:r>
        <w:t xml:space="preserve">Ein Corporate LLM (Corporate Large Language Model — unternehmenseigenes großes Sprachmodell) ist kein eigenes KI-Modell, das von Grund auf neu trainiert wird. Es ist ein </w:t>
      </w:r>
      <w:r>
        <w:rPr>
          <w:b/>
        </w:rPr>
        <w:t>privater, datenschutzkonformer KI-Arbeitsbereich für eine Organisation</w:t>
      </w:r>
      <w:r>
        <w:t>, der auf bestehenden Sprachmodellen (z. B. von Anthropic, OpenAI oder europäischen Anbietern wie Mistral) aufsetzt.</w:t>
      </w:r>
    </w:p>
    <w:p>
      <w:r>
        <w:t xml:space="preserve">Der entscheidende Unterschied zu allgemeinen KI-Tools: Das System antwortet nicht aus allgemeinem Internetwissen, sondern aus dem </w:t>
      </w:r>
      <w:r>
        <w:rPr>
          <w:b/>
        </w:rPr>
        <w:t>eigenen Wissen der Organisation</w:t>
      </w:r>
      <w:r>
        <w:t xml:space="preserve"> — Erlasse, Prozessbeschreibungen, Handreichungen, häufige Fragen, interne Standards. Dieses Wissen wird indexiert und fließt automatisch in jede Anfrage ein.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18"/>
              </w:rPr>
              <w:t>Merkmal</w:t>
            </w:r>
          </w:p>
        </w:tc>
        <w:tc>
          <w:tcPr>
            <w:tcW w:type="dxa" w:w="4561"/>
          </w:tcPr>
          <w:p>
            <w:r>
              <w:rPr>
                <w:b/>
                <w:sz w:val="18"/>
              </w:rPr>
              <w:t>Bedeutung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Zentraler Zugang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Alle Mitarbeitenden arbeiten über eine einzige Oberfläche — kein Tool-Wildwuchs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Behördenwissen integriert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Interne Dokumente, Prozesse, Erlasse als Wissensgrundlage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Rollenbasierte Zugriffssteuerung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Wer darf was sehen und nutzen? Zentral steuerbar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Datenschutzkonform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EU-Hosting, DSGVO-konforme Verarbeitung, kein Training mit Behördendaten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Abteilungsspezifische Assistenten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Spezialisierte KI-Helfer für definierte Aufgaben möglich</w:t>
            </w:r>
          </w:p>
        </w:tc>
      </w:tr>
    </w:tbl>
    <w:p/>
    <w:p>
      <w:pPr>
        <w:pStyle w:val="Heading2"/>
      </w:pPr>
      <w:r>
        <w:t>2. Warum kein Corporate LLM ein Problem ist</w:t>
      </w:r>
    </w:p>
    <w:p>
      <w:pPr>
        <w:pStyle w:val="Heading3"/>
      </w:pPr>
      <w:r>
        <w:t>Schatten-KI</w:t>
      </w:r>
    </w:p>
    <w:p>
      <w:r>
        <w:t>Wenn keine offizielle Lösung bereitgestellt wird, nutzen Mitarbeitende trotzdem KI — unkontrolliert. Vertrauliche Daten, interne Prozesse und personenbezogene Informationen landen dann in fremden Systemen, häufig auf US-amerikanischen Servern, ohne Rechtsgrundlage und ohne Wissen der Behörde.</w:t>
      </w:r>
    </w:p>
    <w:p>
      <w:r>
        <w:t>Bekanntes Beispiel: Samsung musste 2023 KI intern komplett verbieten, nachdem Mitarbeitende Quellcode und Produktionsdaten in ChatGPT eingegeben hatten.</w:t>
      </w:r>
    </w:p>
    <w:p>
      <w:pPr>
        <w:pStyle w:val="Heading3"/>
      </w:pPr>
      <w:r>
        <w:t>Datenschutzrechtliche Konsequenzen</w:t>
      </w:r>
    </w:p>
    <w:p>
      <w:r>
        <w:t>Unkontrollierte KI-Nutzung mit Behördendaten ist eine DSGVO-relevante Datenverarbeitung. Mögliche Konsequenzen: Bußgelder bis zu 20 Millionen Euro, Haftungsrisiken, Vertrauensverlust.</w:t>
      </w:r>
    </w:p>
    <w:p>
      <w:pPr>
        <w:pStyle w:val="Heading3"/>
      </w:pPr>
      <w:r>
        <w:t>Fehlende Wirksamkeit</w:t>
      </w:r>
    </w:p>
    <w:p>
      <w:r>
        <w:t>Ohne Einbettung in Prozesse und behördenspezifisches Wissen bleibt KI-Nutzung an der Oberfläche — E-Mails formulieren, Texte zusammenfassen. Messbarer Nutzen für die eigentliche Facharbeit entsteht erst, wenn das Systemwissen der Behörde integriert ist.</w:t>
      </w:r>
    </w:p>
    <w:p>
      <w:pPr>
        <w:pStyle w:val="Heading2"/>
      </w:pPr>
      <w:r>
        <w:t>3. Datenschutz und rechtliche Anforderungen</w:t>
      </w:r>
    </w:p>
    <w:p>
      <w:r>
        <w:t>Ein Corporate LLM im öffentlichen Sektor muss folgende Anforderungen erfüllen:</w:t>
      </w:r>
    </w:p>
    <w:p>
      <w:pPr>
        <w:pStyle w:val="ListBullet"/>
      </w:pPr>
      <w:r/>
      <w:r>
        <w:rPr>
          <w:b/>
        </w:rPr>
        <w:t>EU-Hosting:</w:t>
      </w:r>
      <w:r>
        <w:t xml:space="preserve"> Alle Daten werden ausschließlich auf europäischen Servern verarbeitet</w:t>
      </w:r>
    </w:p>
    <w:p>
      <w:pPr>
        <w:pStyle w:val="ListBullet"/>
      </w:pPr>
      <w:r/>
      <w:r>
        <w:rPr>
          <w:b/>
        </w:rPr>
        <w:t>Auftragsverarbeitungsvertrag (AVV):</w:t>
      </w:r>
      <w:r>
        <w:t xml:space="preserve"> Mit jedem KI-Anbieter nach Art. 28 DSGVO</w:t>
      </w:r>
    </w:p>
    <w:p>
      <w:pPr>
        <w:pStyle w:val="ListBullet"/>
      </w:pPr>
      <w:r/>
      <w:r>
        <w:rPr>
          <w:b/>
        </w:rPr>
        <w:t>Kein Modelltraining:</w:t>
      </w:r>
      <w:r>
        <w:t xml:space="preserve"> Eingaben dürfen nicht zur Verbesserung der Modelle verwendet werden</w:t>
      </w:r>
    </w:p>
    <w:p>
      <w:pPr>
        <w:pStyle w:val="ListBullet"/>
      </w:pPr>
      <w:r/>
      <w:r>
        <w:rPr>
          <w:b/>
        </w:rPr>
        <w:t>Granulare Zugriffssteuerung:</w:t>
      </w:r>
      <w:r>
        <w:t xml:space="preserve"> Berechtigungen auf Nutzer- und Gruppenebene</w:t>
      </w:r>
    </w:p>
    <w:p>
      <w:pPr>
        <w:pStyle w:val="ListBullet"/>
      </w:pPr>
      <w:r/>
      <w:r>
        <w:rPr>
          <w:b/>
        </w:rPr>
        <w:t>Protokollierung:</w:t>
      </w:r>
      <w:r>
        <w:t xml:space="preserve"> Nutzung nachvollziehbar und auditierbar</w:t>
      </w:r>
    </w:p>
    <w:p>
      <w:pPr>
        <w:pStyle w:val="ListBullet"/>
      </w:pPr>
      <w:r/>
      <w:r>
        <w:rPr>
          <w:b/>
        </w:rPr>
        <w:t>Löschkonzept:</w:t>
      </w:r>
      <w:r>
        <w:t xml:space="preserve"> Vollständige Datenlöschung auf Anfrage möglich</w:t>
      </w:r>
    </w:p>
    <w:p>
      <w:r>
        <w:t>Zusätzlich im HMKB-Kontext:</w:t>
      </w:r>
    </w:p>
    <w:p>
      <w:pPr>
        <w:pStyle w:val="ListBullet"/>
      </w:pPr>
      <w:r>
        <w:t>Personenbezogene Daten von Minderjährigen erfordern besondere Schutzmaßnahmen</w:t>
      </w:r>
    </w:p>
    <w:p>
      <w:pPr>
        <w:pStyle w:val="ListBullet"/>
      </w:pPr>
      <w:r>
        <w:t>Dienstgeheimnisse und Amtsverschwiegenheit müssen technisch abgesichert sein</w:t>
      </w:r>
    </w:p>
    <w:p>
      <w:pPr>
        <w:pStyle w:val="ListBullet"/>
      </w:pPr>
      <w:r>
        <w:t>Hessisches Datenschutzgesetz (HDSIG) gilt ergänzend zur DSGVO</w:t>
      </w:r>
    </w:p>
    <w:p>
      <w:pPr>
        <w:pStyle w:val="ListBullet"/>
      </w:pPr>
      <w:r>
        <w:t>Mitbestimmungsrechte des Personalrats bei Einführung sind zu beachten</w:t>
      </w:r>
    </w:p>
    <w:p>
      <w:r/>
      <w:r>
        <w:rPr>
          <w:b/>
        </w:rPr>
        <w:t>Nicht geeignet für den Behördenkontext: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4561"/>
          </w:tcPr>
          <w:p>
            <w:r>
              <w:rPr>
                <w:b/>
                <w:sz w:val="18"/>
              </w:rPr>
              <w:t>Problem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ChatGPT (Standard)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US-Server, kein AVV, mögliches Modelltraining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Microsoft Copilot (Standard)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Dokumentierte Sicherheitslücken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Private KI-Accounts der Mitarbeitenden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Keine Kontrolle, DSGVO-Problem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Whisperflow und ähnliche Spracheingabe-Tools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Machen dauerhaft Screenshots des gesamten Bildschirms</w:t>
            </w:r>
          </w:p>
        </w:tc>
      </w:tr>
    </w:tbl>
    <w:p/>
    <w:p>
      <w:pPr>
        <w:pStyle w:val="Heading2"/>
      </w:pPr>
      <w:r>
        <w:t>4. Ausgangslage im Referat VI 3.1</w:t>
      </w:r>
    </w:p>
    <w:p>
      <w:r>
        <w:t>*Wird gemeinsam mit Sarah ausgearbeitet.*</w:t>
      </w:r>
    </w:p>
    <w:p>
      <w:r>
        <w:t>Offene Fragen:</w:t>
      </w:r>
    </w:p>
    <w:p>
      <w:pPr>
        <w:pStyle w:val="ListBullet"/>
      </w:pPr>
      <w:r>
        <w:t>Welche Aufgaben sind besonders zeitintensiv und wiederkehrend?</w:t>
      </w:r>
    </w:p>
    <w:p>
      <w:pPr>
        <w:pStyle w:val="ListBullet"/>
      </w:pPr>
      <w:r>
        <w:t>Welche internen Wissensquellen (Erlasse, Handreichungen, Prozessbeschreibungen) könnten indexiert werden?</w:t>
      </w:r>
    </w:p>
    <w:p>
      <w:pPr>
        <w:pStyle w:val="ListBullet"/>
      </w:pPr>
      <w:r>
        <w:t>Welche Mitarbeitenden nutzen bereits KI — und wie?</w:t>
      </w:r>
    </w:p>
    <w:p>
      <w:pPr>
        <w:pStyle w:val="ListBullet"/>
      </w:pPr>
      <w:r>
        <w:t>Gibt es eine KI-Nutzungsrichtlinie im HMKB?</w:t>
      </w:r>
    </w:p>
    <w:p>
      <w:pPr>
        <w:pStyle w:val="Heading2"/>
      </w:pPr>
      <w:r>
        <w:t>5. Anwendungsfälle für Referat VI 3.1</w:t>
      </w:r>
    </w:p>
    <w:p>
      <w:r>
        <w:t>*Folgt nach Abstimmung mit Sarah.*</w:t>
      </w:r>
    </w:p>
    <w:p>
      <w:pPr>
        <w:pStyle w:val="Heading2"/>
      </w:pPr>
      <w:r>
        <w:t>6. Empfehlung weiteres Vorgehen</w:t>
      </w:r>
    </w:p>
    <w:p>
      <w:pPr>
        <w:pStyle w:val="ListNumber"/>
      </w:pPr>
      <w:r>
        <w:t>Bestandsaufnahme — Welche KI-Tools werden bereits genutzt?</w:t>
      </w:r>
    </w:p>
    <w:p>
      <w:pPr>
        <w:pStyle w:val="ListNumber"/>
      </w:pPr>
      <w:r>
        <w:t>Anforderungsdefinition — Welche Prozesse sollen unterstützt werden?</w:t>
      </w:r>
    </w:p>
    <w:p>
      <w:pPr>
        <w:pStyle w:val="ListNumber"/>
      </w:pPr>
      <w:r>
        <w:t>Marktanalyse — Welche Anbieter kommen für den öffentlichen Sektor in Frage?</w:t>
      </w:r>
    </w:p>
    <w:p>
      <w:pPr>
        <w:pStyle w:val="ListNumber"/>
      </w:pPr>
      <w:r>
        <w:t>Pilotbetrieb — Testbetrieb mit definierten Anwendungsfällen</w:t>
      </w:r>
    </w:p>
    <w:p>
      <w:pPr>
        <w:pStyle w:val="ListNumber"/>
      </w:pPr>
      <w:r>
        <w:t>Ausschreibung — Auf Basis der definierten Anforderungen</w:t>
      </w:r>
    </w:p>
    <w:p>
      <w:r>
        <w:t>*Nächste Schritte: Abschnitte 4 und 5 gemeinsam mit Sarah ausarbeiten*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