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Auswertung Förderakte – Tabellenübersicht</w:t>
      </w:r>
    </w:p>
    <w:p>
      <w:pPr>
        <w:spacing w:after="120"/>
      </w:pPr>
      <w:r>
        <w:t>Grundlage: Fragen zur Förderakte_Ergebnisse_18.05.2026.docx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Frage</w:t>
            </w:r>
          </w:p>
        </w:tc>
        <w:tc>
          <w:tcPr>
            <w:tcW w:type="dxa" w:w="2160"/>
          </w:tcPr>
          <w:p>
            <w:r>
              <w:t>Kernaussagen je Person</w:t>
            </w:r>
          </w:p>
        </w:tc>
        <w:tc>
          <w:tcPr>
            <w:tcW w:type="dxa" w:w="2160"/>
          </w:tcPr>
          <w:p>
            <w:r>
              <w:t>Muster über alle Antworten</w:t>
            </w:r>
          </w:p>
        </w:tc>
        <w:tc>
          <w:tcPr>
            <w:tcW w:type="dxa" w:w="2160"/>
          </w:tcPr>
          <w:p>
            <w:r>
              <w:t>Fachliche Konsequenz für das Produkt</w:t>
            </w:r>
          </w:p>
        </w:tc>
      </w:tr>
      <w:tr>
        <w:tc>
          <w:tcPr>
            <w:tcW w:type="dxa" w:w="2160"/>
          </w:tcPr>
          <w:p>
            <w:r>
              <w:t>1. Wie finden Sie unser Vorhaben?</w:t>
            </w:r>
          </w:p>
        </w:tc>
        <w:tc>
          <w:tcPr>
            <w:tcW w:type="dxa" w:w="2160"/>
          </w:tcPr>
          <w:p>
            <w:r>
              <w:t>Claudia Gernand: klingt gut, wird übersichtlicher, besonders für Fachlehrkräfte in mehreren Klassen.</w:t>
              <w:br/>
              <w:br/>
              <w:t>Ann Sophie: sehr gut und wichtig, würde Arbeit erleichtern, gerade bei knappen BFZ-Ressourcen (Beratungs- und Förderzentrum).</w:t>
              <w:br/>
              <w:br/>
              <w:t>Claudia Bernard: äußert sich nicht direkt zur neuen Struktur, betont aber, dass reale Prozesse bisher nicht vereinfacht wurden und ganzheitlich betrachtet werden müssen.</w:t>
              <w:br/>
              <w:br/>
              <w:t>Melissa Krupp: grundsätzlich sinnvoll wegen Übersichtlichkeit, fragt aber nach Löschen bestehender Akten und Weitergabe an neue Klassenlehrkraft.</w:t>
              <w:br/>
              <w:br/>
              <w:t>Angela Sayn: grundsätzlich gut, Dashboard wirkt für weniger PC-erfahrene Personen eher potenziell kompliziert, gute Voreinstellungen sind wichtiger.</w:t>
            </w:r>
          </w:p>
        </w:tc>
        <w:tc>
          <w:tcPr>
            <w:tcW w:type="dxa" w:w="2160"/>
          </w:tcPr>
          <w:p>
            <w:r>
              <w:t>Grundsätzlich positive Aufnahme der Förderakte als zentraler Hub. Zustimmung ist aber an Bedingungen geknüpft: Übersicht allein reicht nicht, wenn Übergaben, Vereinfachung realer Prozesse und praxisnahe Nutzung nicht mitgedacht werden.</w:t>
            </w:r>
          </w:p>
        </w:tc>
        <w:tc>
          <w:tcPr>
            <w:tcW w:type="dxa" w:w="2160"/>
          </w:tcPr>
          <w:p>
            <w:r>
              <w:t>Förderakte als zentralen Einstieg weiterverfolgen, aber nicht nur als Strukturentscheidung. Produkt muss Übersicht, echte Prozessvereinfachung und alltagstaugliche Bedienung liefern. Dashboard nur ergänzend, mit guten Standards statt Individualisierung als Pflicht.</w:t>
            </w:r>
          </w:p>
        </w:tc>
      </w:tr>
      <w:tr>
        <w:tc>
          <w:tcPr>
            <w:tcW w:type="dxa" w:w="2160"/>
          </w:tcPr>
          <w:p>
            <w:r>
              <w:t>2. Wie wahrscheinlich ist es, dass jemand ohne weitergehende Intention eine Förderakte anlegt?</w:t>
            </w:r>
          </w:p>
        </w:tc>
        <w:tc>
          <w:tcPr>
            <w:tcW w:type="dxa" w:w="2160"/>
          </w:tcPr>
          <w:p>
            <w:r>
              <w:t>Claudia Gernand: eher unwahrscheinlich, da dafür schon einige Schritte nötig sind.</w:t>
              <w:br/>
              <w:br/>
              <w:t>Ann Sophie: sehr gering, außerdem sei bisher ohnehin nicht üblich, dass Nicht-BFZ-Kräfte eine Förderakte anlegen.</w:t>
              <w:br/>
              <w:br/>
              <w:t>Claudia Bernard: keine direkte Antwort.</w:t>
              <w:br/>
              <w:br/>
              <w:t>Melissa Krupp: möglich, wenn jemand das System ausprobieren möchte oder neuer Technik eher skeptisch begegnet.</w:t>
              <w:br/>
              <w:br/>
              <w:t>Angela Sayn: ja, kann passieren, besonders zu Beginn durch Rumspielen oder vorsorgliches Anlegen.</w:t>
            </w:r>
          </w:p>
        </w:tc>
        <w:tc>
          <w:tcPr>
            <w:tcW w:type="dxa" w:w="2160"/>
          </w:tcPr>
          <w:p>
            <w:r>
              <w:t>Die Antworten sind geteilt. Mindestens zwei Personen halten das für eher unwahrscheinlich, mindestens zwei sehen das Risiko klar. Einigkeit gibt es nicht.</w:t>
            </w:r>
          </w:p>
        </w:tc>
        <w:tc>
          <w:tcPr>
            <w:tcW w:type="dxa" w:w="2160"/>
          </w:tcPr>
          <w:p>
            <w:r>
              <w:t>Neuanlage sollte nicht unnötig leichtfertig, aber auch nicht umständlich sein. Vor Anlage braucht es klare Führung, Suchfunktion, Dubletten-Hinweis und reversible Schritte. Testen und Verklicken müssen mitgedacht werden.</w:t>
            </w:r>
          </w:p>
        </w:tc>
      </w:tr>
      <w:tr>
        <w:tc>
          <w:tcPr>
            <w:tcW w:type="dxa" w:w="2160"/>
          </w:tcPr>
          <w:p>
            <w:r>
              <w:t>3. Wie wahrscheinlich ist es, dass jemand vergisst, dass bereits eine Förderakte existiert?</w:t>
            </w:r>
          </w:p>
        </w:tc>
        <w:tc>
          <w:tcPr>
            <w:tcW w:type="dxa" w:w="2160"/>
          </w:tcPr>
          <w:p>
            <w:r>
              <w:t>Claudia Gernand: eher unwahrscheinlich, in der Grundschule hätten vor allem Klassenlehrkräfte den Überblick.</w:t>
              <w:br/>
              <w:br/>
              <w:t>Ann Sophie: sehr gering.</w:t>
              <w:br/>
              <w:br/>
              <w:t>Claudia Bernard: keine direkte Antwort.</w:t>
              <w:br/>
              <w:br/>
              <w:t>Melissa Krupp: sehr wahrscheinlich, weil es viele andere Ablageorte gibt und man bei vielen Förderkindern den Überblick verlieren kann.</w:t>
              <w:br/>
              <w:br/>
              <w:t>Angela Sayn: kann gut vorkommen, besonders bei Lehrerwechseln oder gemeinsamer Klassenführung; wenn Suche vorhanden ist, sei das Problem aber beherrschbar.</w:t>
            </w:r>
          </w:p>
        </w:tc>
        <w:tc>
          <w:tcPr>
            <w:tcW w:type="dxa" w:w="2160"/>
          </w:tcPr>
          <w:p>
            <w:r>
              <w:t>Auch hier kein einheitliches Bild. Für einige ist das Risiko gering, für andere klar real. Auffällig: Risiko steigt bei Lehrerwechsel, Mehrpersonen-Konstellationen, vielen Kindern und verteilten Ablagen.</w:t>
            </w:r>
          </w:p>
        </w:tc>
        <w:tc>
          <w:tcPr>
            <w:tcW w:type="dxa" w:w="2160"/>
          </w:tcPr>
          <w:p>
            <w:r>
              <w:t>Produkt braucht eine starke Suche vor Neuanlage, klare Trefferanzeige und Hinweise auf bereits bestehende Akten. Förderakte darf nicht nur „meine Fälle“ abbilden, sondern muss team- und kontextfähig sein.</w:t>
            </w:r>
          </w:p>
        </w:tc>
      </w:tr>
      <w:tr>
        <w:tc>
          <w:tcPr>
            <w:tcW w:type="dxa" w:w="2160"/>
          </w:tcPr>
          <w:p>
            <w:r>
              <w:t>4. Was möchten Sie am liebsten auf der Startseite sehen?</w:t>
            </w:r>
          </w:p>
        </w:tc>
        <w:tc>
          <w:tcPr>
            <w:tcW w:type="dxa" w:w="2160"/>
          </w:tcPr>
          <w:p>
            <w:r>
              <w:t>Claudia Gernand: kleine Kacheln mit eigenen Förderakten, Name des Kindes sichtbar, Button für neue Akte, Button für Suche in anderen Klassen; zusätzlich Idee eines Menüs mit relevanten Gesetzen, Verordnungen und Erlassen.</w:t>
              <w:br/>
              <w:br/>
              <w:t>Ann Sophie: Übersicht mit allen Bereichen, Auswahlterminal oder ähnlich.</w:t>
              <w:br/>
              <w:br/>
              <w:t>Claudia Bernard: keine direkte Antwort.</w:t>
              <w:br/>
              <w:br/>
              <w:t>Melissa Krupp: kurze Erklärung, was ila leistet, namentliche Begrüßung, bestehende Förderakten, Plus-Button für neue Akte.</w:t>
              <w:br/>
              <w:br/>
              <w:t>Angela Sayn: schneller Zugriff auf eigene Klasse und aktuelle Förderungen, außerdem Fristen, Ablaufdaten und Erinnerungen, zum Beispiel bei Verlängerungen.</w:t>
            </w:r>
          </w:p>
        </w:tc>
        <w:tc>
          <w:tcPr>
            <w:tcW w:type="dxa" w:w="2160"/>
          </w:tcPr>
          <w:p>
            <w:r>
              <w:t>Die Startseite soll vor allem praktisch und handlungsorientiert sein. Wiederkehrend sind: bestehende Akten, neue Akte, Suche, schneller Zugriff auf eigene Fälle. Ergänzend gewünscht: Fristen und Erinnerungen, eventuell rechtliche Informationen und Orientierung für Einstieg.</w:t>
            </w:r>
          </w:p>
        </w:tc>
        <w:tc>
          <w:tcPr>
            <w:tcW w:type="dxa" w:w="2160"/>
          </w:tcPr>
          <w:p>
            <w:r>
              <w:t>Startseite als Arbeitsoberfläche, nicht als Schaufenster. Priorität: eigene Förderakten, Neuanlage, Suche, relevante To-dos und Fristen. Zusatzinfos wie Rechtsgrundlagen eher sekundär oder in ein Menü auslagern.</w:t>
            </w:r>
          </w:p>
        </w:tc>
      </w:tr>
      <w:tr>
        <w:tc>
          <w:tcPr>
            <w:tcW w:type="dxa" w:w="2160"/>
          </w:tcPr>
          <w:p>
            <w:r>
              <w:t>5. Wollen Sie uns sonst noch was sagen?</w:t>
            </w:r>
          </w:p>
        </w:tc>
        <w:tc>
          <w:tcPr>
            <w:tcW w:type="dxa" w:w="2160"/>
          </w:tcPr>
          <w:p>
            <w:r>
              <w:t>Claudia Gernand: Projekt spannend; wichtig seien frühe Kommunikation, Klarheit zu Pflichtgrad, Papierform vs. digital, Ablagepflicht in Schülerakte sowie Fortbildungen und Schulungen.</w:t>
              <w:br/>
              <w:br/>
              <w:t>Ann Sophie: nur Hinweis, dass ihre Schulleitung aktuell keine Kapazität hat und sie allein weiter mitwirkt.</w:t>
              <w:br/>
              <w:br/>
              <w:t>Claudia Bernard: sehr deutlicher Warnhinweis, dass Verfahren in der Praxis eher belastender geworden sind; mehrere Personen und Schulen müssten auf Akten zugreifen; Prozesse und Dokumente müssten vor dem Programmieren drastisch vereinfacht und ganzheitlich gedacht werden.</w:t>
              <w:br/>
              <w:br/>
              <w:t>Melissa Krupp: keine zusätzliche inhaltliche Ergänzung.</w:t>
              <w:br/>
              <w:br/>
              <w:t>Angela Sayn: Förderungen müssen unkompliziert beendet oder entfernt werden; Zugriff auf Kinder nötig, die noch nicht direkt zugewiesen sind; Bereitschaft zum Weitertesten bleibt bestehen.</w:t>
            </w:r>
          </w:p>
        </w:tc>
        <w:tc>
          <w:tcPr>
            <w:tcW w:type="dxa" w:w="2160"/>
          </w:tcPr>
          <w:p>
            <w:r>
              <w:t>Hier liegen die wichtigsten Produkt- und Einführungsrisiken: fehlende Prozessvereinfachung, Mehrpersonen- und Mehrschulzugriff, Rechte und Zuständigkeiten, Sonderfälle bei Zugriffen, Kommunikations- und Schulungsbedarf.</w:t>
            </w:r>
          </w:p>
        </w:tc>
        <w:tc>
          <w:tcPr>
            <w:tcW w:type="dxa" w:w="2160"/>
          </w:tcPr>
          <w:p>
            <w:r>
              <w:t>Nicht nur Oberfläche gestalten. Es braucht eine klare Governance (Steuerung und Regeln): Wer darf was sehen oder ändern, wie laufen Übergaben, wie wird beendet, wie wird auf noch nicht zugewiesene Kinder zugegriffen. Außerdem braucht der Rollout Kommunikation, Schulung und Regelklarheit.</w:t>
            </w:r>
          </w:p>
        </w:tc>
      </w:tr>
    </w:tbl>
    <w:p/>
    <w:p>
      <w:r>
        <w:rPr>
          <w:b/>
          <w:sz w:val="24"/>
        </w:rPr>
        <w:t>Verdichtete Gesamtmuster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Themenfeld</w:t>
            </w:r>
          </w:p>
        </w:tc>
        <w:tc>
          <w:tcPr>
            <w:tcW w:type="dxa" w:w="4320"/>
          </w:tcPr>
          <w:p>
            <w:r>
              <w:t>Verdichtung</w:t>
            </w:r>
          </w:p>
        </w:tc>
      </w:tr>
      <w:tr>
        <w:tc>
          <w:tcPr>
            <w:tcW w:type="dxa" w:w="4320"/>
          </w:tcPr>
          <w:p>
            <w:r>
              <w:t>Grundhaltung</w:t>
            </w:r>
          </w:p>
        </w:tc>
        <w:tc>
          <w:tcPr>
            <w:tcW w:type="dxa" w:w="4320"/>
          </w:tcPr>
          <w:p>
            <w:r>
              <w:t>Förderakte als zentraler Hub wird überwiegend begrüßt.</w:t>
            </w:r>
          </w:p>
        </w:tc>
      </w:tr>
      <w:tr>
        <w:tc>
          <w:tcPr>
            <w:tcW w:type="dxa" w:w="4320"/>
          </w:tcPr>
          <w:p>
            <w:r>
              <w:t>Wichtigste Bedingung</w:t>
            </w:r>
          </w:p>
        </w:tc>
        <w:tc>
          <w:tcPr>
            <w:tcW w:type="dxa" w:w="4320"/>
          </w:tcPr>
          <w:p>
            <w:r>
              <w:t>Die Lösung muss den Alltag wirklich vereinfachen, nicht nur neu strukturieren.</w:t>
            </w:r>
          </w:p>
        </w:tc>
      </w:tr>
      <w:tr>
        <w:tc>
          <w:tcPr>
            <w:tcW w:type="dxa" w:w="4320"/>
          </w:tcPr>
          <w:p>
            <w:r>
              <w:t>Zugriff</w:t>
            </w:r>
          </w:p>
        </w:tc>
        <w:tc>
          <w:tcPr>
            <w:tcW w:type="dxa" w:w="4320"/>
          </w:tcPr>
          <w:p>
            <w:r>
              <w:t>Mehrere Personen, teilweise mehrere Schulen, müssen auf Akten zugreifen können.</w:t>
            </w:r>
          </w:p>
        </w:tc>
      </w:tr>
      <w:tr>
        <w:tc>
          <w:tcPr>
            <w:tcW w:type="dxa" w:w="4320"/>
          </w:tcPr>
          <w:p>
            <w:r>
              <w:t>Rechte</w:t>
            </w:r>
          </w:p>
        </w:tc>
        <w:tc>
          <w:tcPr>
            <w:tcW w:type="dxa" w:w="4320"/>
          </w:tcPr>
          <w:p>
            <w:r>
              <w:t>Lese- und Schreibrechte sowie verantwortliche Lehrkraft müssen sauber abbildbar sein.</w:t>
            </w:r>
          </w:p>
        </w:tc>
      </w:tr>
      <w:tr>
        <w:tc>
          <w:tcPr>
            <w:tcW w:type="dxa" w:w="4320"/>
          </w:tcPr>
          <w:p>
            <w:r>
              <w:t>Übergaben</w:t>
            </w:r>
          </w:p>
        </w:tc>
        <w:tc>
          <w:tcPr>
            <w:tcW w:type="dxa" w:w="4320"/>
          </w:tcPr>
          <w:p>
            <w:r>
              <w:t>Lehrerwechsel und Klassenwechsel müssen unterstützt werden.</w:t>
            </w:r>
          </w:p>
        </w:tc>
      </w:tr>
      <w:tr>
        <w:tc>
          <w:tcPr>
            <w:tcW w:type="dxa" w:w="4320"/>
          </w:tcPr>
          <w:p>
            <w:r>
              <w:t>Sicherheit gegen Fehler</w:t>
            </w:r>
          </w:p>
        </w:tc>
        <w:tc>
          <w:tcPr>
            <w:tcW w:type="dxa" w:w="4320"/>
          </w:tcPr>
          <w:p>
            <w:r>
              <w:t>Löschen, Beenden, Korrigieren und Dublettenvermeidung sind zentral.</w:t>
            </w:r>
          </w:p>
        </w:tc>
      </w:tr>
      <w:tr>
        <w:tc>
          <w:tcPr>
            <w:tcW w:type="dxa" w:w="4320"/>
          </w:tcPr>
          <w:p>
            <w:r>
              <w:t>Startseite</w:t>
            </w:r>
          </w:p>
        </w:tc>
        <w:tc>
          <w:tcPr>
            <w:tcW w:type="dxa" w:w="4320"/>
          </w:tcPr>
          <w:p>
            <w:r>
              <w:t>Bestehende Akten, Suche, Neuanlage, Fristen und schnelle Orientierung.</w:t>
            </w:r>
          </w:p>
        </w:tc>
      </w:tr>
      <w:tr>
        <w:tc>
          <w:tcPr>
            <w:tcW w:type="dxa" w:w="4320"/>
          </w:tcPr>
          <w:p>
            <w:r>
              <w:t>Risiko</w:t>
            </w:r>
          </w:p>
        </w:tc>
        <w:tc>
          <w:tcPr>
            <w:tcW w:type="dxa" w:w="4320"/>
          </w:tcPr>
          <w:p>
            <w:r>
              <w:t>Wenn reale Prozesse komplex bleiben, löst eine neue Oberfläche das Grundproblem nicht.</w:t>
            </w:r>
          </w:p>
        </w:tc>
      </w:tr>
    </w:tbl>
    <w:p/>
    <w:p>
      <w:r>
        <w:rPr>
          <w:b/>
          <w:sz w:val="24"/>
        </w:rPr>
        <w:t>Vorläufige Produktanforderungen aus den Antworten</w:t>
      </w:r>
    </w:p>
    <w:p>
      <w:pPr>
        <w:pStyle w:val="ListNumber"/>
      </w:pPr>
      <w:r>
        <w:t>Eine Förderakte pro Kind, aber mit starker Suche vor Neuanlage.</w:t>
      </w:r>
    </w:p>
    <w:p>
      <w:pPr>
        <w:pStyle w:val="ListNumber"/>
      </w:pPr>
      <w:r>
        <w:t>Mehrpersonen-Zugriff mit Rollen und Rechten.</w:t>
      </w:r>
    </w:p>
    <w:p>
      <w:pPr>
        <w:pStyle w:val="ListNumber"/>
      </w:pPr>
      <w:r>
        <w:t>Verantwortliche Lehrkraft sichtbar und benachrichtigbar.</w:t>
      </w:r>
    </w:p>
    <w:p>
      <w:pPr>
        <w:pStyle w:val="ListNumber"/>
      </w:pPr>
      <w:r>
        <w:t>Übergabe an neue Klassenlehrkraft oder andere Beteiligte ermöglichen.</w:t>
      </w:r>
    </w:p>
    <w:p>
      <w:pPr>
        <w:pStyle w:val="ListNumber"/>
      </w:pPr>
      <w:r>
        <w:t>Förderungen und Akten unkompliziert beenden, korrigieren oder bereinigen.</w:t>
      </w:r>
    </w:p>
    <w:p>
      <w:pPr>
        <w:pStyle w:val="ListNumber"/>
      </w:pPr>
      <w:r>
        <w:t>Zugriff auf noch nicht direkt zugewiesene Kinder in begründeten Fällen ermöglichen.</w:t>
      </w:r>
    </w:p>
    <w:p>
      <w:pPr>
        <w:pStyle w:val="ListNumber"/>
      </w:pPr>
      <w:r>
        <w:t>Startseite auf Arbeitsfähigkeit ausrichten: Akten, Suche, To-dos, Fristen.</w:t>
      </w:r>
    </w:p>
    <w:p>
      <w:pPr>
        <w:pStyle w:val="ListNumber"/>
      </w:pPr>
      <w:r>
        <w:t>Dashboard nur als Option, nicht als Voraussetzung für Nutzbarkeit.</w:t>
      </w:r>
    </w:p>
    <w:p>
      <w:pPr>
        <w:pStyle w:val="ListNumber"/>
      </w:pPr>
      <w:r>
        <w:t>Rollout kommunikativ begleiten: Pflichtgrad, Papier oder digital, Ablage, Schulung klären.</w:t>
      </w:r>
    </w:p>
    <w:p>
      <w:pPr>
        <w:pStyle w:val="ListNumber"/>
      </w:pPr>
      <w:r>
        <w:t>Vor technischer Umsetzung Prozesse fachlich vereinfachen, besonders bei Mehrfachbeteiligung und Schulgrenzen.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