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Corporate Identity ILA — Management-Zusammenfassung</w:t>
      </w:r>
    </w:p>
    <w:p>
      <w:r>
        <w:t>Stand: 2026-04-08 | Erstellt: Cheko (ILA-Hauptagent)</w:t>
      </w:r>
    </w:p>
    <w:p>
      <w:r>
        <w:t>Grundlage: STK-Erlass 24.03.2026 + Hessen Corporate Design Manual V1.0k + Analyse der realen ILA-Anwendung</w:t>
      </w:r>
    </w:p>
    <w:p/>
    <w:p>
      <w:pPr>
        <w:pStyle w:val="Heading1"/>
      </w:pPr>
      <w:r>
        <w:t>Ausgangslage</w:t>
      </w:r>
    </w:p>
    <w:p>
      <w:r>
        <w:t>Das Land Hessen hat am 23. März 2026 per Kabinettsbeschluss ein neues einheitliches Erscheinungsbild eingeführt. Der Erlass gilt ab 1. April 2026 für alle Ministerien und deren nachgeordnete Behörden — und damit grundsätzlich auch für das HMKB und seine Projekte.</w:t>
      </w:r>
    </w:p>
    <w:p>
      <w:pPr>
        <w:pStyle w:val="Heading1"/>
      </w:pPr>
      <w:r>
        <w:t>Gilt der Erlass für ILA?</w:t>
      </w:r>
    </w:p>
    <w:p>
      <w:r>
        <w:t>Grundsätzlich ja. ILA ist eine digitale Fachanwendung des HMKB.</w:t>
      </w:r>
    </w:p>
    <w:p/>
    <w:p>
      <w:r>
        <w:rPr>
          <w:b/>
        </w:rPr>
        <w:t xml:space="preserve">Offene politische Frage: </w:t>
      </w:r>
      <w:r>
        <w:t>Eigenständige Projektlogos sind „grundsätzlich zu vermeiden" — Ausnahmen entscheidet die Staatskanzlei. Das ila-Smile-Logo fällt darunter.</w:t>
      </w:r>
    </w:p>
    <w:p/>
    <w:p>
      <w:r>
        <w:rPr>
          <w:b/>
        </w:rPr>
        <w:t xml:space="preserve">Übergangsregelung: </w:t>
      </w:r>
      <w:r>
        <w:t>Vorhandene Materialien dürfen im Sinne der Nachhaltigkeit weiterverwendet werden. Eine sofortige Umstellung ist nicht gefordert.</w:t>
      </w:r>
    </w:p>
    <w:p>
      <w:pPr>
        <w:pStyle w:val="Heading1"/>
      </w:pPr>
      <w:r>
        <w:t>Was das neue Corporate Design vorschreibt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Vorgabe</w:t>
            </w:r>
          </w:p>
        </w:tc>
      </w:tr>
      <w:tr>
        <w:tc>
          <w:tcPr>
            <w:tcW w:type="dxa" w:w="4320"/>
          </w:tcPr>
          <w:p>
            <w:r>
              <w:t>Logo</w:t>
            </w:r>
          </w:p>
        </w:tc>
        <w:tc>
          <w:tcPr>
            <w:tcW w:type="dxa" w:w="4320"/>
          </w:tcPr>
          <w:p>
            <w:r>
              <w:t>Hessenmarke (Wappen + „HESSEN") oben links, min. 100 px</w:t>
            </w:r>
          </w:p>
        </w:tc>
      </w:tr>
      <w:tr>
        <w:tc>
          <w:tcPr>
            <w:tcW w:type="dxa" w:w="4320"/>
          </w:tcPr>
          <w:p>
            <w:r>
              <w:t>Schriftart</w:t>
            </w:r>
          </w:p>
        </w:tc>
        <w:tc>
          <w:tcPr>
            <w:tcW w:type="dxa" w:w="4320"/>
          </w:tcPr>
          <w:p>
            <w:r>
              <w:t>Hessen Gellix (landesweit lizenziert, keine Einzelgenehmigung)</w:t>
            </w:r>
          </w:p>
        </w:tc>
      </w:tr>
      <w:tr>
        <w:tc>
          <w:tcPr>
            <w:tcW w:type="dxa" w:w="4320"/>
          </w:tcPr>
          <w:p>
            <w:r>
              <w:t>Primärfarbe</w:t>
            </w:r>
          </w:p>
        </w:tc>
        <w:tc>
          <w:tcPr>
            <w:tcW w:type="dxa" w:w="4320"/>
          </w:tcPr>
          <w:p>
            <w:r>
              <w:t>Hessen Blau: #0A0076</w:t>
            </w:r>
          </w:p>
        </w:tc>
      </w:tr>
      <w:tr>
        <w:tc>
          <w:tcPr>
            <w:tcW w:type="dxa" w:w="4320"/>
          </w:tcPr>
          <w:p>
            <w:r>
              <w:t>Sekundärfarbe</w:t>
            </w:r>
          </w:p>
        </w:tc>
        <w:tc>
          <w:tcPr>
            <w:tcW w:type="dxa" w:w="4320"/>
          </w:tcPr>
          <w:p>
            <w:r>
              <w:t>Hessen Rot: #E42930</w:t>
            </w:r>
          </w:p>
        </w:tc>
      </w:tr>
      <w:tr>
        <w:tc>
          <w:tcPr>
            <w:tcW w:type="dxa" w:w="4320"/>
          </w:tcPr>
          <w:p>
            <w:r>
              <w:t>Akzentfarbe</w:t>
            </w:r>
          </w:p>
        </w:tc>
        <w:tc>
          <w:tcPr>
            <w:tcW w:type="dxa" w:w="4320"/>
          </w:tcPr>
          <w:p>
            <w:r>
              <w:t>Hessen Light Gold: #F6E6D2</w:t>
            </w:r>
          </w:p>
        </w:tc>
      </w:tr>
      <w:tr>
        <w:tc>
          <w:tcPr>
            <w:tcW w:type="dxa" w:w="4320"/>
          </w:tcPr>
          <w:p>
            <w:r>
              <w:t>Icons</w:t>
            </w:r>
          </w:p>
        </w:tc>
        <w:tc>
          <w:tcPr>
            <w:tcW w:type="dxa" w:w="4320"/>
          </w:tcPr>
          <w:p>
            <w:r>
              <w:t>Google Material Icons (empfohlen)</w:t>
            </w:r>
          </w:p>
        </w:tc>
      </w:tr>
      <w:tr>
        <w:tc>
          <w:tcPr>
            <w:tcW w:type="dxa" w:w="4320"/>
          </w:tcPr>
          <w:p>
            <w:r>
              <w:t>Verboten</w:t>
            </w:r>
          </w:p>
        </w:tc>
        <w:tc>
          <w:tcPr>
            <w:tcW w:type="dxa" w:w="4320"/>
          </w:tcPr>
          <w:p>
            <w:r>
              <w:t>Kein Türkis, keine Farbverläufe, keine Transparenz</w:t>
            </w:r>
          </w:p>
        </w:tc>
      </w:tr>
    </w:tbl>
    <w:p/>
    <w:p>
      <w:pPr>
        <w:pStyle w:val="Heading1"/>
      </w:pPr>
      <w:r>
        <w:t>Befund: Wie weit ist ILA davon entfernt?</w:t>
      </w:r>
    </w:p>
    <w:p>
      <w:r>
        <w:rPr>
          <w:b/>
        </w:rPr>
        <w:t xml:space="preserve">Ergebnis der Analyse: </w:t>
      </w:r>
      <w:r>
        <w:t>Die ILA-Anwendung ist bereits nahezu CD-konform in der Grundstruktur.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Bereich</w:t>
            </w:r>
          </w:p>
        </w:tc>
        <w:tc>
          <w:tcPr>
            <w:tcW w:type="dxa" w:w="2160"/>
          </w:tcPr>
          <w:p>
            <w:r>
              <w:t>ILA heute</w:t>
            </w:r>
          </w:p>
        </w:tc>
        <w:tc>
          <w:tcPr>
            <w:tcW w:type="dxa" w:w="2160"/>
          </w:tcPr>
          <w:p>
            <w:r>
              <w:t>Hessen CD</w:t>
            </w:r>
          </w:p>
        </w:tc>
        <w:tc>
          <w:tcPr>
            <w:tcW w:type="dxa" w:w="2160"/>
          </w:tcPr>
          <w:p>
            <w:r>
              <w:t>Abstand</w:t>
            </w:r>
          </w:p>
        </w:tc>
      </w:tr>
      <w:tr>
        <w:tc>
          <w:tcPr>
            <w:tcW w:type="dxa" w:w="2160"/>
          </w:tcPr>
          <w:p>
            <w:r>
              <w:t>Farbton</w:t>
            </w:r>
          </w:p>
        </w:tc>
        <w:tc>
          <w:tcPr>
            <w:tcW w:type="dxa" w:w="2160"/>
          </w:tcPr>
          <w:p>
            <w:r>
              <w:t>Navyblau #0A2E4D</w:t>
            </w:r>
          </w:p>
        </w:tc>
        <w:tc>
          <w:tcPr>
            <w:tcW w:type="dxa" w:w="2160"/>
          </w:tcPr>
          <w:p>
            <w:r>
              <w:t>Hessen Blau #0A0076</w:t>
            </w:r>
          </w:p>
        </w:tc>
        <w:tc>
          <w:tcPr>
            <w:tcW w:type="dxa" w:w="2160"/>
          </w:tcPr>
          <w:p>
            <w:r>
              <w:t>Gering</w:t>
            </w:r>
          </w:p>
        </w:tc>
      </w:tr>
      <w:tr>
        <w:tc>
          <w:tcPr>
            <w:tcW w:type="dxa" w:w="2160"/>
          </w:tcPr>
          <w:p>
            <w:r>
              <w:t>Türkis</w:t>
            </w:r>
          </w:p>
        </w:tc>
        <w:tc>
          <w:tcPr>
            <w:tcW w:type="dxa" w:w="2160"/>
          </w:tcPr>
          <w:p>
            <w:r>
              <w:t>Nur 1 Element (Chatbot)</w:t>
            </w:r>
          </w:p>
        </w:tc>
        <w:tc>
          <w:tcPr>
            <w:tcW w:type="dxa" w:w="2160"/>
          </w:tcPr>
          <w:p>
            <w:r>
              <w:t>Nicht vorgesehen</w:t>
            </w:r>
          </w:p>
        </w:tc>
        <w:tc>
          <w:tcPr>
            <w:tcW w:type="dxa" w:w="2160"/>
          </w:tcPr>
          <w:p>
            <w:r>
              <w:t>Minimal</w:t>
            </w:r>
          </w:p>
        </w:tc>
      </w:tr>
      <w:tr>
        <w:tc>
          <w:tcPr>
            <w:tcW w:type="dxa" w:w="2160"/>
          </w:tcPr>
          <w:p>
            <w:r>
              <w:t>Schriftart</w:t>
            </w:r>
          </w:p>
        </w:tc>
        <w:tc>
          <w:tcPr>
            <w:tcW w:type="dxa" w:w="2160"/>
          </w:tcPr>
          <w:p>
            <w:r>
              <w:t>Noto Sans Display</w:t>
            </w:r>
          </w:p>
        </w:tc>
        <w:tc>
          <w:tcPr>
            <w:tcW w:type="dxa" w:w="2160"/>
          </w:tcPr>
          <w:p>
            <w:r>
              <w:t>Hessen Gellix</w:t>
            </w:r>
          </w:p>
        </w:tc>
        <w:tc>
          <w:tcPr>
            <w:tcW w:type="dxa" w:w="2160"/>
          </w:tcPr>
          <w:p>
            <w:r>
              <w:t>Komplett tauschen</w:t>
            </w:r>
          </w:p>
        </w:tc>
      </w:tr>
      <w:tr>
        <w:tc>
          <w:tcPr>
            <w:tcW w:type="dxa" w:w="2160"/>
          </w:tcPr>
          <w:p>
            <w:r>
              <w:t>Logo</w:t>
            </w:r>
          </w:p>
        </w:tc>
        <w:tc>
          <w:tcPr>
            <w:tcW w:type="dxa" w:w="2160"/>
          </w:tcPr>
          <w:p>
            <w:r>
              <w:t>ila-Wortmarke</w:t>
            </w:r>
          </w:p>
        </w:tc>
        <w:tc>
          <w:tcPr>
            <w:tcW w:type="dxa" w:w="2160"/>
          </w:tcPr>
          <w:p>
            <w:r>
              <w:t>Hessenmarke</w:t>
            </w:r>
          </w:p>
        </w:tc>
        <w:tc>
          <w:tcPr>
            <w:tcW w:type="dxa" w:w="2160"/>
          </w:tcPr>
          <w:p>
            <w:r>
              <w:t>Klärung nötig</w:t>
            </w:r>
          </w:p>
        </w:tc>
      </w:tr>
      <w:tr>
        <w:tc>
          <w:tcPr>
            <w:tcW w:type="dxa" w:w="2160"/>
          </w:tcPr>
          <w:p>
            <w:r>
              <w:t>Icons</w:t>
            </w:r>
          </w:p>
        </w:tc>
        <w:tc>
          <w:tcPr>
            <w:tcW w:type="dxa" w:w="2160"/>
          </w:tcPr>
          <w:p>
            <w:r>
              <w:t>Eigenes System</w:t>
            </w:r>
          </w:p>
        </w:tc>
        <w:tc>
          <w:tcPr>
            <w:tcW w:type="dxa" w:w="2160"/>
          </w:tcPr>
          <w:p>
            <w:r>
              <w:t>Google Material Icons</w:t>
            </w:r>
          </w:p>
        </w:tc>
        <w:tc>
          <w:tcPr>
            <w:tcW w:type="dxa" w:w="2160"/>
          </w:tcPr>
          <w:p>
            <w:r>
              <w:t>Kompatibel</w:t>
            </w:r>
          </w:p>
        </w:tc>
      </w:tr>
      <w:tr>
        <w:tc>
          <w:tcPr>
            <w:tcW w:type="dxa" w:w="2160"/>
          </w:tcPr>
          <w:p>
            <w:r>
              <w:t>Layout</w:t>
            </w:r>
          </w:p>
        </w:tc>
        <w:tc>
          <w:tcPr>
            <w:tcW w:type="dxa" w:w="2160"/>
          </w:tcPr>
          <w:p>
            <w:r>
              <w:t>Modern, clean, Sidebar</w:t>
            </w:r>
          </w:p>
        </w:tc>
        <w:tc>
          <w:tcPr>
            <w:tcW w:type="dxa" w:w="2160"/>
          </w:tcPr>
          <w:p>
            <w:r>
              <w:t>Passt</w:t>
            </w:r>
          </w:p>
        </w:tc>
        <w:tc>
          <w:tcPr>
            <w:tcW w:type="dxa" w:w="2160"/>
          </w:tcPr>
          <w:p>
            <w:r>
              <w:t>Kein Handlungsbedarf</w:t>
            </w:r>
          </w:p>
        </w:tc>
      </w:tr>
      <w:tr>
        <w:tc>
          <w:tcPr>
            <w:tcW w:type="dxa" w:w="2160"/>
          </w:tcPr>
          <w:p>
            <w:r>
              <w:t>Chatbot</w:t>
            </w:r>
          </w:p>
        </w:tc>
        <w:tc>
          <w:tcPr>
            <w:tcW w:type="dxa" w:w="2160"/>
          </w:tcPr>
          <w:p>
            <w:r>
              <w:t>Türkiser Smiley</w:t>
            </w:r>
          </w:p>
        </w:tc>
        <w:tc>
          <w:tcPr>
            <w:tcW w:type="dxa" w:w="2160"/>
          </w:tcPr>
          <w:p>
            <w:r>
              <w:t>Nicht vorgesehen</w:t>
            </w:r>
          </w:p>
        </w:tc>
        <w:tc>
          <w:tcPr>
            <w:tcW w:type="dxa" w:w="2160"/>
          </w:tcPr>
          <w:p>
            <w:r>
              <w:t>Anpassen</w:t>
            </w:r>
          </w:p>
        </w:tc>
      </w:tr>
    </w:tbl>
    <w:p/>
    <w:p>
      <w:pPr>
        <w:pStyle w:val="Heading1"/>
      </w:pPr>
      <w:r>
        <w:t>Konkrete Anpassungen — Priorität</w:t>
      </w:r>
    </w:p>
    <w:p>
      <w:pPr>
        <w:pStyle w:val="Heading2"/>
      </w:pPr>
      <w:r>
        <w:t>Hohe Priorität (Brand-kritisch)</w:t>
      </w:r>
    </w:p>
    <w:p>
      <w:pPr>
        <w:pStyle w:val="ListBullet"/>
      </w:pPr>
      <w:r>
        <w:t>1. Hessenmarke einbinden — oben links in die Navigation, min. 100 px</w:t>
      </w:r>
    </w:p>
    <w:p>
      <w:pPr>
        <w:pStyle w:val="ListBullet"/>
      </w:pPr>
      <w:r>
        <w:t>2. Schriftart: Noto Sans Display → Hessen Gellix</w:t>
      </w:r>
    </w:p>
    <w:p>
      <w:pPr>
        <w:pStyle w:val="ListBullet"/>
      </w:pPr>
      <w:r>
        <w:t>3. Farbanpassung: bestehende Blautöne auf Hessen Blau #0A0076 kalibrieren</w:t>
      </w:r>
    </w:p>
    <w:p>
      <w:pPr>
        <w:pStyle w:val="Heading2"/>
      </w:pPr>
      <w:r>
        <w:t>Mittlere Priorität</w:t>
      </w:r>
    </w:p>
    <w:p>
      <w:pPr>
        <w:pStyle w:val="ListBullet"/>
      </w:pPr>
      <w:r>
        <w:t>4. Chatbot-Button: Türkis → Hessen Rot oder entfernen</w:t>
      </w:r>
    </w:p>
    <w:p>
      <w:pPr>
        <w:pStyle w:val="ListBullet"/>
      </w:pPr>
      <w:r>
        <w:t>5. Akzentfarben (Namens-Hervorhebungen) anpassen</w:t>
      </w:r>
    </w:p>
    <w:p>
      <w:pPr>
        <w:pStyle w:val="Heading2"/>
      </w:pPr>
      <w:r>
        <w:t>Offene politische Entscheidung</w:t>
      </w:r>
    </w:p>
    <w:p>
      <w:pPr>
        <w:pStyle w:val="ListBullet"/>
      </w:pPr>
      <w:r>
        <w:t>6. ila-Logo (Smile): darf es bleiben? Wenn nein — aus allen Screens entfernen.</w:t>
      </w:r>
    </w:p>
    <w:p>
      <w:pPr>
        <w:pStyle w:val="Heading1"/>
      </w:pPr>
      <w:r>
        <w:t>Zeitliche Einschätzung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Szenario</w:t>
            </w:r>
          </w:p>
        </w:tc>
        <w:tc>
          <w:tcPr>
            <w:tcW w:type="dxa" w:w="4320"/>
          </w:tcPr>
          <w:p>
            <w:r>
              <w:t>Aufwand</w:t>
            </w:r>
          </w:p>
        </w:tc>
      </w:tr>
      <w:tr>
        <w:tc>
          <w:tcPr>
            <w:tcW w:type="dxa" w:w="4320"/>
          </w:tcPr>
          <w:p>
            <w:r>
              <w:t>Nur Hessenmarke einbinden</w:t>
            </w:r>
          </w:p>
        </w:tc>
        <w:tc>
          <w:tcPr>
            <w:tcW w:type="dxa" w:w="4320"/>
          </w:tcPr>
          <w:p>
            <w:r>
              <w:t>~1 Woche</w:t>
            </w:r>
          </w:p>
        </w:tc>
      </w:tr>
      <w:tr>
        <w:tc>
          <w:tcPr>
            <w:tcW w:type="dxa" w:w="4320"/>
          </w:tcPr>
          <w:p>
            <w:r>
              <w:t>Hessenmarke + Farbkalibrierung</w:t>
            </w:r>
          </w:p>
        </w:tc>
        <w:tc>
          <w:tcPr>
            <w:tcW w:type="dxa" w:w="4320"/>
          </w:tcPr>
          <w:p>
            <w:r>
              <w:t>~2 Wochen</w:t>
            </w:r>
          </w:p>
        </w:tc>
      </w:tr>
      <w:tr>
        <w:tc>
          <w:tcPr>
            <w:tcW w:type="dxa" w:w="4320"/>
          </w:tcPr>
          <w:p>
            <w:r>
              <w:t>Vollständig inkl. Schriftart</w:t>
            </w:r>
          </w:p>
        </w:tc>
        <w:tc>
          <w:tcPr>
            <w:tcW w:type="dxa" w:w="4320"/>
          </w:tcPr>
          <w:p>
            <w:r>
              <w:t>~3-4 Wochen</w:t>
            </w:r>
          </w:p>
        </w:tc>
      </w:tr>
    </w:tbl>
    <w:p/>
    <w:p>
      <w:r>
        <w:rPr>
          <w:b/>
        </w:rPr>
        <w:t xml:space="preserve">Beschleunigung durch KI: </w:t>
      </w:r>
      <w:r>
        <w:t>Mit dem aufgebauten Plugin-System kann die Umsetzung in Figma automatisiert werden. Der Aufwand reduziert sich dadurch erheblich.</w:t>
      </w:r>
    </w:p>
    <w:p>
      <w:pPr>
        <w:pStyle w:val="Heading1"/>
      </w:pPr>
      <w:r>
        <w:t>Empfehlung</w:t>
      </w:r>
    </w:p>
    <w:p>
      <w:pPr>
        <w:pStyle w:val="ListNumber"/>
      </w:pPr>
      <w:r>
        <w:t>Jetzt klären: Entscheidet das HMKB, das ila-Logo als Ausnahme beizubehalten?</w:t>
      </w:r>
    </w:p>
    <w:p>
      <w:pPr>
        <w:pStyle w:val="ListNumber"/>
      </w:pPr>
      <w:r>
        <w:t>Dann entscheiden: Bis wann soll die Umstellung abgeschlossen sein?</w:t>
      </w:r>
    </w:p>
    <w:p>
      <w:pPr>
        <w:pStyle w:val="ListNumber"/>
      </w:pPr>
      <w:r>
        <w:t>Danach umsetzen: Mit KI-Unterstützung ist eine schrittweise Anpassung realistisch.</w:t>
      </w:r>
    </w:p>
    <w:p/>
    <w:p>
      <w:r>
        <w:rPr>
          <w:b/>
        </w:rPr>
        <w:t>Die gute Nachricht: ILA muss nicht neu erfunden werden. Es braucht eine gezielte Kalibrierung — kein Redesign.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