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color w:val="1F497D"/>
          <w:sz w:val="32"/>
        </w:rPr>
        <w:t>Pilotergebnisse ila — Ausbaustufe 1</w:t>
      </w:r>
    </w:p>
    <w:p>
      <w:pPr>
        <w:spacing w:after="120"/>
      </w:pPr>
      <w:r>
        <w:rPr>
          <w:i/>
          <w:sz w:val="18"/>
        </w:rPr>
        <w:t>Zusammenfassung · Pilotlaufzeit: 01.02.–31.03.2026</w:t>
      </w:r>
    </w:p>
    <w:p/>
    <w:p>
      <w:pPr>
        <w:pStyle w:val="Heading2"/>
      </w:pPr>
      <w:r>
        <w:rPr>
          <w:color w:val="1F497D"/>
          <w:sz w:val="22"/>
        </w:rPr>
        <w:t>Was wir gemessen haben</w:t>
      </w:r>
    </w:p>
    <w:p>
      <w:pPr>
        <w:spacing w:after="120"/>
      </w:pPr>
      <w:r>
        <w:rPr>
          <w:sz w:val="20"/>
        </w:rPr>
        <w:t>133 Lehrkräfte, Schulleitungen und Verwaltungsmitarbeitende haben ila über 60 Tage genutzt. Ausgewertet wurden 15.344 Datensätze aus dem Nutzerverhalten, 32 In-App-Feedbacks sowie 19 ausgefüllte Abschlussfragebögen.</w:t>
      </w:r>
    </w:p>
    <w:p>
      <w:pPr>
        <w:pStyle w:val="Heading2"/>
      </w:pPr>
      <w:r>
        <w:rPr>
          <w:color w:val="1F497D"/>
          <w:sz w:val="22"/>
        </w:rPr>
        <w:t>Was die Daten zeigen</w:t>
      </w:r>
    </w:p>
    <w:p>
      <w:pPr>
        <w:spacing w:after="80"/>
      </w:pPr>
      <w:r>
        <w:rPr>
          <w:b/>
          <w:sz w:val="20"/>
        </w:rPr>
        <w:t xml:space="preserve">Nutzung: </w:t>
      </w:r>
      <w:r>
        <w:rPr>
          <w:sz w:val="20"/>
        </w:rPr>
        <w:t>335 Förderungen wurden angelegt, 176 Förderpläne erstellt. 82 % der Pläne entstehen direkt nach Anlage der Förderung — der Workflow funktioniert. Technische Stabilität und Bedienbarkeit werden durchgängig positiv bewertet (Ø 3,85 von 4).</w:t>
      </w:r>
    </w:p>
    <w:p>
      <w:pPr>
        <w:spacing w:after="80"/>
      </w:pPr>
      <w:r>
        <w:rPr>
          <w:b/>
          <w:sz w:val="20"/>
        </w:rPr>
        <w:t xml:space="preserve">Fachlicher Inhalt: </w:t>
      </w:r>
      <w:r>
        <w:rPr>
          <w:sz w:val="20"/>
        </w:rPr>
        <w:t>Hier liegt der größte Handlungsbedarf. Der Tiefstwert des gesamten Fragebogens: Ø 2,15 bei der Frage, ob die Förderziele ausreichen — 8 von 13 Lehrkräften verneinen das. Die eigenen Maßnahmen (235 eindeutige Texte, 140 davon mehrfach von verschiedenen Lehrkräften verwendet) sind ein direkter Hinweis auf Lücken im Katalog.</w:t>
      </w:r>
    </w:p>
    <w:p>
      <w:r>
        <w:rPr>
          <w:b/>
          <w:sz w:val="20"/>
        </w:rPr>
        <w:t>Top-3-Probleme aus dem Feedback:</w:t>
      </w:r>
    </w:p>
    <w:p>
      <w:pPr>
        <w:pStyle w:val="ListBullet"/>
        <w:spacing w:after="40"/>
      </w:pPr>
      <w:r>
        <w:rPr>
          <w:sz w:val="20"/>
        </w:rPr>
        <w:t>Unterstützer-Feld zu eingeschränkt (nur Vater/Mutter, 6 Nennungen)</w:t>
      </w:r>
    </w:p>
    <w:p>
      <w:pPr>
        <w:pStyle w:val="ListBullet"/>
        <w:spacing w:after="40"/>
      </w:pPr>
      <w:r>
        <w:rPr>
          <w:sz w:val="20"/>
        </w:rPr>
        <w:t>Maßnahmen zu unkonkret und lückenhaft — wirken wie Ziele, nicht wie Handlungsschritte (8 Nennungen)</w:t>
      </w:r>
    </w:p>
    <w:p>
      <w:pPr>
        <w:pStyle w:val="ListBullet"/>
        <w:spacing w:after="40"/>
      </w:pPr>
      <w:r>
        <w:rPr>
          <w:sz w:val="20"/>
        </w:rPr>
        <w:t>Keine Bearbeitungsmöglichkeit nach dem Speichern</w:t>
      </w:r>
    </w:p>
    <w:p>
      <w:pPr>
        <w:pStyle w:val="Heading2"/>
      </w:pPr>
      <w:r>
        <w:rPr>
          <w:color w:val="1F497D"/>
          <w:sz w:val="22"/>
        </w:rPr>
        <w:t>Fazit</w:t>
      </w:r>
    </w:p>
    <w:p>
      <w:pPr>
        <w:spacing w:after="120"/>
      </w:pPr>
      <w:r>
        <w:rPr>
          <w:sz w:val="20"/>
        </w:rPr>
        <w:t>ila trifft einen echten Bedarf — und die Schulen wollen tiefer gehen. Die Bereitschaft, Förderprozesse digital abzubilden, ist da. Was die Schulen jetzt einfordern: konkretere Maßnahmen, mehr Förderbereiche, mehr Funktionen rund um den Förderplan. Die Grundlage ist solide. Der nächste Schritt ist inhaltliche Stärke.</w:t>
      </w:r>
    </w:p>
    <w:p>
      <w:pPr>
        <w:pStyle w:val="Heading2"/>
      </w:pPr>
      <w:r>
        <w:rPr>
          <w:color w:val="1F497D"/>
          <w:sz w:val="22"/>
        </w:rPr>
        <w:t>Was das für die Roadmap bedeutet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  <w:t>Priorität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  <w:t>Maßnahme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Hoch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Maßnahmenkatalog überarbeiten (Lücken aus Pilotnachweisen schließen)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Hoch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Bearbeitbarkeit nach Speichern ermöglichen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Hoch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Unterstützer-Feld erweitern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Förderbereiche und Anlässe ergänzen (LRS, DaZ, AD(H)S, Vorklasse)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Förderplan-Layout verbessern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Ausbaustufe 2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Kollegialer Austausch, Dokumentenablage, Kalender/Erinnerung</w:t>
            </w:r>
          </w:p>
        </w:tc>
      </w:tr>
    </w:tbl>
    <w:p/>
    <w:p>
      <w:r>
        <w:rPr>
          <w:i/>
          <w:sz w:val="16"/>
        </w:rPr>
        <w:t>Vollständiger Bericht: pilot-ergebnisse/Pilotauswertung_Gesamtbericht_20260410.md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