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Einführung von ila an hessischen Grundschulen: Rollout, Kommunikation und Support</w:t>
      </w:r>
    </w:p>
    <w:p/>
    <w:p>
      <w:pPr>
        <w:pStyle w:val="Heading2"/>
      </w:pPr>
      <w:r>
        <w:t>1. Ziel und Zweck des Dokuments</w:t>
      </w:r>
    </w:p>
    <w:p/>
    <w:p>
      <w:r>
        <w:t>Anliegen dieses Dokuments ist die Erfassung der relevanten Informationen zum geplanten Rollout der Anwendung ila (individuelles Lernen für Alle) an hessischen Grundschulen sowie die Beschreibung aller für ein optimales Gelingen notwendigen Maßnahmen. Dazu gehören zum Beispiel eine gesteuerte Kommunikation im Vorfeld sowie die Sicherstellung von Supportstrukturen.</w:t>
      </w:r>
    </w:p>
    <w:p/>
    <w:p>
      <w:r>
        <w:t>Hierfür wird das Rollout-Konzept mit den zugehörigen Kommunikations- und Supportaspekten gemeinsam gedacht. Es beschreibt den angestrebten Livegang, die dafür notwendigen Voraussetzungen sowie die begleitenden Maßnahmen für Information, Befähigung und Unterstützung der Nutzergruppen.</w:t>
      </w:r>
    </w:p>
    <w:p/>
    <w:p>
      <w:pPr>
        <w:pStyle w:val="Heading2"/>
      </w:pPr>
      <w:r>
        <w:t>2. Ausgangslage und Zielbild</w:t>
      </w:r>
    </w:p>
    <w:p/>
    <w:p>
      <w:r>
        <w:t>Der Livegang dieser ersten offiziellen Ausbaustufe ist aktuell mit Release 61 in der ersten Märzhälfte 2027 vorgesehen.</w:t>
      </w:r>
    </w:p>
    <w:p/>
    <w:p>
      <w:r>
        <w:t>Anspruch ist die Bereitstellung einer digitalen Lösung, über die Grundschulen die zentralen Prozesse der individuellen Förderung abbilden können. Die anvisierte Nutzergruppe soll in die Lage versetzt werden, die derzeit papierbasierten administrativen und dokumentatorischen Prozesse über ila abzubilden. Dies gilt insbesondere für die Erstellung und Bearbeitung des Förderplans.</w:t>
      </w:r>
    </w:p>
    <w:p/>
    <w:p>
      <w:r>
        <w:t>Ziel ist ein Rollout, bei dem die Anwendung technisch erreichbar, fachlich nutzbar und organisatorisch begleitet ist. Kommunikation, Befähigung und Support sind dabei keine nachgelagerten Themen, sondern Voraussetzungen für einen tragfähigen Übergang in den Regelbetrieb.</w:t>
      </w:r>
    </w:p>
    <w:p/>
    <w:p>
      <w:pPr>
        <w:pStyle w:val="Heading2"/>
      </w:pPr>
      <w:r>
        <w:t>3. Zielgruppen</w:t>
      </w:r>
    </w:p>
    <w:p>
      <w:pPr>
        <w:pStyle w:val="Heading3"/>
      </w:pPr>
      <w:r>
        <w:t>3.1 Direkte Nutzergruppen</w:t>
      </w:r>
    </w:p>
    <w:p>
      <w:pPr>
        <w:pStyle w:val="ListBullet"/>
      </w:pPr>
      <w:r>
        <w:t>Schulleitungen</w:t>
      </w:r>
    </w:p>
    <w:p>
      <w:pPr>
        <w:pStyle w:val="ListBullet"/>
      </w:pPr>
      <w:r>
        <w:t>Klassen- und Kurslehrkräfte</w:t>
      </w:r>
    </w:p>
    <w:p/>
    <w:p>
      <w:pPr>
        <w:pStyle w:val="Heading3"/>
      </w:pPr>
      <w:r>
        <w:t>3.2 Indirekt betroffene Gruppen</w:t>
      </w:r>
    </w:p>
    <w:p>
      <w:pPr>
        <w:pStyle w:val="ListBullet"/>
      </w:pPr>
      <w:r>
        <w:t>HPRLL (Hauptpersonalrat Lehrerinnen und Lehrer)</w:t>
      </w:r>
    </w:p>
    <w:p>
      <w:pPr>
        <w:pStyle w:val="ListBullet"/>
      </w:pPr>
      <w:r>
        <w:t>HBDI (Hessischer Beauftragter für Datenschutz und Informationsfreiheit)</w:t>
      </w:r>
    </w:p>
    <w:p>
      <w:pPr>
        <w:pStyle w:val="ListBullet"/>
      </w:pPr>
      <w:r>
        <w:t>LBIT (Landesbeauftragte für barrierefreie IT)</w:t>
      </w:r>
    </w:p>
    <w:p>
      <w:pPr>
        <w:pStyle w:val="ListBullet"/>
      </w:pPr>
      <w:r>
        <w:t>SSA (Schulämter)</w:t>
      </w:r>
    </w:p>
    <w:p>
      <w:pPr>
        <w:pStyle w:val="ListBullet"/>
      </w:pPr>
      <w:r>
        <w:t>Abteilung Z HMKB</w:t>
      </w:r>
    </w:p>
    <w:p>
      <w:pPr>
        <w:pStyle w:val="ListBullet"/>
      </w:pPr>
      <w:r>
        <w:t>Abteilung 3 HMKB</w:t>
      </w:r>
    </w:p>
    <w:p>
      <w:pPr>
        <w:pStyle w:val="ListBullet"/>
      </w:pPr>
      <w:r>
        <w:t>Hessische Zentrale für Datenverarbeitung (Betrieb und Rollout)</w:t>
      </w:r>
    </w:p>
    <w:p/>
    <w:p>
      <w:pPr>
        <w:pStyle w:val="Heading2"/>
      </w:pPr>
      <w:r>
        <w:t>4. Umfang des Rollouts</w:t>
      </w:r>
    </w:p>
    <w:p>
      <w:r>
        <w:t>Die geplante Ausbaustufe umfasst die digitale Erstellung und Bearbeitung von Förderungen auf Basis der folgenden Anwendungsfälle:</w:t>
      </w:r>
    </w:p>
    <w:p/>
    <w:p>
      <w:pPr>
        <w:pStyle w:val="ListBullet"/>
      </w:pPr>
      <w:r>
        <w:t>Individuelle Förderung in den Bereichen Mathe, Deutsch und überfachliche Kompetenzen</w:t>
      </w:r>
    </w:p>
    <w:p>
      <w:pPr>
        <w:pStyle w:val="ListBullet"/>
      </w:pPr>
      <w:r>
        <w:t>Besondere Schwierigkeiten beim Lesen, Rechtschreiben und Rechnen (BSLRR)</w:t>
      </w:r>
    </w:p>
    <w:p>
      <w:pPr>
        <w:pStyle w:val="ListBullet"/>
      </w:pPr>
      <w:r>
        <w:t>Beauftragung und Durchführung einer Vorbeugenden Maßnahme (VM) (Beratung und Förderung)</w:t>
      </w:r>
    </w:p>
    <w:p/>
    <w:p>
      <w:r>
        <w:t>Zu allen Förderprozessen gehören neben den jeweiligen Spezifika:</w:t>
      </w:r>
    </w:p>
    <w:p>
      <w:pPr>
        <w:pStyle w:val="ListBullet"/>
      </w:pPr>
      <w:r>
        <w:t>Erfassung der Lernausgangslage auf Basis der stufenspezifischen Kompetenzen des hessischen Bildungsstandards</w:t>
      </w:r>
    </w:p>
    <w:p>
      <w:pPr>
        <w:pStyle w:val="ListBullet"/>
      </w:pPr>
      <w:r>
        <w:t>Erfassung der individuellen Stärken des Kindes</w:t>
      </w:r>
    </w:p>
    <w:p>
      <w:pPr>
        <w:pStyle w:val="ListBullet"/>
      </w:pPr>
      <w:r>
        <w:t>Erfassung förderrelevanter Informationen</w:t>
      </w:r>
    </w:p>
    <w:p>
      <w:pPr>
        <w:pStyle w:val="ListBullet"/>
      </w:pPr>
      <w:r>
        <w:t>Bestimmung von Förderzielen und entsprechenden Maßnahmen</w:t>
      </w:r>
    </w:p>
    <w:p>
      <w:pPr>
        <w:pStyle w:val="ListBullet"/>
      </w:pPr>
      <w:r>
        <w:t>Evaluation von Förderzielen</w:t>
      </w:r>
    </w:p>
    <w:p>
      <w:pPr>
        <w:pStyle w:val="ListBullet"/>
      </w:pPr>
      <w:r>
        <w:t>Erstellung und Bearbeitung eines Förderplans inklusive der fallabhängigen Anforderungen im Hinblick auf Beschlüsse (Klassenkonferenz) und Kenntnisnahme bzw. Einwilligung (Eltern)</w:t>
      </w:r>
    </w:p>
    <w:p/>
    <w:p>
      <w:r>
        <w:t>An übergreifenden Funktionen sind vorgesehen:</w:t>
      </w:r>
    </w:p>
    <w:p>
      <w:pPr>
        <w:pStyle w:val="ListBullet"/>
      </w:pPr>
      <w:r>
        <w:t>ein basales Dokumentenmanagementsystem (DMS)</w:t>
      </w:r>
    </w:p>
    <w:p>
      <w:pPr>
        <w:pStyle w:val="ListBullet"/>
      </w:pPr>
      <w:r>
        <w:t>eine Kommunikationsfunktion</w:t>
      </w:r>
    </w:p>
    <w:p/>
    <w:p>
      <w:pPr>
        <w:pStyle w:val="Heading2"/>
      </w:pPr>
      <w:r>
        <w:t>5. Rollout-Strategie</w:t>
      </w:r>
    </w:p>
    <w:p>
      <w:r>
        <w:t>Der Rollout erfolgt flächendeckend, beschränkt sich zunächst jedoch auf die reinen Grundschulen.</w:t>
      </w:r>
    </w:p>
    <w:p/>
    <w:p>
      <w:pPr>
        <w:pStyle w:val="Heading2"/>
      </w:pPr>
      <w:r>
        <w:t>6. Voraussetzungen für den Livegang</w:t>
      </w:r>
    </w:p>
    <w:p>
      <w:pPr>
        <w:pStyle w:val="Heading3"/>
      </w:pPr>
      <w:r>
        <w:t>6.1 Technische Voraussetzungen</w:t>
      </w:r>
    </w:p>
    <w:p>
      <w:pPr>
        <w:pStyle w:val="ListBullet"/>
      </w:pPr>
      <w:r>
        <w:t>Einsatz von Keycloak zur Autorisierung</w:t>
      </w:r>
    </w:p>
    <w:p>
      <w:pPr>
        <w:pStyle w:val="ListBullet"/>
      </w:pPr>
      <w:r>
        <w:t>Einsatz von agorum core für das Dokumentenmanagementsystem</w:t>
      </w:r>
    </w:p>
    <w:p>
      <w:pPr>
        <w:pStyle w:val="ListBullet"/>
      </w:pPr>
      <w:r>
        <w:t>automatisierte Bereitstellung des Zugangs für Berechtigte über die Schul-ID als eigene Zugangskachel</w:t>
      </w:r>
    </w:p>
    <w:p/>
    <w:p>
      <w:pPr>
        <w:pStyle w:val="Heading3"/>
      </w:pPr>
      <w:r>
        <w:t>6.2 Organisatorische Voraussetzungen</w:t>
      </w:r>
    </w:p>
    <w:p>
      <w:pPr>
        <w:pStyle w:val="ListBullet"/>
      </w:pPr>
      <w:r>
        <w:t>Support muss frühzeitig in Zusammenarbeit mit der HZD beauftragt und sichergestellt werden</w:t>
      </w:r>
    </w:p>
    <w:p>
      <w:pPr>
        <w:pStyle w:val="ListBullet"/>
      </w:pPr>
      <w:r>
        <w:t>interne Ressourcen für den 2nd und 3rd Level Support müssen bereitstehen</w:t>
      </w:r>
    </w:p>
    <w:p>
      <w:pPr>
        <w:pStyle w:val="ListBullet"/>
      </w:pPr>
      <w:r>
        <w:t>eine interne Feedbackfunktion muss vorgesehen werden</w:t>
      </w:r>
    </w:p>
    <w:p/>
    <w:p>
      <w:pPr>
        <w:pStyle w:val="Heading2"/>
      </w:pPr>
      <w:r>
        <w:t>7. Kommunikation zum Rollout</w:t>
      </w:r>
    </w:p>
    <w:p/>
    <w:p>
      <w:pPr>
        <w:pStyle w:val="Heading3"/>
      </w:pPr>
      <w:r>
        <w:t>7.1 Ziele der Kommunikation</w:t>
      </w:r>
    </w:p>
    <w:p>
      <w:r>
        <w:t>Die Kommunikation zum Rollout soll direkte Nutzergruppen, insbesondere Lehrkräfte und Schulleitungen, frühzeitig über Nutzen, Zugang und Nutzung der Anwendung informieren. Sie soll Akzeptanz fördern und zugleich ein realistisches Erwartungsmanagement unterstützen.</w:t>
      </w:r>
    </w:p>
    <w:p/>
    <w:p>
      <w:r>
        <w:t>Für die indirekt betroffenen Gruppen, insbesondere das eigene Haus und nachgeordnete Behörden, soll Transparenz über Umfang, Ziel und Zeitpunkt des Rollouts hergestellt werden. Gleichzeitig soll die Kommunikation dazu beitragen, notwendige Unterstützung zu sichern und unterschiedliche Anforderungen der beteiligten Stakeholder frühzeitig sichtbar zu machen.</w:t>
      </w:r>
    </w:p>
    <w:p/>
    <w:p>
      <w:pPr>
        <w:pStyle w:val="Heading3"/>
      </w:pPr>
      <w:r>
        <w:t>7.2 Formate und Kanäle</w:t>
      </w:r>
    </w:p>
    <w:p>
      <w:r>
        <w:t>Für die direkten Nutzer werden folgende Maßnahmen vorgeschlagen:</w:t>
      </w:r>
    </w:p>
    <w:p/>
    <w:p>
      <w:pPr>
        <w:pStyle w:val="ListBullet"/>
      </w:pPr>
      <w:r>
        <w:t>Umfrage im Frühherbst, die fachliche Partizipation mit der Adressierung des Rollouts verbindet</w:t>
      </w:r>
    </w:p>
    <w:p>
      <w:pPr>
        <w:pStyle w:val="ListBullet"/>
      </w:pPr>
      <w:r>
        <w:t>Inforeihe analog zu den erfolgreichen Veranstaltungen im Rahmen der Pilotierung im Januar und Februar 2027</w:t>
      </w:r>
    </w:p>
    <w:p>
      <w:pPr>
        <w:pStyle w:val="ListBullet"/>
      </w:pPr>
      <w:r>
        <w:t>Kommunikation über die referatsinternen Kanäle zwischen Dezember 2026 und Februar 2027</w:t>
      </w:r>
    </w:p>
    <w:p>
      <w:pPr>
        <w:pStyle w:val="ListBullet"/>
      </w:pPr>
      <w:r>
        <w:t>Bereitstellung einer angepassten „Mach-Mit-Kachel“ mit Projektinformationen, Hinweis auf den Rollout sowie Kontaktmöglichkeit</w:t>
      </w:r>
    </w:p>
    <w:p/>
    <w:p>
      <w:pPr>
        <w:pStyle w:val="Heading3"/>
      </w:pPr>
      <w:r>
        <w:t>7.3 Zeitliche Taktung</w:t>
      </w:r>
    </w:p>
    <w:p>
      <w:pPr>
        <w:pStyle w:val="ListBullet"/>
      </w:pPr>
      <w:r>
        <w:t>frühzeitige Adressierung des Rollouts im Frühherbst 2026</w:t>
      </w:r>
    </w:p>
    <w:p>
      <w:pPr>
        <w:pStyle w:val="ListBullet"/>
      </w:pPr>
      <w:r>
        <w:t>verdichtete Kommunikation in der Vorbereitungsphase zwischen Dezember 2026 und Februar 2027</w:t>
      </w:r>
    </w:p>
    <w:p>
      <w:pPr>
        <w:pStyle w:val="ListBullet"/>
      </w:pPr>
      <w:r>
        <w:t>begleitende Kommunikation zum Livegang sowie in der ersten Stabilisierungsphase</w:t>
      </w:r>
    </w:p>
    <w:p/>
    <w:p>
      <w:pPr>
        <w:pStyle w:val="Heading2"/>
      </w:pPr>
      <w:r>
        <w:t>8. Support zum Rollout und im Übergang in den Regelbetrieb</w:t>
      </w:r>
    </w:p>
    <w:p>
      <w:pPr>
        <w:pStyle w:val="Heading3"/>
      </w:pPr>
      <w:r>
        <w:t>8.1 Zielbild des Supports</w:t>
      </w:r>
    </w:p>
    <w:p>
      <w:pPr>
        <w:pStyle w:val="ListBullet"/>
      </w:pPr>
      <w:r>
        <w:t>Zum Rollout muss eine verlässliche Unterstützungsstruktur vorhanden sein.</w:t>
      </w:r>
    </w:p>
    <w:p>
      <w:pPr>
        <w:pStyle w:val="ListBullet"/>
      </w:pPr>
      <w:r>
        <w:t>Der Übergang vom Rollout in den Regelbetrieb muss klar geregelt werden.</w:t>
      </w:r>
    </w:p>
    <w:p/>
    <w:p>
      <w:pPr>
        <w:pStyle w:val="Heading3"/>
      </w:pPr>
      <w:r>
        <w:t>8.2 Support-Struktur</w:t>
      </w:r>
    </w:p>
    <w:p>
      <w:r>
        <w:rPr>
          <w:b/>
        </w:rPr>
        <w:t>1st Level Support: Erste Anlaufstelle für Anwender</w:t>
      </w:r>
    </w:p>
    <w:p/>
    <w:p>
      <w:r>
        <w:t>Ein Vorteil für den Rollout besteht darin, dass für alle anmeldungsrelevanten Themen bereits ein Support etabliert ist (Schul-ID). Klärungsbedürftig ist, welche darüber hinausgehenden Leistungen über die HZD angeboten werden müssen, da jenseits der Anmeldung vor allem fachliche Fragen und technische Ausfälle zu erwarten sind, die nicht über den bestehenden Anmeldesupport abgedeckt werden.</w:t>
      </w:r>
    </w:p>
    <w:p/>
    <w:p>
      <w:r>
        <w:t>Offene Fragen:</w:t>
      </w:r>
    </w:p>
    <w:p>
      <w:pPr>
        <w:pStyle w:val="ListBullet"/>
      </w:pPr>
      <w:r>
        <w:t>Welchen Input (WDB) muss das HMKB-Team liefern?</w:t>
      </w:r>
    </w:p>
    <w:p>
      <w:pPr>
        <w:pStyle w:val="ListBullet"/>
      </w:pPr>
      <w:r>
        <w:t>Sind die Routingtouren geklärt?</w:t>
      </w:r>
    </w:p>
    <w:p/>
    <w:p>
      <w:r>
        <w:rPr>
          <w:b/>
        </w:rPr>
        <w:t>2nd Level Support: interne fachliche oder organisatorische Zuständigkeit</w:t>
      </w:r>
    </w:p>
    <w:p/>
    <w:p>
      <w:r>
        <w:t>Der 2nd Level Support wird über das Projektteam erfolgen. Auf Basis der Erkenntnisse aus dem Piloten wird dabei aktuell nicht von einem außergewöhnlich hohen zusätzlichen Ressourcenaufwand ausgegangen.</w:t>
      </w:r>
    </w:p>
    <w:p/>
    <w:p>
      <w:r>
        <w:rPr>
          <w:b/>
        </w:rPr>
        <w:t>3rd Level Support: technische Bearbeitung und Fehlerbehebung</w:t>
      </w:r>
    </w:p>
    <w:p/>
    <w:p>
      <w:r>
        <w:t>Für technische Störungen und Fehlerbehebungen greifen die etablierten Routingstrukturen.</w:t>
      </w:r>
    </w:p>
    <w:p/>
    <w:p>
      <w:pPr>
        <w:pStyle w:val="Heading3"/>
      </w:pPr>
      <w:r>
        <w:t>8.3 Support-Kanäle und Erreichbarkeit</w:t>
      </w:r>
    </w:p>
    <w:p>
      <w:pPr>
        <w:pStyle w:val="ListBullet"/>
      </w:pPr>
      <w:r>
        <w:t>Es werden die Kontaktdaten des 1st Level Supports bereitgestellt.</w:t>
      </w:r>
    </w:p>
    <w:p>
      <w:pPr>
        <w:pStyle w:val="ListBullet"/>
      </w:pPr>
      <w:r>
        <w:t>Über die Anwendung (Feedbackfunktion) kann direkt Kontakt aufgenommen werden.</w:t>
      </w:r>
    </w:p>
    <w:p/>
    <w:p>
      <w:pPr>
        <w:pStyle w:val="Heading3"/>
      </w:pPr>
      <w:r>
        <w:t>8.4 Umgang mit direkten Rückmeldungen / integriertes Feedbackangebot</w:t>
      </w:r>
    </w:p>
    <w:p>
      <w:pPr>
        <w:pStyle w:val="ListBullet"/>
      </w:pPr>
      <w:r>
        <w:t>Rückmeldungen aus dem Rollout sollen strukturiert aufgenommen und für die Nachsteuerung nutzbar gemacht werden.</w:t>
      </w:r>
    </w:p>
    <w:p>
      <w:pPr>
        <w:pStyle w:val="ListBullet"/>
      </w:pPr>
      <w:r>
        <w:t>Hierfür soll die integrierte Feedbackfunktion überarbeitet werden.</w:t>
      </w:r>
    </w:p>
    <w:p>
      <w:pPr>
        <w:pStyle w:val="ListBullet"/>
      </w:pPr>
      <w:r>
        <w:t>Außerdem soll das Nutzerverhalten anonymisiert ausgewertet werden.</w:t>
      </w:r>
    </w:p>
    <w:p/>
    <w:p>
      <w:pPr>
        <w:pStyle w:val="Heading2"/>
      </w:pPr>
      <w:r>
        <w:t>9. Risiken, Abhängigkeiten und Maßnahmen zur Absicherung</w:t>
      </w:r>
    </w:p>
    <w:p>
      <w:pPr>
        <w:pStyle w:val="ListBullet"/>
      </w:pPr>
      <w:r>
        <w:t>einzelne technische oder organisatorische Voraussetzungen stehen möglicherweise nicht rechtzeitig oder nicht vollständig zur Verfügung; offene Punkte müssen deshalb vor dem Livegang transparent benannt und priorisiert werden</w:t>
      </w:r>
    </w:p>
    <w:p>
      <w:pPr>
        <w:pStyle w:val="ListBullet"/>
      </w:pPr>
      <w:r>
        <w:t>der Rollout ist von angebundenen Komponenten und beteiligten Stellen abhängig; daraus resultierende Abhängigkeiten müssen frühzeitig geklärt und eng begleitet werden</w:t>
      </w:r>
    </w:p>
    <w:p>
      <w:pPr>
        <w:pStyle w:val="ListBullet"/>
      </w:pPr>
      <w:r>
        <w:t>die Abgrenzung zwischen bestehendem Anmeldesupport und weitergehendem fachlichen oder technischen Support ist aktuell noch nicht ausreichend geklärt; Supportwege und Zuständigkeiten müssen daher vor dem Rollout verbindlich festgelegt werden</w:t>
      </w:r>
    </w:p>
    <w:p>
      <w:pPr>
        <w:pStyle w:val="ListBullet"/>
      </w:pPr>
      <w:r>
        <w:t>es besteht das Risiko, dass Kommunikation, Befähigung und Support nicht mit derselben Verbindlichkeit vorbereitet werden wie die technische Bereitstellung; Kommunikationsmaßnahmen und Rückmeldewege müssen deshalb rechtzeitig terminiert, vorbereitet und ausgewertet werden</w:t>
      </w:r>
    </w:p>
    <w:p/>
    <w:p>
      <w:pPr>
        <w:pStyle w:val="Heading2"/>
      </w:pPr>
      <w:r>
        <w:t>10. Erfolgskriterien</w:t>
      </w:r>
    </w:p>
    <w:p>
      <w:pPr>
        <w:pStyle w:val="ListBullet"/>
      </w:pPr>
      <w:r>
        <w:t>Die Anwendung ist für die vorgesehenen Nutzergruppen technisch erreichbar und nutzbar.</w:t>
      </w:r>
    </w:p>
    <w:p>
      <w:pPr>
        <w:pStyle w:val="ListBullet"/>
      </w:pPr>
      <w:r>
        <w:t>Anmeldung und Zugang funktionieren stabil.</w:t>
      </w:r>
    </w:p>
    <w:p>
      <w:pPr>
        <w:pStyle w:val="ListBullet"/>
      </w:pPr>
      <w:r>
        <w:t>Förderpläne können im vorgesehenen Umfang erstellt und bearbeitet werden.</w:t>
      </w:r>
    </w:p>
    <w:p>
      <w:pPr>
        <w:pStyle w:val="ListBullet"/>
      </w:pPr>
      <w:r>
        <w:t>Supportanfragen können in den vorgesehenen Strukturen bearbeitet werden.</w:t>
      </w:r>
    </w:p>
    <w:p>
      <w:pPr>
        <w:pStyle w:val="ListBullet"/>
      </w:pPr>
      <w:r>
        <w:t>Rückmeldungen aus der Anfangsphase werden strukturiert aufgenommen und für die Nachsteuerung genutzt.</w:t>
      </w:r>
    </w:p>
    <w:p/>
    <w:p>
      <w:pPr>
        <w:pStyle w:val="Heading2"/>
      </w:pPr>
      <w:r>
        <w:t>11. Offene Punkte und nächste Schritte</w:t>
      </w:r>
    </w:p>
    <w:p>
      <w:pPr>
        <w:pStyle w:val="ListBullet"/>
      </w:pPr>
      <w:r>
        <w:t>genaue Ausgestaltung des 1st Level Supports jenseits der Schul-ID-bezogenen Anmeldung klären</w:t>
      </w:r>
    </w:p>
    <w:p>
      <w:pPr>
        <w:pStyle w:val="ListBullet"/>
      </w:pPr>
      <w:r>
        <w:t>Routingwege zwischen HZD, Projektteam und technischer Bearbeitung abstimmen</w:t>
      </w:r>
    </w:p>
    <w:p>
      <w:pPr>
        <w:pStyle w:val="ListBullet"/>
      </w:pPr>
      <w:r>
        <w:t>Kommunikationskanäle für die Schulen konkret festlegen</w:t>
      </w:r>
    </w:p>
    <w:p>
      <w:pPr>
        <w:pStyle w:val="ListBullet"/>
      </w:pPr>
      <w:r>
        <w:t>Umfang und Form der Befähigungsangebote für die Nutzergruppen definieren</w:t>
      </w:r>
    </w:p>
    <w:p>
      <w:pPr>
        <w:pStyle w:val="ListBullet"/>
      </w:pPr>
      <w:r>
        <w:t>integrierte Feedbackfunktion weiterentwickeln und Rückmeldewege festlegen</w:t>
      </w:r>
    </w:p>
    <w:p>
      <w:pPr>
        <w:pStyle w:val="ListBullet"/>
      </w:pPr>
      <w:r>
        <w:t>offene technische und organisatorische Voraussetzungen priorisieren und abschließend bewerten</w:t>
      </w:r>
    </w:p>
    <w:p>
      <w:pPr>
        <w:pStyle w:val="ListBullet"/>
      </w:pPr>
      <w:r>
        <w:t>Kommunikationsmaßnahmen konkretisieren, terminieren und vorbereiten</w:t>
      </w:r>
    </w:p>
    <w:p>
      <w:pPr>
        <w:pStyle w:val="ListBullet"/>
      </w:pPr>
      <w:r>
        <w:t>Supportstruktur einschließlich Zuständigkeiten und Routing final abstimmen</w:t>
      </w:r>
    </w:p>
    <w:p>
      <w:pPr>
        <w:pStyle w:val="ListBullet"/>
      </w:pPr>
      <w:r>
        <w:t>Dokument nach weiterer Befüllung final abstimmen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