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B6118" w14:textId="77777777" w:rsidR="00CA5509" w:rsidRPr="00CA5509" w:rsidRDefault="00CA5509" w:rsidP="00CA5509">
      <w:pPr>
        <w:rPr>
          <w:b/>
          <w:bCs/>
        </w:rPr>
      </w:pPr>
      <w:r w:rsidRPr="00CA5509">
        <w:rPr>
          <w:b/>
          <w:bCs/>
        </w:rPr>
        <w:t>Title Page</w:t>
      </w:r>
    </w:p>
    <w:p w14:paraId="2298BDCC" w14:textId="77777777" w:rsidR="00CA5509" w:rsidRPr="00CA5509" w:rsidRDefault="00CA5509" w:rsidP="00CA5509">
      <w:r w:rsidRPr="00CA5509">
        <w:rPr>
          <w:b/>
          <w:bCs/>
        </w:rPr>
        <w:t>Title:</w:t>
      </w:r>
      <w:r w:rsidRPr="00CA5509">
        <w:t xml:space="preserve"> 2025 Academic Performance Report</w:t>
      </w:r>
      <w:r w:rsidRPr="00CA5509">
        <w:br/>
      </w:r>
      <w:r w:rsidRPr="00CA5509">
        <w:rPr>
          <w:b/>
          <w:bCs/>
        </w:rPr>
        <w:t>Author:</w:t>
      </w:r>
      <w:r w:rsidRPr="00CA5509">
        <w:t xml:space="preserve"> Alex Johnson</w:t>
      </w:r>
      <w:r w:rsidRPr="00CA5509">
        <w:br/>
      </w:r>
      <w:r w:rsidRPr="00CA5509">
        <w:rPr>
          <w:b/>
          <w:bCs/>
        </w:rPr>
        <w:t>Class and Section:</w:t>
      </w:r>
      <w:r w:rsidRPr="00CA5509">
        <w:t xml:space="preserve"> 10th Grade, Section B</w:t>
      </w:r>
      <w:r w:rsidRPr="00CA5509">
        <w:br/>
      </w:r>
      <w:r w:rsidRPr="00CA5509">
        <w:rPr>
          <w:b/>
          <w:bCs/>
        </w:rPr>
        <w:t>Date of Submission:</w:t>
      </w:r>
      <w:r w:rsidRPr="00CA5509">
        <w:t xml:space="preserve"> January 15, 2025</w:t>
      </w:r>
    </w:p>
    <w:p w14:paraId="58B5FA1F" w14:textId="77777777" w:rsidR="00CA5509" w:rsidRPr="00CA5509" w:rsidRDefault="00CA5509" w:rsidP="00CA5509">
      <w:r w:rsidRPr="00CA5509">
        <w:pict w14:anchorId="509DF9DE">
          <v:rect id="_x0000_i1073" style="width:0;height:1.5pt" o:hralign="center" o:hrstd="t" o:hr="t" fillcolor="#a0a0a0" stroked="f"/>
        </w:pict>
      </w:r>
    </w:p>
    <w:p w14:paraId="58496E3F" w14:textId="77777777" w:rsidR="00CA5509" w:rsidRPr="00CA5509" w:rsidRDefault="00CA5509" w:rsidP="00CA5509">
      <w:pPr>
        <w:rPr>
          <w:b/>
          <w:bCs/>
        </w:rPr>
      </w:pPr>
      <w:r w:rsidRPr="00CA5509">
        <w:rPr>
          <w:b/>
          <w:bCs/>
        </w:rPr>
        <w:t>Table of Contents</w:t>
      </w:r>
    </w:p>
    <w:p w14:paraId="141751D0" w14:textId="77777777" w:rsidR="00CA5509" w:rsidRPr="00CA5509" w:rsidRDefault="00CA5509" w:rsidP="00CA5509">
      <w:pPr>
        <w:numPr>
          <w:ilvl w:val="0"/>
          <w:numId w:val="1"/>
        </w:numPr>
      </w:pPr>
      <w:r w:rsidRPr="00CA5509">
        <w:t>Executive Summary</w:t>
      </w:r>
    </w:p>
    <w:p w14:paraId="5DAA53C1" w14:textId="77777777" w:rsidR="00CA5509" w:rsidRPr="00CA5509" w:rsidRDefault="00CA5509" w:rsidP="00CA5509">
      <w:pPr>
        <w:numPr>
          <w:ilvl w:val="0"/>
          <w:numId w:val="1"/>
        </w:numPr>
      </w:pPr>
      <w:r w:rsidRPr="00CA5509">
        <w:t>Introduction</w:t>
      </w:r>
    </w:p>
    <w:p w14:paraId="6A5BFFFB" w14:textId="77777777" w:rsidR="00CA5509" w:rsidRPr="00CA5509" w:rsidRDefault="00CA5509" w:rsidP="00CA5509">
      <w:pPr>
        <w:numPr>
          <w:ilvl w:val="0"/>
          <w:numId w:val="1"/>
        </w:numPr>
      </w:pPr>
      <w:r w:rsidRPr="00CA5509">
        <w:t>Methodology</w:t>
      </w:r>
    </w:p>
    <w:p w14:paraId="66783D76" w14:textId="77777777" w:rsidR="00CA5509" w:rsidRPr="00CA5509" w:rsidRDefault="00CA5509" w:rsidP="00CA5509">
      <w:pPr>
        <w:numPr>
          <w:ilvl w:val="0"/>
          <w:numId w:val="1"/>
        </w:numPr>
      </w:pPr>
      <w:r w:rsidRPr="00CA5509">
        <w:t>Findings and Analysis</w:t>
      </w:r>
    </w:p>
    <w:p w14:paraId="2DDACCAF" w14:textId="77777777" w:rsidR="00CA5509" w:rsidRPr="00CA5509" w:rsidRDefault="00CA5509" w:rsidP="00CA5509">
      <w:pPr>
        <w:numPr>
          <w:ilvl w:val="0"/>
          <w:numId w:val="1"/>
        </w:numPr>
      </w:pPr>
      <w:r w:rsidRPr="00CA5509">
        <w:t>Conclusion and Recommendations</w:t>
      </w:r>
    </w:p>
    <w:p w14:paraId="3DEB0FDE" w14:textId="77777777" w:rsidR="00CA5509" w:rsidRPr="00CA5509" w:rsidRDefault="00CA5509" w:rsidP="00CA5509">
      <w:pPr>
        <w:numPr>
          <w:ilvl w:val="0"/>
          <w:numId w:val="1"/>
        </w:numPr>
      </w:pPr>
      <w:r w:rsidRPr="00CA5509">
        <w:t>References</w:t>
      </w:r>
    </w:p>
    <w:p w14:paraId="7DCC9D9F" w14:textId="77777777" w:rsidR="00CA5509" w:rsidRPr="00CA5509" w:rsidRDefault="00CA5509" w:rsidP="00CA5509">
      <w:pPr>
        <w:numPr>
          <w:ilvl w:val="0"/>
          <w:numId w:val="1"/>
        </w:numPr>
      </w:pPr>
      <w:r w:rsidRPr="00CA5509">
        <w:t>Appendices</w:t>
      </w:r>
    </w:p>
    <w:p w14:paraId="2DC7E522" w14:textId="77777777" w:rsidR="00CA5509" w:rsidRPr="00CA5509" w:rsidRDefault="00CA5509" w:rsidP="00CA5509">
      <w:r w:rsidRPr="00CA5509">
        <w:pict w14:anchorId="5787A578">
          <v:rect id="_x0000_i1074" style="width:0;height:1.5pt" o:hralign="center" o:hrstd="t" o:hr="t" fillcolor="#a0a0a0" stroked="f"/>
        </w:pict>
      </w:r>
    </w:p>
    <w:p w14:paraId="68AE134E" w14:textId="77777777" w:rsidR="00CA5509" w:rsidRPr="00CA5509" w:rsidRDefault="00CA5509" w:rsidP="00CA5509">
      <w:pPr>
        <w:rPr>
          <w:b/>
          <w:bCs/>
        </w:rPr>
      </w:pPr>
      <w:r w:rsidRPr="00CA5509">
        <w:rPr>
          <w:b/>
          <w:bCs/>
        </w:rPr>
        <w:t>Executive Summary</w:t>
      </w:r>
    </w:p>
    <w:p w14:paraId="79277BE3" w14:textId="77777777" w:rsidR="00CA5509" w:rsidRPr="00CA5509" w:rsidRDefault="00CA5509" w:rsidP="00CA5509">
      <w:r w:rsidRPr="00CA5509">
        <w:t>This report evaluates the academic performance of students in the 10th Grade, Section B for the academic year 2024-2025. Key areas of focus include attendance, participation, exam performance, and overall compliance with school standards. Data indicates improved performance in science subjects, while consistent challenges remain in language arts. Recommendations include targeted tutoring for underperforming students and the introduction of peer mentorship programs.</w:t>
      </w:r>
    </w:p>
    <w:p w14:paraId="7AC8AA86" w14:textId="77777777" w:rsidR="00CA5509" w:rsidRPr="00CA5509" w:rsidRDefault="00CA5509" w:rsidP="00CA5509">
      <w:r w:rsidRPr="00CA5509">
        <w:pict w14:anchorId="09E3D50C">
          <v:rect id="_x0000_i1075" style="width:0;height:1.5pt" o:hralign="center" o:hrstd="t" o:hr="t" fillcolor="#a0a0a0" stroked="f"/>
        </w:pict>
      </w:r>
    </w:p>
    <w:p w14:paraId="7F42C8A4" w14:textId="77777777" w:rsidR="00CA5509" w:rsidRPr="00CA5509" w:rsidRDefault="00CA5509" w:rsidP="00CA5509">
      <w:pPr>
        <w:rPr>
          <w:b/>
          <w:bCs/>
        </w:rPr>
      </w:pPr>
      <w:r w:rsidRPr="00CA5509">
        <w:rPr>
          <w:b/>
          <w:bCs/>
        </w:rPr>
        <w:t>Introduction</w:t>
      </w:r>
    </w:p>
    <w:p w14:paraId="4018466C" w14:textId="77777777" w:rsidR="00CA5509" w:rsidRPr="00CA5509" w:rsidRDefault="00CA5509" w:rsidP="00CA5509">
      <w:r w:rsidRPr="00CA5509">
        <w:t>The purpose of this report is to provide a comprehensive overview of the academic performance of students in the 10th Grade, Section B. The analysis will focus on key performance indicators (KPIs) to identify trends, areas of success, and opportunities for improvement. This report aims to assist educators and administrators in decision-making and curriculum planning.</w:t>
      </w:r>
    </w:p>
    <w:p w14:paraId="7E526709" w14:textId="77777777" w:rsidR="00CA5509" w:rsidRPr="00CA5509" w:rsidRDefault="00CA5509" w:rsidP="00CA5509">
      <w:r w:rsidRPr="00CA5509">
        <w:pict w14:anchorId="0470E8C8">
          <v:rect id="_x0000_i1076" style="width:0;height:1.5pt" o:hralign="center" o:hrstd="t" o:hr="t" fillcolor="#a0a0a0" stroked="f"/>
        </w:pict>
      </w:r>
    </w:p>
    <w:p w14:paraId="3A47C140" w14:textId="77777777" w:rsidR="00CA5509" w:rsidRPr="00CA5509" w:rsidRDefault="00CA5509" w:rsidP="00CA5509">
      <w:pPr>
        <w:rPr>
          <w:b/>
          <w:bCs/>
        </w:rPr>
      </w:pPr>
      <w:r w:rsidRPr="00CA5509">
        <w:rPr>
          <w:b/>
          <w:bCs/>
        </w:rPr>
        <w:t>Methodology</w:t>
      </w:r>
    </w:p>
    <w:p w14:paraId="6DCD8D30" w14:textId="77777777" w:rsidR="00CA5509" w:rsidRPr="00CA5509" w:rsidRDefault="00CA5509" w:rsidP="00CA5509">
      <w:pPr>
        <w:numPr>
          <w:ilvl w:val="0"/>
          <w:numId w:val="2"/>
        </w:numPr>
      </w:pPr>
      <w:r w:rsidRPr="00CA5509">
        <w:rPr>
          <w:b/>
          <w:bCs/>
        </w:rPr>
        <w:t>Data Collection:</w:t>
      </w:r>
      <w:r w:rsidRPr="00CA5509">
        <w:t xml:space="preserve"> Attendance records, examination scores, and teacher feedback were gathered for all 30 students.</w:t>
      </w:r>
    </w:p>
    <w:p w14:paraId="01AE5B95" w14:textId="77777777" w:rsidR="00CA5509" w:rsidRPr="00CA5509" w:rsidRDefault="00CA5509" w:rsidP="00CA5509">
      <w:pPr>
        <w:numPr>
          <w:ilvl w:val="0"/>
          <w:numId w:val="2"/>
        </w:numPr>
      </w:pPr>
      <w:r w:rsidRPr="00CA5509">
        <w:rPr>
          <w:b/>
          <w:bCs/>
        </w:rPr>
        <w:t>Analysis Tools:</w:t>
      </w:r>
      <w:r w:rsidRPr="00CA5509">
        <w:t xml:space="preserve"> Statistical methods were applied using Excel and Google Sheets to identify patterns and trends.</w:t>
      </w:r>
    </w:p>
    <w:p w14:paraId="18FC2166" w14:textId="77777777" w:rsidR="00CA5509" w:rsidRPr="00CA5509" w:rsidRDefault="00CA5509" w:rsidP="00CA5509">
      <w:pPr>
        <w:numPr>
          <w:ilvl w:val="0"/>
          <w:numId w:val="2"/>
        </w:numPr>
      </w:pPr>
      <w:r w:rsidRPr="00CA5509">
        <w:rPr>
          <w:b/>
          <w:bCs/>
        </w:rPr>
        <w:lastRenderedPageBreak/>
        <w:t>Evaluation Metrics:</w:t>
      </w:r>
      <w:r w:rsidRPr="00CA5509">
        <w:t xml:space="preserve"> KPIs included average scores across subjects, attendance rates, and student participation levels.</w:t>
      </w:r>
    </w:p>
    <w:p w14:paraId="1B99F75D" w14:textId="77777777" w:rsidR="00CA5509" w:rsidRPr="00CA5509" w:rsidRDefault="00CA5509" w:rsidP="00CA5509">
      <w:r w:rsidRPr="00CA5509">
        <w:pict w14:anchorId="7A9EF5B4">
          <v:rect id="_x0000_i1077" style="width:0;height:1.5pt" o:hralign="center" o:hrstd="t" o:hr="t" fillcolor="#a0a0a0" stroked="f"/>
        </w:pict>
      </w:r>
    </w:p>
    <w:p w14:paraId="7CB362D4" w14:textId="77777777" w:rsidR="00CA5509" w:rsidRPr="00CA5509" w:rsidRDefault="00CA5509" w:rsidP="00CA5509">
      <w:pPr>
        <w:rPr>
          <w:b/>
          <w:bCs/>
        </w:rPr>
      </w:pPr>
      <w:r w:rsidRPr="00CA5509">
        <w:rPr>
          <w:b/>
          <w:bCs/>
        </w:rPr>
        <w:t>Findings and Analysis</w:t>
      </w:r>
    </w:p>
    <w:p w14:paraId="08E35A20" w14:textId="77777777" w:rsidR="00CA5509" w:rsidRPr="00CA5509" w:rsidRDefault="00CA5509" w:rsidP="00CA5509">
      <w:pPr>
        <w:numPr>
          <w:ilvl w:val="0"/>
          <w:numId w:val="3"/>
        </w:numPr>
      </w:pPr>
      <w:r w:rsidRPr="00CA5509">
        <w:rPr>
          <w:b/>
          <w:bCs/>
        </w:rPr>
        <w:t>Attendance:</w:t>
      </w:r>
      <w:r w:rsidRPr="00CA5509">
        <w:t xml:space="preserve"> Average attendance was 92%, exceeding the school’s benchmark of 90%.</w:t>
      </w:r>
    </w:p>
    <w:p w14:paraId="150541E3" w14:textId="77777777" w:rsidR="00CA5509" w:rsidRPr="00CA5509" w:rsidRDefault="00CA5509" w:rsidP="00CA5509">
      <w:pPr>
        <w:numPr>
          <w:ilvl w:val="0"/>
          <w:numId w:val="3"/>
        </w:numPr>
      </w:pPr>
      <w:r w:rsidRPr="00CA5509">
        <w:rPr>
          <w:b/>
          <w:bCs/>
        </w:rPr>
        <w:t>Subject Performance:</w:t>
      </w:r>
    </w:p>
    <w:p w14:paraId="05BD6727" w14:textId="77777777" w:rsidR="00CA5509" w:rsidRPr="00CA5509" w:rsidRDefault="00CA5509" w:rsidP="00CA5509">
      <w:pPr>
        <w:numPr>
          <w:ilvl w:val="1"/>
          <w:numId w:val="3"/>
        </w:numPr>
      </w:pPr>
      <w:r w:rsidRPr="00CA5509">
        <w:t>Science: Average score of 85%, indicating significant improvement.</w:t>
      </w:r>
    </w:p>
    <w:p w14:paraId="4E2AF3CC" w14:textId="77777777" w:rsidR="00CA5509" w:rsidRPr="00CA5509" w:rsidRDefault="00CA5509" w:rsidP="00CA5509">
      <w:pPr>
        <w:numPr>
          <w:ilvl w:val="1"/>
          <w:numId w:val="3"/>
        </w:numPr>
      </w:pPr>
      <w:r w:rsidRPr="00CA5509">
        <w:t>Mathematics: Average score of 78%, showing steady growth.</w:t>
      </w:r>
    </w:p>
    <w:p w14:paraId="60D7AE87" w14:textId="77777777" w:rsidR="00CA5509" w:rsidRPr="00CA5509" w:rsidRDefault="00CA5509" w:rsidP="00CA5509">
      <w:pPr>
        <w:numPr>
          <w:ilvl w:val="1"/>
          <w:numId w:val="3"/>
        </w:numPr>
      </w:pPr>
      <w:r w:rsidRPr="00CA5509">
        <w:t>Language Arts: Average score of 65%, highlighting a need for additional support.</w:t>
      </w:r>
    </w:p>
    <w:p w14:paraId="4D4F4D94" w14:textId="77777777" w:rsidR="00CA5509" w:rsidRPr="00CA5509" w:rsidRDefault="00CA5509" w:rsidP="00CA5509">
      <w:pPr>
        <w:numPr>
          <w:ilvl w:val="0"/>
          <w:numId w:val="3"/>
        </w:numPr>
      </w:pPr>
      <w:r w:rsidRPr="00CA5509">
        <w:rPr>
          <w:b/>
          <w:bCs/>
        </w:rPr>
        <w:t>Participation:</w:t>
      </w:r>
      <w:r w:rsidRPr="00CA5509">
        <w:t xml:space="preserve"> Over 80% of students actively participated in classroom discussions and projects.</w:t>
      </w:r>
    </w:p>
    <w:p w14:paraId="76600D1D" w14:textId="77777777" w:rsidR="00CA5509" w:rsidRPr="00CA5509" w:rsidRDefault="00CA5509" w:rsidP="00CA5509">
      <w:pPr>
        <w:numPr>
          <w:ilvl w:val="0"/>
          <w:numId w:val="3"/>
        </w:numPr>
      </w:pPr>
      <w:r w:rsidRPr="00CA5509">
        <w:rPr>
          <w:b/>
          <w:bCs/>
        </w:rPr>
        <w:t>Overall Compliance:</w:t>
      </w:r>
      <w:r w:rsidRPr="00CA5509">
        <w:t xml:space="preserve"> 25 out of 30 students met or exceeded academic standards.</w:t>
      </w:r>
    </w:p>
    <w:p w14:paraId="5DE41662" w14:textId="77777777" w:rsidR="00CA5509" w:rsidRPr="00CA5509" w:rsidRDefault="00CA5509" w:rsidP="00CA5509">
      <w:r w:rsidRPr="00CA5509">
        <w:pict w14:anchorId="3F44EB4F">
          <v:rect id="_x0000_i1078" style="width:0;height:1.5pt" o:hralign="center" o:hrstd="t" o:hr="t" fillcolor="#a0a0a0" stroked="f"/>
        </w:pict>
      </w:r>
    </w:p>
    <w:p w14:paraId="123B8964" w14:textId="77777777" w:rsidR="00CA5509" w:rsidRPr="00CA5509" w:rsidRDefault="00CA5509" w:rsidP="00CA5509">
      <w:pPr>
        <w:rPr>
          <w:b/>
          <w:bCs/>
        </w:rPr>
      </w:pPr>
      <w:r w:rsidRPr="00CA5509">
        <w:rPr>
          <w:b/>
          <w:bCs/>
        </w:rPr>
        <w:t>Conclusion and Recommendations</w:t>
      </w:r>
    </w:p>
    <w:p w14:paraId="1112885D" w14:textId="77777777" w:rsidR="00CA5509" w:rsidRPr="00CA5509" w:rsidRDefault="00CA5509" w:rsidP="00CA5509">
      <w:r w:rsidRPr="00CA5509">
        <w:rPr>
          <w:b/>
          <w:bCs/>
        </w:rPr>
        <w:t>Conclusion:</w:t>
      </w:r>
      <w:r w:rsidRPr="00CA5509">
        <w:t xml:space="preserve"> The academic performance of 10th Grade, Section B has shown positive trends in science and mathematics, while challenges remain in language arts. Attendance and participation rates are commendable, reflecting a positive learning environment.</w:t>
      </w:r>
    </w:p>
    <w:p w14:paraId="0F0612C2" w14:textId="77777777" w:rsidR="00CA5509" w:rsidRPr="00CA5509" w:rsidRDefault="00CA5509" w:rsidP="00CA5509">
      <w:r w:rsidRPr="00CA5509">
        <w:rPr>
          <w:b/>
          <w:bCs/>
        </w:rPr>
        <w:t>Recommendations:</w:t>
      </w:r>
    </w:p>
    <w:p w14:paraId="770A4E13" w14:textId="77777777" w:rsidR="00CA5509" w:rsidRPr="00CA5509" w:rsidRDefault="00CA5509" w:rsidP="00CA5509">
      <w:pPr>
        <w:numPr>
          <w:ilvl w:val="0"/>
          <w:numId w:val="4"/>
        </w:numPr>
      </w:pPr>
      <w:r w:rsidRPr="00CA5509">
        <w:t>Implement targeted tutoring sessions focusing on language arts.</w:t>
      </w:r>
    </w:p>
    <w:p w14:paraId="6162388B" w14:textId="77777777" w:rsidR="00CA5509" w:rsidRPr="00CA5509" w:rsidRDefault="00CA5509" w:rsidP="00CA5509">
      <w:pPr>
        <w:numPr>
          <w:ilvl w:val="0"/>
          <w:numId w:val="4"/>
        </w:numPr>
      </w:pPr>
      <w:r w:rsidRPr="00CA5509">
        <w:t>Introduce a peer mentorship program to encourage collaborative learning.</w:t>
      </w:r>
    </w:p>
    <w:p w14:paraId="10202043" w14:textId="77777777" w:rsidR="00CA5509" w:rsidRPr="00CA5509" w:rsidRDefault="00CA5509" w:rsidP="00CA5509">
      <w:pPr>
        <w:numPr>
          <w:ilvl w:val="0"/>
          <w:numId w:val="4"/>
        </w:numPr>
      </w:pPr>
      <w:r w:rsidRPr="00CA5509">
        <w:t>Conduct monthly assessments to monitor progress and adjust strategies as needed.</w:t>
      </w:r>
    </w:p>
    <w:p w14:paraId="3B82762B" w14:textId="77777777" w:rsidR="00CA5509" w:rsidRPr="00CA5509" w:rsidRDefault="00CA5509" w:rsidP="00CA5509">
      <w:r w:rsidRPr="00CA5509">
        <w:pict w14:anchorId="52040559">
          <v:rect id="_x0000_i1079" style="width:0;height:1.5pt" o:hralign="center" o:hrstd="t" o:hr="t" fillcolor="#a0a0a0" stroked="f"/>
        </w:pict>
      </w:r>
    </w:p>
    <w:p w14:paraId="16FC2292" w14:textId="77777777" w:rsidR="00CA5509" w:rsidRPr="00CA5509" w:rsidRDefault="00CA5509" w:rsidP="00CA5509">
      <w:pPr>
        <w:rPr>
          <w:b/>
          <w:bCs/>
        </w:rPr>
      </w:pPr>
      <w:r w:rsidRPr="00CA5509">
        <w:rPr>
          <w:b/>
          <w:bCs/>
        </w:rPr>
        <w:t>References</w:t>
      </w:r>
    </w:p>
    <w:p w14:paraId="61C6F16F" w14:textId="77777777" w:rsidR="00CA5509" w:rsidRPr="00CA5509" w:rsidRDefault="00CA5509" w:rsidP="00CA5509">
      <w:pPr>
        <w:numPr>
          <w:ilvl w:val="0"/>
          <w:numId w:val="5"/>
        </w:numPr>
      </w:pPr>
      <w:r w:rsidRPr="00CA5509">
        <w:t>School Attendance Records (2024-2025).</w:t>
      </w:r>
    </w:p>
    <w:p w14:paraId="28292A95" w14:textId="77777777" w:rsidR="00CA5509" w:rsidRPr="00CA5509" w:rsidRDefault="00CA5509" w:rsidP="00CA5509">
      <w:pPr>
        <w:numPr>
          <w:ilvl w:val="0"/>
          <w:numId w:val="5"/>
        </w:numPr>
      </w:pPr>
      <w:r w:rsidRPr="00CA5509">
        <w:t>Examination Results (2024-2025).</w:t>
      </w:r>
    </w:p>
    <w:p w14:paraId="4E536840" w14:textId="77777777" w:rsidR="00CA5509" w:rsidRPr="00CA5509" w:rsidRDefault="00CA5509" w:rsidP="00CA5509">
      <w:pPr>
        <w:numPr>
          <w:ilvl w:val="0"/>
          <w:numId w:val="5"/>
        </w:numPr>
      </w:pPr>
      <w:r w:rsidRPr="00CA5509">
        <w:t>Teacher Feedback Reports (2024-2025).</w:t>
      </w:r>
    </w:p>
    <w:p w14:paraId="70D33C15" w14:textId="77777777" w:rsidR="00CA5509" w:rsidRPr="00CA5509" w:rsidRDefault="00CA5509" w:rsidP="00CA5509">
      <w:r w:rsidRPr="00CA5509">
        <w:pict w14:anchorId="7F4E0464">
          <v:rect id="_x0000_i1080" style="width:0;height:1.5pt" o:hralign="center" o:hrstd="t" o:hr="t" fillcolor="#a0a0a0" stroked="f"/>
        </w:pict>
      </w:r>
    </w:p>
    <w:p w14:paraId="72B4F3DA" w14:textId="77777777" w:rsidR="00CA5509" w:rsidRPr="00CA5509" w:rsidRDefault="00CA5509" w:rsidP="00CA5509">
      <w:pPr>
        <w:rPr>
          <w:b/>
          <w:bCs/>
        </w:rPr>
      </w:pPr>
      <w:r w:rsidRPr="00CA5509">
        <w:rPr>
          <w:b/>
          <w:bCs/>
        </w:rPr>
        <w:t>Appendices</w:t>
      </w:r>
    </w:p>
    <w:p w14:paraId="0535E8AF" w14:textId="6AFE32A3" w:rsidR="00CA5509" w:rsidRDefault="00CA5509">
      <w:r w:rsidRPr="00CA5509">
        <w:rPr>
          <w:b/>
          <w:bCs/>
        </w:rPr>
        <w:t>Appendix A:</w:t>
      </w:r>
      <w:r w:rsidRPr="00CA5509">
        <w:t xml:space="preserve"> Sample Exam Papers</w:t>
      </w:r>
      <w:r w:rsidRPr="00CA5509">
        <w:br/>
      </w:r>
      <w:r w:rsidRPr="00CA5509">
        <w:rPr>
          <w:b/>
          <w:bCs/>
        </w:rPr>
        <w:t>Appendix B:</w:t>
      </w:r>
      <w:r w:rsidRPr="00CA5509">
        <w:t xml:space="preserve"> Monthly Attendance Charts</w:t>
      </w:r>
      <w:r w:rsidRPr="00CA5509">
        <w:br/>
      </w:r>
      <w:r w:rsidRPr="00CA5509">
        <w:rPr>
          <w:b/>
          <w:bCs/>
        </w:rPr>
        <w:t>Appendix C:</w:t>
      </w:r>
      <w:r w:rsidRPr="00CA5509">
        <w:t xml:space="preserve"> Student Feedback Summary</w:t>
      </w:r>
    </w:p>
    <w:sectPr w:rsidR="00CA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25449"/>
    <w:multiLevelType w:val="multilevel"/>
    <w:tmpl w:val="77CE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5275"/>
    <w:multiLevelType w:val="multilevel"/>
    <w:tmpl w:val="4648B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EC3CC9"/>
    <w:multiLevelType w:val="multilevel"/>
    <w:tmpl w:val="55EE0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F1E9A"/>
    <w:multiLevelType w:val="multilevel"/>
    <w:tmpl w:val="7352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95792"/>
    <w:multiLevelType w:val="multilevel"/>
    <w:tmpl w:val="75ACB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461726">
    <w:abstractNumId w:val="4"/>
  </w:num>
  <w:num w:numId="2" w16cid:durableId="770399215">
    <w:abstractNumId w:val="1"/>
  </w:num>
  <w:num w:numId="3" w16cid:durableId="773475944">
    <w:abstractNumId w:val="0"/>
  </w:num>
  <w:num w:numId="4" w16cid:durableId="1584996616">
    <w:abstractNumId w:val="3"/>
  </w:num>
  <w:num w:numId="5" w16cid:durableId="431435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09"/>
    <w:rsid w:val="00CA5509"/>
    <w:rsid w:val="00F4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6C90"/>
  <w15:chartTrackingRefBased/>
  <w15:docId w15:val="{386258B3-B0E3-4392-880E-9C5869D1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096590">
      <w:bodyDiv w:val="1"/>
      <w:marLeft w:val="0"/>
      <w:marRight w:val="0"/>
      <w:marTop w:val="0"/>
      <w:marBottom w:val="0"/>
      <w:divBdr>
        <w:top w:val="none" w:sz="0" w:space="0" w:color="auto"/>
        <w:left w:val="none" w:sz="0" w:space="0" w:color="auto"/>
        <w:bottom w:val="none" w:sz="0" w:space="0" w:color="auto"/>
        <w:right w:val="none" w:sz="0" w:space="0" w:color="auto"/>
      </w:divBdr>
      <w:divsChild>
        <w:div w:id="1154251589">
          <w:marLeft w:val="0"/>
          <w:marRight w:val="0"/>
          <w:marTop w:val="0"/>
          <w:marBottom w:val="0"/>
          <w:divBdr>
            <w:top w:val="none" w:sz="0" w:space="0" w:color="auto"/>
            <w:left w:val="none" w:sz="0" w:space="0" w:color="auto"/>
            <w:bottom w:val="none" w:sz="0" w:space="0" w:color="auto"/>
            <w:right w:val="none" w:sz="0" w:space="0" w:color="auto"/>
          </w:divBdr>
        </w:div>
        <w:div w:id="1388840373">
          <w:marLeft w:val="0"/>
          <w:marRight w:val="0"/>
          <w:marTop w:val="0"/>
          <w:marBottom w:val="0"/>
          <w:divBdr>
            <w:top w:val="none" w:sz="0" w:space="0" w:color="auto"/>
            <w:left w:val="none" w:sz="0" w:space="0" w:color="auto"/>
            <w:bottom w:val="none" w:sz="0" w:space="0" w:color="auto"/>
            <w:right w:val="none" w:sz="0" w:space="0" w:color="auto"/>
          </w:divBdr>
        </w:div>
        <w:div w:id="1814058575">
          <w:marLeft w:val="0"/>
          <w:marRight w:val="0"/>
          <w:marTop w:val="0"/>
          <w:marBottom w:val="0"/>
          <w:divBdr>
            <w:top w:val="none" w:sz="0" w:space="0" w:color="auto"/>
            <w:left w:val="none" w:sz="0" w:space="0" w:color="auto"/>
            <w:bottom w:val="none" w:sz="0" w:space="0" w:color="auto"/>
            <w:right w:val="none" w:sz="0" w:space="0" w:color="auto"/>
          </w:divBdr>
        </w:div>
        <w:div w:id="953486930">
          <w:marLeft w:val="0"/>
          <w:marRight w:val="0"/>
          <w:marTop w:val="0"/>
          <w:marBottom w:val="0"/>
          <w:divBdr>
            <w:top w:val="none" w:sz="0" w:space="0" w:color="auto"/>
            <w:left w:val="none" w:sz="0" w:space="0" w:color="auto"/>
            <w:bottom w:val="none" w:sz="0" w:space="0" w:color="auto"/>
            <w:right w:val="none" w:sz="0" w:space="0" w:color="auto"/>
          </w:divBdr>
        </w:div>
        <w:div w:id="640382992">
          <w:marLeft w:val="0"/>
          <w:marRight w:val="0"/>
          <w:marTop w:val="0"/>
          <w:marBottom w:val="0"/>
          <w:divBdr>
            <w:top w:val="none" w:sz="0" w:space="0" w:color="auto"/>
            <w:left w:val="none" w:sz="0" w:space="0" w:color="auto"/>
            <w:bottom w:val="none" w:sz="0" w:space="0" w:color="auto"/>
            <w:right w:val="none" w:sz="0" w:space="0" w:color="auto"/>
          </w:divBdr>
        </w:div>
        <w:div w:id="897280041">
          <w:marLeft w:val="0"/>
          <w:marRight w:val="0"/>
          <w:marTop w:val="0"/>
          <w:marBottom w:val="0"/>
          <w:divBdr>
            <w:top w:val="none" w:sz="0" w:space="0" w:color="auto"/>
            <w:left w:val="none" w:sz="0" w:space="0" w:color="auto"/>
            <w:bottom w:val="none" w:sz="0" w:space="0" w:color="auto"/>
            <w:right w:val="none" w:sz="0" w:space="0" w:color="auto"/>
          </w:divBdr>
        </w:div>
        <w:div w:id="1086267771">
          <w:marLeft w:val="0"/>
          <w:marRight w:val="0"/>
          <w:marTop w:val="0"/>
          <w:marBottom w:val="0"/>
          <w:divBdr>
            <w:top w:val="none" w:sz="0" w:space="0" w:color="auto"/>
            <w:left w:val="none" w:sz="0" w:space="0" w:color="auto"/>
            <w:bottom w:val="none" w:sz="0" w:space="0" w:color="auto"/>
            <w:right w:val="none" w:sz="0" w:space="0" w:color="auto"/>
          </w:divBdr>
        </w:div>
        <w:div w:id="1582786852">
          <w:marLeft w:val="0"/>
          <w:marRight w:val="0"/>
          <w:marTop w:val="0"/>
          <w:marBottom w:val="0"/>
          <w:divBdr>
            <w:top w:val="none" w:sz="0" w:space="0" w:color="auto"/>
            <w:left w:val="none" w:sz="0" w:space="0" w:color="auto"/>
            <w:bottom w:val="none" w:sz="0" w:space="0" w:color="auto"/>
            <w:right w:val="none" w:sz="0" w:space="0" w:color="auto"/>
          </w:divBdr>
        </w:div>
      </w:divsChild>
    </w:div>
    <w:div w:id="1243418661">
      <w:bodyDiv w:val="1"/>
      <w:marLeft w:val="0"/>
      <w:marRight w:val="0"/>
      <w:marTop w:val="0"/>
      <w:marBottom w:val="0"/>
      <w:divBdr>
        <w:top w:val="none" w:sz="0" w:space="0" w:color="auto"/>
        <w:left w:val="none" w:sz="0" w:space="0" w:color="auto"/>
        <w:bottom w:val="none" w:sz="0" w:space="0" w:color="auto"/>
        <w:right w:val="none" w:sz="0" w:space="0" w:color="auto"/>
      </w:divBdr>
      <w:divsChild>
        <w:div w:id="156041680">
          <w:marLeft w:val="0"/>
          <w:marRight w:val="0"/>
          <w:marTop w:val="0"/>
          <w:marBottom w:val="0"/>
          <w:divBdr>
            <w:top w:val="none" w:sz="0" w:space="0" w:color="auto"/>
            <w:left w:val="none" w:sz="0" w:space="0" w:color="auto"/>
            <w:bottom w:val="none" w:sz="0" w:space="0" w:color="auto"/>
            <w:right w:val="none" w:sz="0" w:space="0" w:color="auto"/>
          </w:divBdr>
        </w:div>
        <w:div w:id="1211697428">
          <w:marLeft w:val="0"/>
          <w:marRight w:val="0"/>
          <w:marTop w:val="0"/>
          <w:marBottom w:val="0"/>
          <w:divBdr>
            <w:top w:val="none" w:sz="0" w:space="0" w:color="auto"/>
            <w:left w:val="none" w:sz="0" w:space="0" w:color="auto"/>
            <w:bottom w:val="none" w:sz="0" w:space="0" w:color="auto"/>
            <w:right w:val="none" w:sz="0" w:space="0" w:color="auto"/>
          </w:divBdr>
        </w:div>
        <w:div w:id="1190291845">
          <w:marLeft w:val="0"/>
          <w:marRight w:val="0"/>
          <w:marTop w:val="0"/>
          <w:marBottom w:val="0"/>
          <w:divBdr>
            <w:top w:val="none" w:sz="0" w:space="0" w:color="auto"/>
            <w:left w:val="none" w:sz="0" w:space="0" w:color="auto"/>
            <w:bottom w:val="none" w:sz="0" w:space="0" w:color="auto"/>
            <w:right w:val="none" w:sz="0" w:space="0" w:color="auto"/>
          </w:divBdr>
        </w:div>
        <w:div w:id="1059741596">
          <w:marLeft w:val="0"/>
          <w:marRight w:val="0"/>
          <w:marTop w:val="0"/>
          <w:marBottom w:val="0"/>
          <w:divBdr>
            <w:top w:val="none" w:sz="0" w:space="0" w:color="auto"/>
            <w:left w:val="none" w:sz="0" w:space="0" w:color="auto"/>
            <w:bottom w:val="none" w:sz="0" w:space="0" w:color="auto"/>
            <w:right w:val="none" w:sz="0" w:space="0" w:color="auto"/>
          </w:divBdr>
        </w:div>
        <w:div w:id="718169332">
          <w:marLeft w:val="0"/>
          <w:marRight w:val="0"/>
          <w:marTop w:val="0"/>
          <w:marBottom w:val="0"/>
          <w:divBdr>
            <w:top w:val="none" w:sz="0" w:space="0" w:color="auto"/>
            <w:left w:val="none" w:sz="0" w:space="0" w:color="auto"/>
            <w:bottom w:val="none" w:sz="0" w:space="0" w:color="auto"/>
            <w:right w:val="none" w:sz="0" w:space="0" w:color="auto"/>
          </w:divBdr>
        </w:div>
        <w:div w:id="857961970">
          <w:marLeft w:val="0"/>
          <w:marRight w:val="0"/>
          <w:marTop w:val="0"/>
          <w:marBottom w:val="0"/>
          <w:divBdr>
            <w:top w:val="none" w:sz="0" w:space="0" w:color="auto"/>
            <w:left w:val="none" w:sz="0" w:space="0" w:color="auto"/>
            <w:bottom w:val="none" w:sz="0" w:space="0" w:color="auto"/>
            <w:right w:val="none" w:sz="0" w:space="0" w:color="auto"/>
          </w:divBdr>
        </w:div>
        <w:div w:id="1799881894">
          <w:marLeft w:val="0"/>
          <w:marRight w:val="0"/>
          <w:marTop w:val="0"/>
          <w:marBottom w:val="0"/>
          <w:divBdr>
            <w:top w:val="none" w:sz="0" w:space="0" w:color="auto"/>
            <w:left w:val="none" w:sz="0" w:space="0" w:color="auto"/>
            <w:bottom w:val="none" w:sz="0" w:space="0" w:color="auto"/>
            <w:right w:val="none" w:sz="0" w:space="0" w:color="auto"/>
          </w:divBdr>
        </w:div>
        <w:div w:id="1032420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 Wanjoku</dc:creator>
  <cp:keywords/>
  <dc:description/>
  <cp:lastModifiedBy>Sobu Wanjoku</cp:lastModifiedBy>
  <cp:revision>1</cp:revision>
  <dcterms:created xsi:type="dcterms:W3CDTF">2025-01-14T11:40:00Z</dcterms:created>
  <dcterms:modified xsi:type="dcterms:W3CDTF">2025-01-14T11:40:00Z</dcterms:modified>
</cp:coreProperties>
</file>