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8" w:space="6"/>
        </w:pBdr>
        <w:spacing w:after="0"/>
      </w:pPr>
      <w:r>
        <w:rPr>
          <w:rFonts w:ascii="Calibri" w:cs="Calibri" w:eastAsia="Calibri" w:hAnsi="Calibri"/>
          <w:b/>
          <w:bCs/>
          <w:color w:val="2E5496"/>
          <w:sz w:val="22"/>
          <w:szCs w:val="22"/>
        </w:rPr>
        <w:t xml:space="preserve">[ ORGANIZATION NAME ]</w:t>
      </w:r>
      <w:r>
        <w:rPr>
          <w:rFonts w:ascii="Calibri" w:cs="Calibri" w:eastAsia="Calibri" w:hAnsi="Calibri"/>
          <w:color w:val="595959"/>
          <w:sz w:val="20"/>
          <w:szCs w:val="20"/>
        </w:rPr>
        <w:t xml:space="preserve">   ·   Information Security</w:t>
      </w:r>
    </w:p>
    <w:p>
      <w:pPr>
        <w:spacing w:after="40" w:before="220"/>
      </w:pPr>
      <w:r>
        <w:rPr>
          <w:rFonts w:ascii="Calibri" w:cs="Calibri" w:eastAsia="Calibri" w:hAnsi="Calibri"/>
          <w:b/>
          <w:bCs/>
          <w:color w:val="1F3864"/>
          <w:sz w:val="40"/>
          <w:szCs w:val="40"/>
        </w:rPr>
        <w:t xml:space="preserve">Network Security Assessment</w:t>
      </w:r>
    </w:p>
    <w:p>
      <w:pPr>
        <w:spacing w:after="60"/>
      </w:pPr>
      <w:r>
        <w:rPr>
          <w:rFonts w:ascii="Calibri" w:cs="Calibri" w:eastAsia="Calibri" w:hAnsi="Calibri"/>
          <w:b/>
          <w:bCs/>
          <w:color w:val="2E5496"/>
          <w:sz w:val="26"/>
          <w:szCs w:val="26"/>
        </w:rPr>
        <w:t xml:space="preserve">Scope Authorization &amp; Rules of Engagement</w:t>
      </w:r>
    </w:p>
    <w:p>
      <w:pPr>
        <w:spacing w:after="200"/>
      </w:pPr>
      <w:r>
        <w:rPr>
          <w:rFonts w:ascii="Calibri" w:cs="Calibri" w:eastAsia="Calibri" w:hAnsi="Calibri"/>
          <w:i/>
          <w:iCs/>
          <w:color w:val="595959"/>
          <w:sz w:val="20"/>
          <w:szCs w:val="20"/>
        </w:rPr>
        <w:t xml:space="preserve">Stage 1 — Internal Network Analysis, Scanning &amp; Vulnerability Assessment</w:t>
      </w:r>
    </w:p>
    <w:tbl>
      <w:tblPr>
        <w:tblW w:type="dxa" w:w="9360"/>
        <w:tblBorders>
          <w:top w:val="single" w:color="B4C6E7" w:sz="4"/>
          <w:left w:val="single" w:color="B4C6E7" w:sz="4"/>
          <w:bottom w:val="single" w:color="B4C6E7" w:sz="4"/>
          <w:right w:val="single" w:color="B4C6E7" w:sz="4"/>
          <w:insideH w:val="single" w:color="B4C6E7" w:sz="4"/>
          <w:insideV w:val="single" w:color="B4C6E7" w:sz="4"/>
        </w:tblBorders>
      </w:tblPr>
      <w:tblGrid>
        <w:gridCol w:w="2200"/>
        <w:gridCol w:w="2480"/>
        <w:gridCol w:w="2200"/>
        <w:gridCol w:w="2480"/>
      </w:tblGrid>
      <w:tr>
        <w:tc>
          <w:tcPr>
            <w:tcW w:type="dxa" w:w="2200"/>
            <w:shd w:fill="D9E2F3" w:color="auto" w:val="clear"/>
            <w:tcMar>
              <w:top w:type="dxa" w:w="60"/>
              <w:left w:type="dxa" w:w="110"/>
              <w:bottom w:type="dxa" w:w="60"/>
              <w:right w:type="dxa" w:w="110"/>
            </w:tcMar>
            <w:vAlign w:val="center"/>
          </w:tcPr>
          <w:p>
            <w:r>
              <w:rPr>
                <w:rFonts w:ascii="Calibri" w:cs="Calibri" w:eastAsia="Calibri" w:hAnsi="Calibri"/>
                <w:b/>
                <w:bCs/>
                <w:color w:val="212121"/>
                <w:sz w:val="19"/>
                <w:szCs w:val="19"/>
              </w:rPr>
              <w:t xml:space="preserve">Document ID</w:t>
            </w:r>
          </w:p>
        </w:tc>
        <w:tc>
          <w:tcPr>
            <w:tcW w:type="dxa" w:w="248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SEC-AUTH-2026-01</w:t>
            </w:r>
          </w:p>
        </w:tc>
        <w:tc>
          <w:tcPr>
            <w:tcW w:type="dxa" w:w="2200"/>
            <w:shd w:fill="D9E2F3" w:color="auto" w:val="clear"/>
            <w:tcMar>
              <w:top w:type="dxa" w:w="60"/>
              <w:left w:type="dxa" w:w="110"/>
              <w:bottom w:type="dxa" w:w="60"/>
              <w:right w:type="dxa" w:w="110"/>
            </w:tcMar>
            <w:vAlign w:val="center"/>
          </w:tcPr>
          <w:p>
            <w:r>
              <w:rPr>
                <w:rFonts w:ascii="Calibri" w:cs="Calibri" w:eastAsia="Calibri" w:hAnsi="Calibri"/>
                <w:b/>
                <w:bCs/>
                <w:color w:val="212121"/>
                <w:sz w:val="19"/>
                <w:szCs w:val="19"/>
              </w:rPr>
              <w:t xml:space="preserve">Version</w:t>
            </w:r>
          </w:p>
        </w:tc>
        <w:tc>
          <w:tcPr>
            <w:tcW w:type="dxa" w:w="248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1.0</w:t>
            </w:r>
          </w:p>
        </w:tc>
      </w:tr>
      <w:tr>
        <w:tc>
          <w:tcPr>
            <w:tcW w:type="dxa" w:w="2200"/>
            <w:shd w:fill="D9E2F3" w:color="auto" w:val="clear"/>
            <w:tcMar>
              <w:top w:type="dxa" w:w="60"/>
              <w:left w:type="dxa" w:w="110"/>
              <w:bottom w:type="dxa" w:w="60"/>
              <w:right w:type="dxa" w:w="110"/>
            </w:tcMar>
            <w:vAlign w:val="center"/>
          </w:tcPr>
          <w:p>
            <w:r>
              <w:rPr>
                <w:rFonts w:ascii="Calibri" w:cs="Calibri" w:eastAsia="Calibri" w:hAnsi="Calibri"/>
                <w:b/>
                <w:bCs/>
                <w:color w:val="212121"/>
                <w:sz w:val="19"/>
                <w:szCs w:val="19"/>
              </w:rPr>
              <w:t xml:space="preserve">Project</w:t>
            </w:r>
          </w:p>
        </w:tc>
        <w:tc>
          <w:tcPr>
            <w:tcW w:type="dxa" w:w="248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Sentinel SOC</w:t>
            </w:r>
          </w:p>
        </w:tc>
        <w:tc>
          <w:tcPr>
            <w:tcW w:type="dxa" w:w="2200"/>
            <w:shd w:fill="D9E2F3" w:color="auto" w:val="clear"/>
            <w:tcMar>
              <w:top w:type="dxa" w:w="60"/>
              <w:left w:type="dxa" w:w="110"/>
              <w:bottom w:type="dxa" w:w="60"/>
              <w:right w:type="dxa" w:w="110"/>
            </w:tcMar>
            <w:vAlign w:val="center"/>
          </w:tcPr>
          <w:p>
            <w:r>
              <w:rPr>
                <w:rFonts w:ascii="Calibri" w:cs="Calibri" w:eastAsia="Calibri" w:hAnsi="Calibri"/>
                <w:b/>
                <w:bCs/>
                <w:color w:val="212121"/>
                <w:sz w:val="19"/>
                <w:szCs w:val="19"/>
              </w:rPr>
              <w:t xml:space="preserve">Effective date</w:t>
            </w:r>
          </w:p>
        </w:tc>
        <w:tc>
          <w:tcPr>
            <w:tcW w:type="dxa" w:w="248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____ / ____ / 2026</w:t>
            </w:r>
          </w:p>
        </w:tc>
      </w:tr>
      <w:tr>
        <w:tc>
          <w:tcPr>
            <w:tcW w:type="dxa" w:w="2200"/>
            <w:shd w:fill="D9E2F3" w:color="auto" w:val="clear"/>
            <w:tcMar>
              <w:top w:type="dxa" w:w="60"/>
              <w:left w:type="dxa" w:w="110"/>
              <w:bottom w:type="dxa" w:w="60"/>
              <w:right w:type="dxa" w:w="110"/>
            </w:tcMar>
            <w:vAlign w:val="center"/>
          </w:tcPr>
          <w:p>
            <w:r>
              <w:rPr>
                <w:rFonts w:ascii="Calibri" w:cs="Calibri" w:eastAsia="Calibri" w:hAnsi="Calibri"/>
                <w:b/>
                <w:bCs/>
                <w:color w:val="212121"/>
                <w:sz w:val="19"/>
                <w:szCs w:val="19"/>
              </w:rPr>
              <w:t xml:space="preserve">Classification</w:t>
            </w:r>
          </w:p>
        </w:tc>
        <w:tc>
          <w:tcPr>
            <w:tcW w:type="dxa" w:w="2480"/>
            <w:tcMar>
              <w:top w:type="dxa" w:w="60"/>
              <w:left w:type="dxa" w:w="110"/>
              <w:bottom w:type="dxa" w:w="60"/>
              <w:right w:type="dxa" w:w="110"/>
            </w:tcMar>
            <w:vAlign w:val="center"/>
          </w:tcPr>
          <w:p>
            <w:r>
              <w:rPr>
                <w:rFonts w:ascii="Calibri" w:cs="Calibri" w:eastAsia="Calibri" w:hAnsi="Calibri"/>
                <w:b/>
                <w:bCs/>
                <w:color w:val="B00020"/>
                <w:sz w:val="19"/>
                <w:szCs w:val="19"/>
              </w:rPr>
              <w:t xml:space="preserve">CONFIDENTIAL — Internal Use Only</w:t>
            </w:r>
          </w:p>
        </w:tc>
        <w:tc>
          <w:tcPr>
            <w:tcW w:type="dxa" w:w="2200"/>
            <w:shd w:fill="D9E2F3" w:color="auto" w:val="clear"/>
            <w:tcMar>
              <w:top w:type="dxa" w:w="60"/>
              <w:left w:type="dxa" w:w="110"/>
              <w:bottom w:type="dxa" w:w="60"/>
              <w:right w:type="dxa" w:w="110"/>
            </w:tcMar>
            <w:vAlign w:val="center"/>
          </w:tcPr>
          <w:p>
            <w:r>
              <w:rPr>
                <w:rFonts w:ascii="Calibri" w:cs="Calibri" w:eastAsia="Calibri" w:hAnsi="Calibri"/>
                <w:b/>
                <w:bCs/>
                <w:color w:val="212121"/>
                <w:sz w:val="19"/>
                <w:szCs w:val="19"/>
              </w:rPr>
              <w:t xml:space="preserve">Valid through</w:t>
            </w:r>
          </w:p>
        </w:tc>
        <w:tc>
          <w:tcPr>
            <w:tcW w:type="dxa" w:w="248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____ / ____ / 2026</w:t>
            </w:r>
          </w:p>
        </w:tc>
      </w:tr>
    </w:tbl>
    <w:p>
      <w:pPr>
        <w:pBdr>
          <w:bottom w:val="single" w:color="B4C6E7" w:sz="6" w:space="4"/>
        </w:pBdr>
        <w:spacing w:after="90" w:before="240"/>
      </w:pPr>
      <w:r>
        <w:rPr>
          <w:rFonts w:ascii="Calibri" w:cs="Calibri" w:eastAsia="Calibri" w:hAnsi="Calibri"/>
          <w:b/>
          <w:bCs/>
          <w:color w:val="1F3864"/>
          <w:sz w:val="24"/>
          <w:szCs w:val="24"/>
        </w:rPr>
        <w:t xml:space="preserve">1.  Purpose</w:t>
      </w:r>
    </w:p>
    <w:p>
      <w:pPr>
        <w:spacing w:after="120" w:line="276"/>
      </w:pPr>
      <w:r>
        <w:rPr>
          <w:rFonts w:ascii="Calibri" w:cs="Calibri" w:eastAsia="Calibri" w:hAnsi="Calibri"/>
          <w:color w:val="212121"/>
          <w:sz w:val="20"/>
          <w:szCs w:val="20"/>
        </w:rPr>
        <w:t xml:space="preserve">This document formally authorizes the named security assessment team to conduct a defensive, internal security assessment of the organization’s own network infrastructure, and defines the agreed rules of engagement. The objective of Stage 1 is to identify open ports, insecure services, basic vulnerabilities, and — above all — to evaluate how the network is segmented (VLANs, subnets, and routing between them). Active exploitation and penetration testing are explicitly out of scope for Stage 1 and are deferred to a separately authorized Stage 2.</w:t>
      </w:r>
    </w:p>
    <w:p>
      <w:pPr>
        <w:spacing w:after="90" w:before="240"/>
      </w:pPr>
      <w:r>
        <w:rPr>
          <w:rFonts w:ascii="Calibri" w:cs="Calibri" w:eastAsia="Calibri" w:hAnsi="Calibri"/>
          <w:b/>
          <w:bCs/>
          <w:color w:val="1F3864"/>
          <w:sz w:val="24"/>
          <w:szCs w:val="24"/>
        </w:rPr>
        <w:t xml:space="preserve">2.  Parties</w:t>
      </w:r>
    </w:p>
    <w:p>
      <w:pPr>
        <w:spacing w:after="120"/>
      </w:pPr>
      <w:r>
        <w:rPr>
          <w:rFonts w:ascii="Calibri" w:cs="Calibri" w:eastAsia="Calibri" w:hAnsi="Calibri"/>
          <w:b/>
          <w:bCs/>
          <w:color w:val="212121"/>
          <w:sz w:val="20"/>
          <w:szCs w:val="20"/>
        </w:rPr>
        <w:t xml:space="preserve">Authorizing organization:  </w:t>
      </w:r>
      <w:r>
        <w:rPr>
          <w:rFonts w:ascii="Calibri" w:cs="Calibri" w:eastAsia="Calibri" w:hAnsi="Calibri"/>
          <w:color w:val="9AA0A6"/>
          <w:sz w:val="20"/>
          <w:szCs w:val="20"/>
        </w:rPr>
        <w:t xml:space="preserve">______________________________________________</w:t>
      </w:r>
    </w:p>
    <w:p>
      <w:pPr>
        <w:spacing w:after="120"/>
      </w:pPr>
      <w:r>
        <w:rPr>
          <w:rFonts w:ascii="Calibri" w:cs="Calibri" w:eastAsia="Calibri" w:hAnsi="Calibri"/>
          <w:b/>
          <w:bCs/>
          <w:color w:val="212121"/>
          <w:sz w:val="20"/>
          <w:szCs w:val="20"/>
        </w:rPr>
        <w:t xml:space="preserve">Business sponsor / approving manager:  </w:t>
      </w:r>
      <w:r>
        <w:rPr>
          <w:rFonts w:ascii="Calibri" w:cs="Calibri" w:eastAsia="Calibri" w:hAnsi="Calibri"/>
          <w:color w:val="9AA0A6"/>
          <w:sz w:val="20"/>
          <w:szCs w:val="20"/>
        </w:rPr>
        <w:t xml:space="preserve">________________________________________</w:t>
      </w:r>
    </w:p>
    <w:p>
      <w:pPr>
        <w:spacing w:after="120"/>
      </w:pPr>
      <w:r>
        <w:rPr>
          <w:rFonts w:ascii="Calibri" w:cs="Calibri" w:eastAsia="Calibri" w:hAnsi="Calibri"/>
          <w:b/>
          <w:bCs/>
          <w:color w:val="212121"/>
          <w:sz w:val="20"/>
          <w:szCs w:val="20"/>
        </w:rPr>
        <w:t xml:space="preserve">IT / Infrastructure owner:  </w:t>
      </w:r>
      <w:r>
        <w:rPr>
          <w:rFonts w:ascii="Calibri" w:cs="Calibri" w:eastAsia="Calibri" w:hAnsi="Calibri"/>
          <w:color w:val="9AA0A6"/>
          <w:sz w:val="20"/>
          <w:szCs w:val="20"/>
        </w:rPr>
        <w:t xml:space="preserve">______________________________________________</w:t>
      </w:r>
    </w:p>
    <w:p>
      <w:pPr>
        <w:spacing w:after="120"/>
      </w:pPr>
      <w:r>
        <w:rPr>
          <w:rFonts w:ascii="Calibri" w:cs="Calibri" w:eastAsia="Calibri" w:hAnsi="Calibri"/>
          <w:b/>
          <w:bCs/>
          <w:color w:val="212121"/>
          <w:sz w:val="20"/>
          <w:szCs w:val="20"/>
        </w:rPr>
        <w:t xml:space="preserve">Assessment lead (Security):  </w:t>
      </w:r>
      <w:r>
        <w:rPr>
          <w:rFonts w:ascii="Calibri" w:cs="Calibri" w:eastAsia="Calibri" w:hAnsi="Calibri"/>
          <w:color w:val="9AA0A6"/>
          <w:sz w:val="20"/>
          <w:szCs w:val="20"/>
        </w:rPr>
        <w:t xml:space="preserve">____________________________________________</w:t>
      </w:r>
    </w:p>
    <w:p>
      <w:pPr>
        <w:spacing w:after="120" w:line="276"/>
      </w:pPr>
      <w:r>
        <w:rPr>
          <w:rFonts w:ascii="Calibri" w:cs="Calibri" w:eastAsia="Calibri" w:hAnsi="Calibri"/>
          <w:color w:val="212121"/>
          <w:sz w:val="20"/>
          <w:szCs w:val="20"/>
        </w:rPr>
        <w:t xml:space="preserve">The assessment team acts in good faith and strictly within the scope and schedule defined below. Any activity outside this scope requires prior written authorization.</w:t>
      </w:r>
    </w:p>
    <w:p>
      <w:pPr>
        <w:pBdr>
          <w:bottom w:val="single" w:color="B4C6E7" w:sz="6" w:space="4"/>
        </w:pBdr>
        <w:spacing w:after="90" w:before="240"/>
      </w:pPr>
      <w:r>
        <w:rPr>
          <w:rFonts w:ascii="Calibri" w:cs="Calibri" w:eastAsia="Calibri" w:hAnsi="Calibri"/>
          <w:b/>
          <w:bCs/>
          <w:color w:val="1F3864"/>
          <w:sz w:val="24"/>
          <w:szCs w:val="24"/>
        </w:rPr>
        <w:t xml:space="preserve">3.  Scope — Authorized Targets</w:t>
      </w:r>
    </w:p>
    <w:p>
      <w:pPr>
        <w:spacing w:after="120" w:line="276"/>
      </w:pPr>
      <w:r>
        <w:rPr>
          <w:rFonts w:ascii="Calibri" w:cs="Calibri" w:eastAsia="Calibri" w:hAnsi="Calibri"/>
          <w:color w:val="212121"/>
          <w:sz w:val="20"/>
          <w:szCs w:val="20"/>
        </w:rPr>
        <w:t xml:space="preserve">The following networks are IN SCOPE for this assessment. List every authorized range, subnet, and VLAN. Only assets the organization owns and is authorized to test may be listed.</w:t>
      </w:r>
    </w:p>
    <w:tbl>
      <w:tblPr>
        <w:tblW w:type="dxa" w:w="9360"/>
        <w:tblBorders>
          <w:top w:val="single" w:color="B4C6E7" w:sz="4"/>
          <w:left w:val="single" w:color="B4C6E7" w:sz="4"/>
          <w:bottom w:val="single" w:color="B4C6E7" w:sz="4"/>
          <w:right w:val="single" w:color="B4C6E7" w:sz="4"/>
          <w:insideH w:val="single" w:color="B4C6E7" w:sz="4"/>
          <w:insideV w:val="single" w:color="B4C6E7" w:sz="4"/>
        </w:tblBorders>
      </w:tblPr>
      <w:tblGrid>
        <w:gridCol w:w="520"/>
        <w:gridCol w:w="3000"/>
        <w:gridCol w:w="2600"/>
        <w:gridCol w:w="1040"/>
        <w:gridCol w:w="2200"/>
      </w:tblGrid>
      <w:tr>
        <w:trPr>
          <w:tblHeader/>
        </w:trPr>
        <w:tc>
          <w:tcPr>
            <w:tcW w:type="dxa" w:w="52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w:t>
            </w:r>
          </w:p>
        </w:tc>
        <w:tc>
          <w:tcPr>
            <w:tcW w:type="dxa" w:w="30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Description / Zone</w:t>
            </w:r>
          </w:p>
        </w:tc>
        <w:tc>
          <w:tcPr>
            <w:tcW w:type="dxa" w:w="26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IP Range or CIDR</w:t>
            </w:r>
          </w:p>
        </w:tc>
        <w:tc>
          <w:tcPr>
            <w:tcW w:type="dxa" w:w="104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VLAN</w:t>
            </w:r>
          </w:p>
        </w:tc>
        <w:tc>
          <w:tcPr>
            <w:tcW w:type="dxa" w:w="22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Notes</w:t>
            </w:r>
          </w:p>
        </w:tc>
      </w:tr>
      <w:tr>
        <w:tc>
          <w:tcPr>
            <w:tcW w:type="dxa" w:w="52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0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6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04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0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6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04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0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6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04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0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6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04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0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6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04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0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6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04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bl>
    <w:p>
      <w:pPr>
        <w:spacing w:after="120" w:line="276"/>
      </w:pPr>
      <w:r>
        <w:rPr>
          <w:rFonts w:ascii="Calibri" w:cs="Calibri" w:eastAsia="Calibri" w:hAnsi="Calibri"/>
          <w:color w:val="212121"/>
          <w:sz w:val="20"/>
          <w:szCs w:val="20"/>
        </w:rPr>
        <w:t xml:space="preserve"/>
      </w:r>
    </w:p>
    <w:p>
      <w:pPr>
        <w:spacing w:after="120" w:line="276"/>
      </w:pPr>
      <w:r>
        <w:rPr>
          <w:rFonts w:ascii="Calibri" w:cs="Calibri" w:eastAsia="Calibri" w:hAnsi="Calibri"/>
          <w:b/>
          <w:bCs/>
          <w:color w:val="B00020"/>
          <w:sz w:val="20"/>
          <w:szCs w:val="20"/>
        </w:rPr>
        <w:t xml:space="preserve">Explicitly OUT OF SCOPE </w:t>
      </w:r>
      <w:r>
        <w:rPr>
          <w:rFonts w:ascii="Calibri" w:cs="Calibri" w:eastAsia="Calibri" w:hAnsi="Calibri"/>
          <w:color w:val="212121"/>
          <w:sz w:val="20"/>
          <w:szCs w:val="20"/>
        </w:rPr>
        <w:t xml:space="preserve">(must not be scanned or touched):</w:t>
      </w:r>
    </w:p>
    <w:tbl>
      <w:tblPr>
        <w:tblW w:type="dxa" w:w="9360"/>
        <w:tblBorders>
          <w:top w:val="single" w:color="B4C6E7" w:sz="4"/>
          <w:left w:val="single" w:color="B4C6E7" w:sz="4"/>
          <w:bottom w:val="single" w:color="B4C6E7" w:sz="4"/>
          <w:right w:val="single" w:color="B4C6E7" w:sz="4"/>
          <w:insideH w:val="single" w:color="B4C6E7" w:sz="4"/>
          <w:insideV w:val="single" w:color="B4C6E7" w:sz="4"/>
        </w:tblBorders>
      </w:tblPr>
      <w:tblGrid>
        <w:gridCol w:w="520"/>
        <w:gridCol w:w="5000"/>
        <w:gridCol w:w="3840"/>
      </w:tblGrid>
      <w:tr>
        <w:trPr>
          <w:tblHeader/>
        </w:trPr>
        <w:tc>
          <w:tcPr>
            <w:tcW w:type="dxa" w:w="52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w:t>
            </w:r>
          </w:p>
        </w:tc>
        <w:tc>
          <w:tcPr>
            <w:tcW w:type="dxa" w:w="50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Excluded system / range</w:t>
            </w:r>
          </w:p>
        </w:tc>
        <w:tc>
          <w:tcPr>
            <w:tcW w:type="dxa" w:w="384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Reason</w:t>
            </w:r>
          </w:p>
        </w:tc>
      </w:tr>
      <w:tr>
        <w:tc>
          <w:tcPr>
            <w:tcW w:type="dxa" w:w="52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50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84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50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84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50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84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52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50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84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bl>
    <w:p>
      <w:pPr>
        <w:spacing w:after="90" w:before="240"/>
      </w:pPr>
      <w:r>
        <w:rPr>
          <w:rFonts w:ascii="Calibri" w:cs="Calibri" w:eastAsia="Calibri" w:hAnsi="Calibri"/>
          <w:b/>
          <w:bCs/>
          <w:color w:val="1F3864"/>
          <w:sz w:val="24"/>
          <w:szCs w:val="24"/>
        </w:rPr>
        <w:t xml:space="preserve">4.  Authorized Activities</w:t>
      </w:r>
    </w:p>
    <w:p>
      <w:pPr>
        <w:pStyle w:val="ListParagraph"/>
        <w:numPr>
          <w:ilvl w:val="0"/>
          <w:numId w:val="1"/>
        </w:numPr>
        <w:spacing w:after="60" w:line="264"/>
      </w:pPr>
      <w:r>
        <w:rPr>
          <w:rFonts w:ascii="Calibri" w:cs="Calibri" w:eastAsia="Calibri" w:hAnsi="Calibri"/>
          <w:color w:val="212121"/>
          <w:sz w:val="20"/>
          <w:szCs w:val="20"/>
        </w:rPr>
        <w:t xml:space="preserve">Host discovery / liveness sweeps (ICMP, ARP, TCP SYN) across in-scope ranges.</w:t>
      </w:r>
    </w:p>
    <w:p>
      <w:pPr>
        <w:pStyle w:val="ListParagraph"/>
        <w:numPr>
          <w:ilvl w:val="0"/>
          <w:numId w:val="1"/>
        </w:numPr>
        <w:spacing w:after="60" w:line="264"/>
      </w:pPr>
      <w:r>
        <w:rPr>
          <w:rFonts w:ascii="Calibri" w:cs="Calibri" w:eastAsia="Calibri" w:hAnsi="Calibri"/>
          <w:color w:val="212121"/>
          <w:sz w:val="20"/>
          <w:szCs w:val="20"/>
        </w:rPr>
        <w:t xml:space="preserve">TCP/UDP port scanning and service / version detection (e.g., nmap, zmap for internal discovery).</w:t>
      </w:r>
    </w:p>
    <w:p>
      <w:pPr>
        <w:pStyle w:val="ListParagraph"/>
        <w:numPr>
          <w:ilvl w:val="0"/>
          <w:numId w:val="1"/>
        </w:numPr>
        <w:spacing w:after="60" w:line="264"/>
      </w:pPr>
      <w:r>
        <w:rPr>
          <w:rFonts w:ascii="Calibri" w:cs="Calibri" w:eastAsia="Calibri" w:hAnsi="Calibri"/>
          <w:color w:val="212121"/>
          <w:sz w:val="20"/>
          <w:szCs w:val="20"/>
        </w:rPr>
        <w:t xml:space="preserve">Non-destructive vulnerability scanning (e.g., nmap NSE “vuln” scripts) on reachable hosts.</w:t>
      </w:r>
    </w:p>
    <w:p>
      <w:pPr>
        <w:pStyle w:val="ListParagraph"/>
        <w:numPr>
          <w:ilvl w:val="0"/>
          <w:numId w:val="1"/>
        </w:numPr>
        <w:spacing w:after="60" w:line="264"/>
      </w:pPr>
      <w:r>
        <w:rPr>
          <w:rFonts w:ascii="Calibri" w:cs="Calibri" w:eastAsia="Calibri" w:hAnsi="Calibri"/>
          <w:color w:val="212121"/>
          <w:sz w:val="20"/>
          <w:szCs w:val="20"/>
        </w:rPr>
        <w:t xml:space="preserve">Cross-segment reachability testing to evaluate VLAN / subnet isolation (the segmentation audit).</w:t>
      </w:r>
    </w:p>
    <w:p>
      <w:pPr>
        <w:pStyle w:val="ListParagraph"/>
        <w:numPr>
          <w:ilvl w:val="0"/>
          <w:numId w:val="1"/>
        </w:numPr>
        <w:spacing w:after="60" w:line="264"/>
      </w:pPr>
      <w:r>
        <w:rPr>
          <w:rFonts w:ascii="Calibri" w:cs="Calibri" w:eastAsia="Calibri" w:hAnsi="Calibri"/>
          <w:color w:val="212121"/>
          <w:sz w:val="20"/>
          <w:szCs w:val="20"/>
        </w:rPr>
        <w:t xml:space="preserve">Passive traffic observation on an authorized interface (read-only; no injection).</w:t>
      </w:r>
    </w:p>
    <w:p>
      <w:pPr>
        <w:pStyle w:val="ListParagraph"/>
        <w:numPr>
          <w:ilvl w:val="0"/>
          <w:numId w:val="1"/>
        </w:numPr>
        <w:spacing w:after="60" w:line="264"/>
      </w:pPr>
      <w:r>
        <w:rPr>
          <w:rFonts w:ascii="Calibri" w:cs="Calibri" w:eastAsia="Calibri" w:hAnsi="Calibri"/>
          <w:color w:val="212121"/>
          <w:sz w:val="20"/>
          <w:szCs w:val="20"/>
        </w:rPr>
        <w:t xml:space="preserve">Documentation of findings into the assessment platform (Sentinel SOC).</w:t>
      </w:r>
    </w:p>
    <w:p>
      <w:pPr>
        <w:spacing w:after="90" w:before="240"/>
      </w:pPr>
      <w:r>
        <w:rPr>
          <w:rFonts w:ascii="Calibri" w:cs="Calibri" w:eastAsia="Calibri" w:hAnsi="Calibri"/>
          <w:b/>
          <w:bCs/>
          <w:color w:val="1F3864"/>
          <w:sz w:val="24"/>
          <w:szCs w:val="24"/>
        </w:rPr>
        <w:t xml:space="preserve">5.  Prohibited Activities (Stage 1)</w:t>
      </w:r>
    </w:p>
    <w:p>
      <w:pPr>
        <w:pStyle w:val="ListParagraph"/>
        <w:numPr>
          <w:ilvl w:val="0"/>
          <w:numId w:val="1"/>
        </w:numPr>
        <w:spacing w:after="60" w:line="264"/>
      </w:pPr>
      <w:r>
        <w:rPr>
          <w:rFonts w:ascii="Calibri" w:cs="Calibri" w:eastAsia="Calibri" w:hAnsi="Calibri"/>
          <w:b/>
          <w:bCs/>
          <w:color w:val="212121"/>
          <w:sz w:val="20"/>
          <w:szCs w:val="20"/>
        </w:rPr>
        <w:t xml:space="preserve">No exploitation.  </w:t>
      </w:r>
      <w:r>
        <w:rPr>
          <w:rFonts w:ascii="Calibri" w:cs="Calibri" w:eastAsia="Calibri" w:hAnsi="Calibri"/>
          <w:color w:val="212121"/>
          <w:sz w:val="20"/>
          <w:szCs w:val="20"/>
        </w:rPr>
        <w:t xml:space="preserve">Exploitation of vulnerabilities, privilege escalation, or installation of any tooling on target hosts.</w:t>
      </w:r>
    </w:p>
    <w:p>
      <w:pPr>
        <w:pStyle w:val="ListParagraph"/>
        <w:numPr>
          <w:ilvl w:val="0"/>
          <w:numId w:val="1"/>
        </w:numPr>
        <w:spacing w:after="60" w:line="264"/>
      </w:pPr>
      <w:r>
        <w:rPr>
          <w:rFonts w:ascii="Calibri" w:cs="Calibri" w:eastAsia="Calibri" w:hAnsi="Calibri"/>
          <w:b/>
          <w:bCs/>
          <w:color w:val="212121"/>
          <w:sz w:val="20"/>
          <w:szCs w:val="20"/>
        </w:rPr>
        <w:t xml:space="preserve">No disruption.  </w:t>
      </w:r>
      <w:r>
        <w:rPr>
          <w:rFonts w:ascii="Calibri" w:cs="Calibri" w:eastAsia="Calibri" w:hAnsi="Calibri"/>
          <w:color w:val="212121"/>
          <w:sz w:val="20"/>
          <w:szCs w:val="20"/>
        </w:rPr>
        <w:t xml:space="preserve">Denial-of-service, stress, or flooding tests of any kind.</w:t>
      </w:r>
    </w:p>
    <w:p>
      <w:pPr>
        <w:pStyle w:val="ListParagraph"/>
        <w:numPr>
          <w:ilvl w:val="0"/>
          <w:numId w:val="1"/>
        </w:numPr>
        <w:spacing w:after="60" w:line="264"/>
      </w:pPr>
      <w:r>
        <w:rPr>
          <w:rFonts w:ascii="Calibri" w:cs="Calibri" w:eastAsia="Calibri" w:hAnsi="Calibri"/>
          <w:b/>
          <w:bCs/>
          <w:color w:val="212121"/>
          <w:sz w:val="20"/>
          <w:szCs w:val="20"/>
        </w:rPr>
        <w:t xml:space="preserve">No credentials.  </w:t>
      </w:r>
      <w:r>
        <w:rPr>
          <w:rFonts w:ascii="Calibri" w:cs="Calibri" w:eastAsia="Calibri" w:hAnsi="Calibri"/>
          <w:color w:val="212121"/>
          <w:sz w:val="20"/>
          <w:szCs w:val="20"/>
        </w:rPr>
        <w:t xml:space="preserve">Password brute-forcing, credential capture, or offline cracking.</w:t>
      </w:r>
    </w:p>
    <w:p>
      <w:pPr>
        <w:pStyle w:val="ListParagraph"/>
        <w:numPr>
          <w:ilvl w:val="0"/>
          <w:numId w:val="1"/>
        </w:numPr>
        <w:spacing w:after="60" w:line="264"/>
      </w:pPr>
      <w:r>
        <w:rPr>
          <w:rFonts w:ascii="Calibri" w:cs="Calibri" w:eastAsia="Calibri" w:hAnsi="Calibri"/>
          <w:b/>
          <w:bCs/>
          <w:color w:val="212121"/>
          <w:sz w:val="20"/>
          <w:szCs w:val="20"/>
        </w:rPr>
        <w:t xml:space="preserve">No social eng.  </w:t>
      </w:r>
      <w:r>
        <w:rPr>
          <w:rFonts w:ascii="Calibri" w:cs="Calibri" w:eastAsia="Calibri" w:hAnsi="Calibri"/>
          <w:color w:val="212121"/>
          <w:sz w:val="20"/>
          <w:szCs w:val="20"/>
        </w:rPr>
        <w:t xml:space="preserve">Social engineering, phishing of staff, or physical intrusion.</w:t>
      </w:r>
    </w:p>
    <w:p>
      <w:pPr>
        <w:pStyle w:val="ListParagraph"/>
        <w:numPr>
          <w:ilvl w:val="0"/>
          <w:numId w:val="1"/>
        </w:numPr>
        <w:spacing w:after="60" w:line="264"/>
      </w:pPr>
      <w:r>
        <w:rPr>
          <w:rFonts w:ascii="Calibri" w:cs="Calibri" w:eastAsia="Calibri" w:hAnsi="Calibri"/>
          <w:b/>
          <w:bCs/>
          <w:color w:val="212121"/>
          <w:sz w:val="20"/>
          <w:szCs w:val="20"/>
        </w:rPr>
        <w:t xml:space="preserve">No data access.  </w:t>
      </w:r>
      <w:r>
        <w:rPr>
          <w:rFonts w:ascii="Calibri" w:cs="Calibri" w:eastAsia="Calibri" w:hAnsi="Calibri"/>
          <w:color w:val="212121"/>
          <w:sz w:val="20"/>
          <w:szCs w:val="20"/>
        </w:rPr>
        <w:t xml:space="preserve">Accessing, copying, altering, or deleting business data.</w:t>
      </w:r>
    </w:p>
    <w:p>
      <w:pPr>
        <w:pStyle w:val="ListParagraph"/>
        <w:numPr>
          <w:ilvl w:val="0"/>
          <w:numId w:val="1"/>
        </w:numPr>
        <w:spacing w:after="60" w:line="264"/>
      </w:pPr>
      <w:r>
        <w:rPr>
          <w:rFonts w:ascii="Calibri" w:cs="Calibri" w:eastAsia="Calibri" w:hAnsi="Calibri"/>
          <w:b/>
          <w:bCs/>
          <w:color w:val="212121"/>
          <w:sz w:val="20"/>
          <w:szCs w:val="20"/>
        </w:rPr>
        <w:t xml:space="preserve">No out-of-scope.  </w:t>
      </w:r>
      <w:r>
        <w:rPr>
          <w:rFonts w:ascii="Calibri" w:cs="Calibri" w:eastAsia="Calibri" w:hAnsi="Calibri"/>
          <w:color w:val="212121"/>
          <w:sz w:val="20"/>
          <w:szCs w:val="20"/>
        </w:rPr>
        <w:t xml:space="preserve">Scanning any system not listed as in scope.</w:t>
      </w:r>
    </w:p>
    <w:p>
      <w:pPr>
        <w:spacing w:after="90" w:before="240"/>
      </w:pPr>
      <w:r>
        <w:rPr>
          <w:rFonts w:ascii="Calibri" w:cs="Calibri" w:eastAsia="Calibri" w:hAnsi="Calibri"/>
          <w:b/>
          <w:bCs/>
          <w:color w:val="1F3864"/>
          <w:sz w:val="24"/>
          <w:szCs w:val="24"/>
        </w:rPr>
        <w:t xml:space="preserve">6.  Authorized Tools</w:t>
      </w:r>
    </w:p>
    <w:p>
      <w:pPr>
        <w:spacing w:after="120" w:line="276"/>
      </w:pPr>
      <w:r>
        <w:rPr>
          <w:rFonts w:ascii="Calibri" w:cs="Calibri" w:eastAsia="Calibri" w:hAnsi="Calibri"/>
          <w:color w:val="212121"/>
          <w:sz w:val="20"/>
          <w:szCs w:val="20"/>
        </w:rPr>
        <w:t xml:space="preserve">nmap, zmap (internal-range configuration), tshark (passive capture, Stage 2), and the Sentinel SOC detection scripts. Any additional tool must be approved in writing before use.</w:t>
      </w:r>
    </w:p>
    <w:p>
      <w:pPr>
        <w:pBdr>
          <w:bottom w:val="single" w:color="B4C6E7" w:sz="6" w:space="4"/>
        </w:pBdr>
        <w:spacing w:after="90" w:before="240"/>
      </w:pPr>
      <w:r>
        <w:rPr>
          <w:rFonts w:ascii="Calibri" w:cs="Calibri" w:eastAsia="Calibri" w:hAnsi="Calibri"/>
          <w:b/>
          <w:bCs/>
          <w:color w:val="1F3864"/>
          <w:sz w:val="24"/>
          <w:szCs w:val="24"/>
        </w:rPr>
        <w:t xml:space="preserve">7.  Schedule &amp; Time Window</w:t>
      </w:r>
    </w:p>
    <w:tbl>
      <w:tblPr>
        <w:tblW w:type="dxa" w:w="9360"/>
        <w:tblBorders>
          <w:top w:val="single" w:color="B4C6E7" w:sz="4"/>
          <w:left w:val="single" w:color="B4C6E7" w:sz="4"/>
          <w:bottom w:val="single" w:color="B4C6E7" w:sz="4"/>
          <w:right w:val="single" w:color="B4C6E7" w:sz="4"/>
          <w:insideH w:val="single" w:color="B4C6E7" w:sz="4"/>
          <w:insideV w:val="single" w:color="B4C6E7" w:sz="4"/>
        </w:tblBorders>
      </w:tblPr>
      <w:tblGrid>
        <w:gridCol w:w="3200"/>
        <w:gridCol w:w="6160"/>
      </w:tblGrid>
      <w:tr>
        <w:trPr>
          <w:tblHeader/>
        </w:trPr>
        <w:tc>
          <w:tcPr>
            <w:tcW w:type="dxa" w:w="32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Parameter</w:t>
            </w:r>
          </w:p>
        </w:tc>
        <w:tc>
          <w:tcPr>
            <w:tcW w:type="dxa" w:w="616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Value</w:t>
            </w:r>
          </w:p>
        </w:tc>
      </w:tr>
      <w:tr>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Assessment start date</w:t>
            </w:r>
          </w:p>
        </w:tc>
        <w:tc>
          <w:tcPr>
            <w:tcW w:type="dxa" w:w="61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3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Assessment end date</w:t>
            </w:r>
          </w:p>
        </w:tc>
        <w:tc>
          <w:tcPr>
            <w:tcW w:type="dxa" w:w="616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Permitted scanning hours</w:t>
            </w:r>
          </w:p>
        </w:tc>
        <w:tc>
          <w:tcPr>
            <w:tcW w:type="dxa" w:w="61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e.g., 19:00 – 06:00 (outside business hours)</w:t>
            </w:r>
          </w:p>
        </w:tc>
      </w:tr>
      <w:tr>
        <w:tc>
          <w:tcPr>
            <w:tcW w:type="dxa" w:w="3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Blackout periods (no scanning)</w:t>
            </w:r>
          </w:p>
        </w:tc>
        <w:tc>
          <w:tcPr>
            <w:tcW w:type="dxa" w:w="616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Intrusive vuln scans coordinated with IT?</w:t>
            </w:r>
          </w:p>
        </w:tc>
        <w:tc>
          <w:tcPr>
            <w:tcW w:type="dxa" w:w="61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Yes  □     Scheduled window: ______________</w:t>
            </w:r>
          </w:p>
        </w:tc>
      </w:tr>
    </w:tbl>
    <w:p>
      <w:pPr>
        <w:spacing w:after="90" w:before="240"/>
      </w:pPr>
      <w:r>
        <w:rPr>
          <w:rFonts w:ascii="Calibri" w:cs="Calibri" w:eastAsia="Calibri" w:hAnsi="Calibri"/>
          <w:b/>
          <w:bCs/>
          <w:color w:val="1F3864"/>
          <w:sz w:val="24"/>
          <w:szCs w:val="24"/>
        </w:rPr>
        <w:t xml:space="preserve">8.  Authorized Personnel</w:t>
      </w:r>
    </w:p>
    <w:tbl>
      <w:tblPr>
        <w:tblW w:type="dxa" w:w="9360"/>
        <w:tblBorders>
          <w:top w:val="single" w:color="B4C6E7" w:sz="4"/>
          <w:left w:val="single" w:color="B4C6E7" w:sz="4"/>
          <w:bottom w:val="single" w:color="B4C6E7" w:sz="4"/>
          <w:right w:val="single" w:color="B4C6E7" w:sz="4"/>
          <w:insideH w:val="single" w:color="B4C6E7" w:sz="4"/>
          <w:insideV w:val="single" w:color="B4C6E7" w:sz="4"/>
        </w:tblBorders>
      </w:tblPr>
      <w:tblGrid>
        <w:gridCol w:w="3200"/>
        <w:gridCol w:w="2960"/>
        <w:gridCol w:w="3200"/>
      </w:tblGrid>
      <w:tr>
        <w:trPr>
          <w:tblHeader/>
        </w:trPr>
        <w:tc>
          <w:tcPr>
            <w:tcW w:type="dxa" w:w="32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Name</w:t>
            </w:r>
          </w:p>
        </w:tc>
        <w:tc>
          <w:tcPr>
            <w:tcW w:type="dxa" w:w="296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Role</w:t>
            </w:r>
          </w:p>
        </w:tc>
        <w:tc>
          <w:tcPr>
            <w:tcW w:type="dxa" w:w="32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Email / Phone</w:t>
            </w:r>
          </w:p>
        </w:tc>
      </w:tr>
      <w:tr>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9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3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96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9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2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3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96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2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bl>
    <w:p>
      <w:pPr>
        <w:spacing w:after="90" w:before="240"/>
      </w:pPr>
      <w:r>
        <w:rPr>
          <w:rFonts w:ascii="Calibri" w:cs="Calibri" w:eastAsia="Calibri" w:hAnsi="Calibri"/>
          <w:b/>
          <w:bCs/>
          <w:color w:val="1F3864"/>
          <w:sz w:val="24"/>
          <w:szCs w:val="24"/>
        </w:rPr>
        <w:t xml:space="preserve">9.  Emergency Contacts &amp; Stop Conditions</w:t>
      </w:r>
    </w:p>
    <w:p>
      <w:pPr>
        <w:spacing w:after="120" w:line="276"/>
      </w:pPr>
      <w:r>
        <w:rPr>
          <w:rFonts w:ascii="Calibri" w:cs="Calibri" w:eastAsia="Calibri" w:hAnsi="Calibri"/>
          <w:color w:val="212121"/>
          <w:sz w:val="20"/>
          <w:szCs w:val="20"/>
        </w:rPr>
        <w:t xml:space="preserve">If any system becomes unstable or unavailable during the assessment, the team will immediately stop the activity, notify the contacts below, and document the event. Scanning resumes only after IT confirms it is safe to proceed.</w:t>
      </w:r>
    </w:p>
    <w:p>
      <w:pPr>
        <w:spacing w:after="120"/>
      </w:pPr>
      <w:r>
        <w:rPr>
          <w:rFonts w:ascii="Calibri" w:cs="Calibri" w:eastAsia="Calibri" w:hAnsi="Calibri"/>
          <w:b/>
          <w:bCs/>
          <w:color w:val="212121"/>
          <w:sz w:val="20"/>
          <w:szCs w:val="20"/>
        </w:rPr>
        <w:t xml:space="preserve">Primary IT emergency contact (name / phone):  </w:t>
      </w:r>
      <w:r>
        <w:rPr>
          <w:rFonts w:ascii="Calibri" w:cs="Calibri" w:eastAsia="Calibri" w:hAnsi="Calibri"/>
          <w:color w:val="9AA0A6"/>
          <w:sz w:val="20"/>
          <w:szCs w:val="20"/>
        </w:rPr>
        <w:t xml:space="preserve">__________________________________</w:t>
      </w:r>
    </w:p>
    <w:p>
      <w:pPr>
        <w:spacing w:after="120"/>
      </w:pPr>
      <w:r>
        <w:rPr>
          <w:rFonts w:ascii="Calibri" w:cs="Calibri" w:eastAsia="Calibri" w:hAnsi="Calibri"/>
          <w:b/>
          <w:bCs/>
          <w:color w:val="212121"/>
          <w:sz w:val="20"/>
          <w:szCs w:val="20"/>
        </w:rPr>
        <w:t xml:space="preserve">Secondary contact (name / phone):  </w:t>
      </w:r>
      <w:r>
        <w:rPr>
          <w:rFonts w:ascii="Calibri" w:cs="Calibri" w:eastAsia="Calibri" w:hAnsi="Calibri"/>
          <w:color w:val="9AA0A6"/>
          <w:sz w:val="20"/>
          <w:szCs w:val="20"/>
        </w:rPr>
        <w:t xml:space="preserve">__________________________________________</w:t>
      </w:r>
    </w:p>
    <w:p>
      <w:pPr>
        <w:pStyle w:val="ListParagraph"/>
        <w:numPr>
          <w:ilvl w:val="0"/>
          <w:numId w:val="1"/>
        </w:numPr>
        <w:spacing w:after="60" w:line="264"/>
      </w:pPr>
      <w:r>
        <w:rPr>
          <w:rFonts w:ascii="Calibri" w:cs="Calibri" w:eastAsia="Calibri" w:hAnsi="Calibri"/>
          <w:b/>
          <w:bCs/>
          <w:color w:val="212121"/>
          <w:sz w:val="20"/>
          <w:szCs w:val="20"/>
        </w:rPr>
        <w:t xml:space="preserve">Stop conditions:  </w:t>
      </w:r>
      <w:r>
        <w:rPr>
          <w:rFonts w:ascii="Calibri" w:cs="Calibri" w:eastAsia="Calibri" w:hAnsi="Calibri"/>
          <w:color w:val="212121"/>
          <w:sz w:val="20"/>
          <w:szCs w:val="20"/>
        </w:rPr>
        <w:t xml:space="preserve">Stop immediately if a host or service goes down, if unexpected production impact is observed, or on request from IT.</w:t>
      </w:r>
    </w:p>
    <w:p>
      <w:pPr>
        <w:spacing w:after="90" w:before="240"/>
      </w:pPr>
      <w:r>
        <w:rPr>
          <w:rFonts w:ascii="Calibri" w:cs="Calibri" w:eastAsia="Calibri" w:hAnsi="Calibri"/>
          <w:b/>
          <w:bCs/>
          <w:color w:val="1F3864"/>
          <w:sz w:val="24"/>
          <w:szCs w:val="24"/>
        </w:rPr>
        <w:t xml:space="preserve">10.  Data Handling &amp; Confidentiality</w:t>
      </w:r>
    </w:p>
    <w:p>
      <w:pPr>
        <w:spacing w:after="120" w:line="276"/>
      </w:pPr>
      <w:r>
        <w:rPr>
          <w:rFonts w:ascii="Calibri" w:cs="Calibri" w:eastAsia="Calibri" w:hAnsi="Calibri"/>
          <w:color w:val="212121"/>
          <w:sz w:val="20"/>
          <w:szCs w:val="20"/>
        </w:rPr>
        <w:t xml:space="preserve">All assessment output (host inventories, open ports, vulnerabilities, network maps) is CONFIDENTIAL and reveals the internal structure of the network. It will be stored only on authorized systems, shared only with the parties to this authorization, and retained per the organization’s data-retention policy. Findings will not be disclosed to any third party without written approval.</w:t>
      </w:r>
    </w:p>
    <w:p>
      <w:pPr>
        <w:spacing w:after="90" w:before="240"/>
      </w:pPr>
      <w:r>
        <w:rPr>
          <w:rFonts w:ascii="Calibri" w:cs="Calibri" w:eastAsia="Calibri" w:hAnsi="Calibri"/>
          <w:b/>
          <w:bCs/>
          <w:color w:val="1F3864"/>
          <w:sz w:val="24"/>
          <w:szCs w:val="24"/>
        </w:rPr>
        <w:t xml:space="preserve">11.  Risk Acknowledgment</w:t>
      </w:r>
    </w:p>
    <w:p>
      <w:pPr>
        <w:spacing w:after="120" w:line="276"/>
      </w:pPr>
      <w:r>
        <w:rPr>
          <w:rFonts w:ascii="Calibri" w:cs="Calibri" w:eastAsia="Calibri" w:hAnsi="Calibri"/>
          <w:color w:val="212121"/>
          <w:sz w:val="20"/>
          <w:szCs w:val="20"/>
        </w:rPr>
        <w:t xml:space="preserve">The parties acknowledge that network scanning carries an inherent, low but non-zero risk of service disruption, particularly against fragile or legacy devices. The assessment team will use non-destructive settings and coordinate intrusive scans with IT. By signing below, the authorizing organization accepts this residual risk and confirms it owns, or is duly authorized to test, every in-scope target.</w:t>
      </w:r>
    </w:p>
    <w:p>
      <w:pPr>
        <w:pBdr>
          <w:bottom w:val="single" w:color="B4C6E7" w:sz="6" w:space="4"/>
        </w:pBdr>
        <w:spacing w:after="90" w:before="240"/>
      </w:pPr>
      <w:r>
        <w:rPr>
          <w:rFonts w:ascii="Calibri" w:cs="Calibri" w:eastAsia="Calibri" w:hAnsi="Calibri"/>
          <w:b/>
          <w:bCs/>
          <w:color w:val="1F3864"/>
          <w:sz w:val="24"/>
          <w:szCs w:val="24"/>
        </w:rPr>
        <w:t xml:space="preserve">12.  Authorization &amp; Signatures</w:t>
      </w:r>
    </w:p>
    <w:p>
      <w:pPr>
        <w:spacing w:after="120" w:line="276"/>
      </w:pPr>
      <w:r>
        <w:rPr>
          <w:rFonts w:ascii="Calibri" w:cs="Calibri" w:eastAsia="Calibri" w:hAnsi="Calibri"/>
          <w:color w:val="212121"/>
          <w:sz w:val="20"/>
          <w:szCs w:val="20"/>
        </w:rPr>
        <w:t xml:space="preserve">By signing, each party confirms they have read, understood, and approved the scope and rules of engagement defined in this document.</w:t>
      </w:r>
    </w:p>
    <w:p>
      <w:pPr>
        <w:spacing w:after="40" w:before="200"/>
      </w:pPr>
      <w:r>
        <w:rPr>
          <w:rFonts w:ascii="Calibri" w:cs="Calibri" w:eastAsia="Calibri" w:hAnsi="Calibri"/>
          <w:b/>
          <w:bCs/>
          <w:color w:val="2E5496"/>
          <w:sz w:val="20"/>
          <w:szCs w:val="20"/>
        </w:rPr>
        <w:t xml:space="preserve">Approving Manager / Business Sponsor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p>
            <w:pPr>
              <w:pBdr>
                <w:bottom w:val="single" w:color="212121" w:sz="6" w:space="2"/>
              </w:pBdr>
              <w:spacing w:before="260"/>
            </w:pPr>
            <w:r>
              <w:rPr>
                <w:sz w:val="18"/>
                <w:szCs w:val="18"/>
              </w:rPr>
              <w:t xml:space="preserve"> </w:t>
            </w:r>
          </w:p>
          <w:p>
            <w:pPr>
              <w:spacing w:after="40"/>
            </w:pPr>
            <w:r>
              <w:rPr>
                <w:rFonts w:ascii="Calibri" w:cs="Calibri" w:eastAsia="Calibri" w:hAnsi="Calibri"/>
                <w:color w:val="595959"/>
                <w:sz w:val="16"/>
                <w:szCs w:val="16"/>
              </w:rPr>
              <w:t xml:space="preserve">Signature</w:t>
            </w:r>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p>
            <w:pPr>
              <w:pBdr>
                <w:bottom w:val="single" w:color="212121" w:sz="6" w:space="2"/>
              </w:pBdr>
              <w:spacing w:before="260"/>
            </w:pPr>
            <w:r>
              <w:rPr>
                <w:sz w:val="18"/>
                <w:szCs w:val="18"/>
              </w:rPr>
              <w:t xml:space="preserve"> </w:t>
            </w:r>
          </w:p>
          <w:p>
            <w:pPr>
              <w:spacing w:after="40"/>
            </w:pPr>
            <w:r>
              <w:rPr>
                <w:rFonts w:ascii="Calibri" w:cs="Calibri" w:eastAsia="Calibri" w:hAnsi="Calibri"/>
                <w:color w:val="595959"/>
                <w:sz w:val="16"/>
                <w:szCs w:val="16"/>
              </w:rPr>
              <w:t xml:space="preserve">Date</w:t>
            </w:r>
          </w:p>
        </w:tc>
      </w:tr>
    </w:tbl>
    <w:p>
      <w:pPr>
        <w:spacing w:before="120"/>
      </w:pPr>
      <w:r>
        <w:rPr>
          <w:rFonts w:ascii="Calibri" w:cs="Calibri" w:eastAsia="Calibri" w:hAnsi="Calibri"/>
          <w:b/>
          <w:bCs/>
          <w:color w:val="212121"/>
          <w:sz w:val="19"/>
          <w:szCs w:val="19"/>
        </w:rPr>
        <w:t xml:space="preserve">Printed name:  </w:t>
      </w:r>
      <w:r>
        <w:rPr>
          <w:rFonts w:ascii="Calibri" w:cs="Calibri" w:eastAsia="Calibri" w:hAnsi="Calibri"/>
          <w:color w:val="9AA0A6"/>
          <w:sz w:val="19"/>
          <w:szCs w:val="19"/>
        </w:rPr>
        <w:t xml:space="preserve">__________________________________</w:t>
      </w:r>
      <w:r>
        <w:rPr>
          <w:rFonts w:ascii="Calibri" w:cs="Calibri" w:eastAsia="Calibri" w:hAnsi="Calibri"/>
          <w:b/>
          <w:bCs/>
          <w:color w:val="212121"/>
          <w:sz w:val="19"/>
          <w:szCs w:val="19"/>
        </w:rPr>
        <w:t xml:space="preserve">     Title:  </w:t>
      </w:r>
      <w:r>
        <w:rPr>
          <w:rFonts w:ascii="Calibri" w:cs="Calibri" w:eastAsia="Calibri" w:hAnsi="Calibri"/>
          <w:color w:val="9AA0A6"/>
          <w:sz w:val="19"/>
          <w:szCs w:val="19"/>
        </w:rPr>
        <w:t xml:space="preserve">________________________</w:t>
      </w:r>
    </w:p>
    <w:p>
      <w:pPr>
        <w:spacing w:after="40" w:before="200"/>
      </w:pPr>
      <w:r>
        <w:rPr>
          <w:rFonts w:ascii="Calibri" w:cs="Calibri" w:eastAsia="Calibri" w:hAnsi="Calibri"/>
          <w:b/>
          <w:bCs/>
          <w:color w:val="2E5496"/>
          <w:sz w:val="20"/>
          <w:szCs w:val="20"/>
        </w:rPr>
        <w:t xml:space="preserve">IT / Infrastructure Owner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p>
            <w:pPr>
              <w:pBdr>
                <w:bottom w:val="single" w:color="212121" w:sz="6" w:space="2"/>
              </w:pBdr>
              <w:spacing w:before="260"/>
            </w:pPr>
            <w:r>
              <w:rPr>
                <w:sz w:val="18"/>
                <w:szCs w:val="18"/>
              </w:rPr>
              <w:t xml:space="preserve"> </w:t>
            </w:r>
          </w:p>
          <w:p>
            <w:pPr>
              <w:spacing w:after="40"/>
            </w:pPr>
            <w:r>
              <w:rPr>
                <w:rFonts w:ascii="Calibri" w:cs="Calibri" w:eastAsia="Calibri" w:hAnsi="Calibri"/>
                <w:color w:val="595959"/>
                <w:sz w:val="16"/>
                <w:szCs w:val="16"/>
              </w:rPr>
              <w:t xml:space="preserve">Signature</w:t>
            </w:r>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p>
            <w:pPr>
              <w:pBdr>
                <w:bottom w:val="single" w:color="212121" w:sz="6" w:space="2"/>
              </w:pBdr>
              <w:spacing w:before="260"/>
            </w:pPr>
            <w:r>
              <w:rPr>
                <w:sz w:val="18"/>
                <w:szCs w:val="18"/>
              </w:rPr>
              <w:t xml:space="preserve"> </w:t>
            </w:r>
          </w:p>
          <w:p>
            <w:pPr>
              <w:spacing w:after="40"/>
            </w:pPr>
            <w:r>
              <w:rPr>
                <w:rFonts w:ascii="Calibri" w:cs="Calibri" w:eastAsia="Calibri" w:hAnsi="Calibri"/>
                <w:color w:val="595959"/>
                <w:sz w:val="16"/>
                <w:szCs w:val="16"/>
              </w:rPr>
              <w:t xml:space="preserve">Date</w:t>
            </w:r>
          </w:p>
        </w:tc>
      </w:tr>
    </w:tbl>
    <w:p>
      <w:pPr>
        <w:spacing w:before="120"/>
      </w:pPr>
      <w:r>
        <w:rPr>
          <w:rFonts w:ascii="Calibri" w:cs="Calibri" w:eastAsia="Calibri" w:hAnsi="Calibri"/>
          <w:b/>
          <w:bCs/>
          <w:color w:val="212121"/>
          <w:sz w:val="19"/>
          <w:szCs w:val="19"/>
        </w:rPr>
        <w:t xml:space="preserve">Printed name:  </w:t>
      </w:r>
      <w:r>
        <w:rPr>
          <w:rFonts w:ascii="Calibri" w:cs="Calibri" w:eastAsia="Calibri" w:hAnsi="Calibri"/>
          <w:color w:val="9AA0A6"/>
          <w:sz w:val="19"/>
          <w:szCs w:val="19"/>
        </w:rPr>
        <w:t xml:space="preserve">__________________________________</w:t>
      </w:r>
      <w:r>
        <w:rPr>
          <w:rFonts w:ascii="Calibri" w:cs="Calibri" w:eastAsia="Calibri" w:hAnsi="Calibri"/>
          <w:b/>
          <w:bCs/>
          <w:color w:val="212121"/>
          <w:sz w:val="19"/>
          <w:szCs w:val="19"/>
        </w:rPr>
        <w:t xml:space="preserve">     Title:  </w:t>
      </w:r>
      <w:r>
        <w:rPr>
          <w:rFonts w:ascii="Calibri" w:cs="Calibri" w:eastAsia="Calibri" w:hAnsi="Calibri"/>
          <w:color w:val="9AA0A6"/>
          <w:sz w:val="19"/>
          <w:szCs w:val="19"/>
        </w:rPr>
        <w:t xml:space="preserve">________________________</w:t>
      </w:r>
    </w:p>
    <w:p>
      <w:pPr>
        <w:spacing w:after="40" w:before="200"/>
      </w:pPr>
      <w:r>
        <w:rPr>
          <w:rFonts w:ascii="Calibri" w:cs="Calibri" w:eastAsia="Calibri" w:hAnsi="Calibri"/>
          <w:b/>
          <w:bCs/>
          <w:color w:val="2E5496"/>
          <w:sz w:val="20"/>
          <w:szCs w:val="20"/>
        </w:rPr>
        <w:t xml:space="preserve">Assessment Lead (Security)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p>
            <w:pPr>
              <w:pBdr>
                <w:bottom w:val="single" w:color="212121" w:sz="6" w:space="2"/>
              </w:pBdr>
              <w:spacing w:before="260"/>
            </w:pPr>
            <w:r>
              <w:rPr>
                <w:sz w:val="18"/>
                <w:szCs w:val="18"/>
              </w:rPr>
              <w:t xml:space="preserve"> </w:t>
            </w:r>
          </w:p>
          <w:p>
            <w:pPr>
              <w:spacing w:after="40"/>
            </w:pPr>
            <w:r>
              <w:rPr>
                <w:rFonts w:ascii="Calibri" w:cs="Calibri" w:eastAsia="Calibri" w:hAnsi="Calibri"/>
                <w:color w:val="595959"/>
                <w:sz w:val="16"/>
                <w:szCs w:val="16"/>
              </w:rPr>
              <w:t xml:space="preserve">Signature</w:t>
            </w:r>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p>
            <w:pPr>
              <w:pBdr>
                <w:bottom w:val="single" w:color="212121" w:sz="6" w:space="2"/>
              </w:pBdr>
              <w:spacing w:before="260"/>
            </w:pPr>
            <w:r>
              <w:rPr>
                <w:sz w:val="18"/>
                <w:szCs w:val="18"/>
              </w:rPr>
              <w:t xml:space="preserve"> </w:t>
            </w:r>
          </w:p>
          <w:p>
            <w:pPr>
              <w:spacing w:after="40"/>
            </w:pPr>
            <w:r>
              <w:rPr>
                <w:rFonts w:ascii="Calibri" w:cs="Calibri" w:eastAsia="Calibri" w:hAnsi="Calibri"/>
                <w:color w:val="595959"/>
                <w:sz w:val="16"/>
                <w:szCs w:val="16"/>
              </w:rPr>
              <w:t xml:space="preserve">Date</w:t>
            </w:r>
          </w:p>
        </w:tc>
      </w:tr>
    </w:tbl>
    <w:p>
      <w:pPr>
        <w:spacing w:before="120"/>
      </w:pPr>
      <w:r>
        <w:rPr>
          <w:rFonts w:ascii="Calibri" w:cs="Calibri" w:eastAsia="Calibri" w:hAnsi="Calibri"/>
          <w:b/>
          <w:bCs/>
          <w:color w:val="212121"/>
          <w:sz w:val="19"/>
          <w:szCs w:val="19"/>
        </w:rPr>
        <w:t xml:space="preserve">Printed name:  </w:t>
      </w:r>
      <w:r>
        <w:rPr>
          <w:rFonts w:ascii="Calibri" w:cs="Calibri" w:eastAsia="Calibri" w:hAnsi="Calibri"/>
          <w:color w:val="9AA0A6"/>
          <w:sz w:val="19"/>
          <w:szCs w:val="19"/>
        </w:rPr>
        <w:t xml:space="preserve">__________________________________</w:t>
      </w:r>
      <w:r>
        <w:rPr>
          <w:rFonts w:ascii="Calibri" w:cs="Calibri" w:eastAsia="Calibri" w:hAnsi="Calibri"/>
          <w:b/>
          <w:bCs/>
          <w:color w:val="212121"/>
          <w:sz w:val="19"/>
          <w:szCs w:val="19"/>
        </w:rPr>
        <w:t xml:space="preserve">     Title:  </w:t>
      </w:r>
      <w:r>
        <w:rPr>
          <w:rFonts w:ascii="Calibri" w:cs="Calibri" w:eastAsia="Calibri" w:hAnsi="Calibri"/>
          <w:color w:val="9AA0A6"/>
          <w:sz w:val="19"/>
          <w:szCs w:val="19"/>
        </w:rPr>
        <w:t xml:space="preserve">________________________</w:t>
      </w:r>
    </w:p>
    <w:p>
      <w:pPr>
        <w:spacing w:after="90" w:before="320"/>
      </w:pPr>
      <w:r>
        <w:rPr>
          <w:rFonts w:ascii="Calibri" w:cs="Calibri" w:eastAsia="Calibri" w:hAnsi="Calibri"/>
          <w:b/>
          <w:bCs/>
          <w:color w:val="1F3864"/>
          <w:sz w:val="24"/>
          <w:szCs w:val="24"/>
        </w:rPr>
        <w:t xml:space="preserve">Appendix A — Revision History</w:t>
      </w:r>
    </w:p>
    <w:tbl>
      <w:tblPr>
        <w:tblW w:type="dxa" w:w="9360"/>
        <w:tblBorders>
          <w:top w:val="single" w:color="B4C6E7" w:sz="4"/>
          <w:left w:val="single" w:color="B4C6E7" w:sz="4"/>
          <w:bottom w:val="single" w:color="B4C6E7" w:sz="4"/>
          <w:right w:val="single" w:color="B4C6E7" w:sz="4"/>
          <w:insideH w:val="single" w:color="B4C6E7" w:sz="4"/>
          <w:insideV w:val="single" w:color="B4C6E7" w:sz="4"/>
        </w:tblBorders>
      </w:tblPr>
      <w:tblGrid>
        <w:gridCol w:w="1400"/>
        <w:gridCol w:w="1800"/>
        <w:gridCol w:w="2560"/>
        <w:gridCol w:w="3600"/>
      </w:tblGrid>
      <w:tr>
        <w:trPr>
          <w:tblHeader/>
        </w:trPr>
        <w:tc>
          <w:tcPr>
            <w:tcW w:type="dxa" w:w="14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Version</w:t>
            </w:r>
          </w:p>
        </w:tc>
        <w:tc>
          <w:tcPr>
            <w:tcW w:type="dxa" w:w="18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Date</w:t>
            </w:r>
          </w:p>
        </w:tc>
        <w:tc>
          <w:tcPr>
            <w:tcW w:type="dxa" w:w="256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Author</w:t>
            </w:r>
          </w:p>
        </w:tc>
        <w:tc>
          <w:tcPr>
            <w:tcW w:type="dxa" w:w="3600"/>
            <w:shd w:fill="1F3864"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Change</w:t>
            </w:r>
          </w:p>
        </w:tc>
      </w:tr>
      <w:tr>
        <w:tc>
          <w:tcPr>
            <w:tcW w:type="dxa" w:w="14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1.0</w:t>
            </w:r>
          </w:p>
        </w:tc>
        <w:tc>
          <w:tcPr>
            <w:tcW w:type="dxa" w:w="18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5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6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Initial authorization</w:t>
            </w:r>
          </w:p>
        </w:tc>
      </w:tr>
      <w:tr>
        <w:tc>
          <w:tcPr>
            <w:tcW w:type="dxa" w:w="14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8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56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600"/>
            <w:shd w:fill="F2F5FA" w:color="auto" w:val="clear"/>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r>
        <w:tc>
          <w:tcPr>
            <w:tcW w:type="dxa" w:w="14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18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256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c>
          <w:tcPr>
            <w:tcW w:type="dxa" w:w="3600"/>
            <w:tcMar>
              <w:top w:type="dxa" w:w="60"/>
              <w:left w:type="dxa" w:w="110"/>
              <w:bottom w:type="dxa" w:w="60"/>
              <w:right w:type="dxa" w:w="110"/>
            </w:tcMar>
            <w:vAlign w:val="center"/>
          </w:tcPr>
          <w:p>
            <w:r>
              <w:rPr>
                <w:rFonts w:ascii="Calibri" w:cs="Calibri" w:eastAsia="Calibri" w:hAnsi="Calibri"/>
                <w:b w:val="false"/>
                <w:bCs w:val="false"/>
                <w:color w:val="212121"/>
                <w:sz w:val="19"/>
                <w:szCs w:val="19"/>
              </w:rPr>
              <w:t xml:space="preserve"/>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3"/>
      </w:pBdr>
      <w:tabs>
        <w:tab w:val="right" w:pos="9360"/>
      </w:tabs>
    </w:pPr>
    <w:r>
      <w:rPr>
        <w:rFonts w:ascii="Calibri" w:cs="Calibri" w:eastAsia="Calibri" w:hAnsi="Calibri"/>
        <w:color w:val="595959"/>
        <w:sz w:val="15"/>
        <w:szCs w:val="15"/>
      </w:rPr>
      <w:t xml:space="preserve">Sentinel SOC — Information Security</w:t>
    </w:r>
    <w:r>
      <w:rPr>
        <w:rFonts w:ascii="Calibri" w:cs="Calibri" w:eastAsia="Calibri" w:hAnsi="Calibri"/>
        <w:color w:val="595959"/>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3"/>
      </w:pBdr>
      <w:tabs>
        <w:tab w:val="right" w:pos="9360"/>
      </w:tabs>
    </w:pPr>
    <w:r>
      <w:rPr>
        <w:rFonts w:ascii="Calibri" w:cs="Calibri" w:eastAsia="Calibri" w:hAnsi="Calibri"/>
        <w:color w:val="595959"/>
        <w:sz w:val="15"/>
        <w:szCs w:val="15"/>
      </w:rPr>
      <w:t xml:space="preserve">Scope Authorization &amp; Rules of Engagement</w:t>
    </w:r>
    <w:r>
      <w:rPr>
        <w:rFonts w:ascii="Calibri" w:cs="Calibri" w:eastAsia="Calibri" w:hAnsi="Calibri"/>
        <w:b/>
        <w:bCs/>
        <w:color w:val="B00020"/>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 Assessment — Scope Authorization &amp; Rules of Engagement</dc:title>
  <dc:creator>Sentinel SOC</dc:creator>
  <cp:lastModifiedBy>Un-named</cp:lastModifiedBy>
  <cp:revision>1</cp:revision>
  <dcterms:created xsi:type="dcterms:W3CDTF">2026-08-27T04:27:30.713Z</dcterms:created>
  <dcterms:modified xsi:type="dcterms:W3CDTF">2026-08-27T04:27:30.714Z</dcterms:modified>
</cp:coreProperties>
</file>

<file path=docProps/custom.xml><?xml version="1.0" encoding="utf-8"?>
<Properties xmlns="http://schemas.openxmlformats.org/officeDocument/2006/custom-properties" xmlns:vt="http://schemas.openxmlformats.org/officeDocument/2006/docPropsVTypes"/>
</file>