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49907" cy="1128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907" cy="112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Pre-Lab 6: Teaching the Bear to Navigate the Maze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Socheath Sok,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Class: EE 346 L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6, T/Th 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November 26, 2018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Questions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is stack underflow and overflow?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0" w:firstLine="0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Stack underflow is error that occur when pop is used on an empty stack.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ind w:left="0" w:firstLine="0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ab/>
        <w:t xml:space="preserve">Stack Overflow is is error that occur when more items are being push onto the stack 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0" w:firstLine="720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than it can hold.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subroutine rules, if not followed, would result in a stack underflow and/or overflow condition. Explain your answers.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Registers that are needed for modification must be specified in the code to avoid popping registers from an empty stack and cause underflow.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If registers are not push in the beginning and pop at the end in reverse order, more than desired items might be placed on the stack and cause overflow.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How would you represent minus 1 in hexadecimal using 2’s complement notation?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yellow"/>
          <w:rtl w:val="0"/>
        </w:rPr>
        <w:t xml:space="preserve">0xFF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Write an assembly program to implement the WhichWay flowchart.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WhichWay: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push r25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push r26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push r27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lds r24,dir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rcall LeftPaw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tst r24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breq case0xx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case1xx: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lds r24,dir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rcall HitWall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 tst r24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breq case10x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case11x: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lds r24,dir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rcall RightPaw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tst r24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breq case110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case111: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rjmp TA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case110: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rjmp TR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case10x: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lds r24,dir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rcall RightPaw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tst r24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breq case100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case101: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lds r24,dir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  <w:tab/>
              <w:t xml:space="preserve">rjmp WhichEnd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case100: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lds r25,N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inc r25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sts N,r25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cpi r25, 0x01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brne TR 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cpi r25, 0x02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brne TR 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cpi r25, 0x04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brne TR 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cpi r25, 0x05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brne TR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lds r24,dir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rjmp whichEnd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case0xx: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lds r24,dir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rcall HitWall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tst r24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breq case00x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case01x: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lds r24,dir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rcall RightPaw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tst r24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breq case010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case011: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rjmp TL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case010: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lds r26,N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inc r26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sts N,r26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cpi r26,0x01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brne TR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cpi r26,0x05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brne TR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cpi r26,0x06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brne TR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cpi r26,0x07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brne TR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cpi r26,0x08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brne TR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rjmp TL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case00x: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lds r24,dir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rcall RightPaw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tst r24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breq case000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case001: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lds r27,N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inc r27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sts N,r27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cpi r23,0x01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brne TL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cpi r23,0x03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brne TL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lds r24,dir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  rjmp WhichEnd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case000: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lds r24,dir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rjmp whichEnd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TL:           lds r24,dir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rcall TurnLeft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rjmp WhichEnd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TR:</w:t>
              <w:tab/>
              <w:t xml:space="preserve"> lds r24,dir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rcall TurnRight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rjmp WhichEnd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TA             :lds r24,dir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rcall TurnAround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rjmp WhichEnd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WhichEnd: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pop r27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pop r26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ab/>
              <w:t xml:space="preserve">pop r25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  <w:tab/>
              <w:t xml:space="preserve">ret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94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