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7A07"/>
          <w:sz w:val="68"/>
        </w:rPr>
        <w:t>EARTH WORKS</w:t>
      </w:r>
    </w:p>
    <w:p>
      <w:pPr>
        <w:jc w:val="center"/>
      </w:pPr>
      <w:r>
        <w:rPr>
          <w:rFonts w:ascii="Arial" w:hAnsi="Arial"/>
          <w:b/>
          <w:color w:val="050604"/>
          <w:sz w:val="42"/>
        </w:rPr>
        <w:t>Website Brand &amp; UI Guide — V19</w:t>
      </w:r>
    </w:p>
    <w:p>
      <w:pPr>
        <w:jc w:val="center"/>
      </w:pPr>
      <w:r>
        <w:rPr>
          <w:rFonts w:ascii="Segoe UI" w:hAnsi="Segoe UI"/>
          <w:color w:val="62685E"/>
          <w:sz w:val="22"/>
        </w:rPr>
        <w:t>Typography, spacing, header architecture and responsive implementation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</w:rPr>
              <w:t xml:space="preserve">V19 correction: </w:t>
            </w:r>
            <w:r>
              <w:t>The extra-condensed display face has been removed from prominent headings. The site now uses a readable, layout-safe type system and a fixed five-container header grid with controlled side margins.</w:t>
            </w:r>
          </w:p>
        </w:tc>
      </w:tr>
    </w:tbl>
    <w:p/>
    <w:p>
      <w:pPr>
        <w:pStyle w:val="Heading1"/>
      </w:pPr>
      <w:r>
        <w:t>1. Typography System</w:t>
      </w:r>
    </w:p>
    <w:p>
      <w:r>
        <w:t>The goal is readability first, while retaining a strong, confident landscape-supply identity. All page templates should use the same three-font role system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3888"/>
        <w:gridCol w:w="1440"/>
        <w:gridCol w:w="3744"/>
      </w:tblGrid>
      <w:tr>
        <w:tc>
          <w:tcPr>
            <w:tcW w:type="dxa" w:w="25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5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Font stack</w:t>
            </w:r>
          </w:p>
        </w:tc>
        <w:tc>
          <w:tcPr>
            <w:tcW w:type="dxa" w:w="25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5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Display / headings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Arial, Helvetica Neue, Helvetica, sans-serif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800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H1, H2, major section headings, key card titles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Body / UI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Segoe UI, Arial, Helvetica, sans-serif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400–800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Paragraphs, navigation, utility controls, forms, filters, product data</w:t>
            </w:r>
          </w:p>
        </w:tc>
      </w:tr>
      <w:tr>
        <w:tc>
          <w:tcPr>
            <w:tcW w:type="dxa" w:w="20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Accent / handwritten</w:t>
            </w:r>
          </w:p>
        </w:tc>
        <w:tc>
          <w:tcPr>
            <w:tcW w:type="dxa" w:w="38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Segoe Print, Bradley Hand, cursive</w:t>
            </w:r>
          </w:p>
        </w:tc>
        <w:tc>
          <w:tcPr>
            <w:tcW w:type="dxa" w:w="14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600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Short eyebrow labels and service-promise accents only</w:t>
            </w:r>
          </w:p>
        </w:tc>
      </w:tr>
    </w:tbl>
    <w:p>
      <w:pPr>
        <w:spacing w:after="40"/>
      </w:pPr>
    </w:p>
    <w:p>
      <w:pPr>
        <w:pStyle w:val="Heading2"/>
      </w:pPr>
      <w:r>
        <w:t>Responsive type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1872"/>
        <w:gridCol w:w="1872"/>
        <w:gridCol w:w="1872"/>
        <w:gridCol w:w="1728"/>
      </w:tblGrid>
      <w:tr>
        <w:tc>
          <w:tcPr>
            <w:tcW w:type="dxa" w:w="204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Viewport</w:t>
            </w:r>
          </w:p>
        </w:tc>
        <w:tc>
          <w:tcPr>
            <w:tcW w:type="dxa" w:w="204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H1</w:t>
            </w:r>
          </w:p>
        </w:tc>
        <w:tc>
          <w:tcPr>
            <w:tcW w:type="dxa" w:w="204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H2</w:t>
            </w:r>
          </w:p>
        </w:tc>
        <w:tc>
          <w:tcPr>
            <w:tcW w:type="dxa" w:w="204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H3</w:t>
            </w:r>
          </w:p>
        </w:tc>
        <w:tc>
          <w:tcPr>
            <w:tcW w:type="dxa" w:w="204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Body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Desktop ≥ 1321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48–68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36–48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21–26 px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16 px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Laptop 1121–1320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44–58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34–42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21–26 px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16 px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Tablet 621–1120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48 px max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38 px max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21–24 px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16 px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Mobile ≤ 620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38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31 px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21 px</w:t>
            </w:r>
          </w:p>
        </w:tc>
        <w:tc>
          <w:tcPr>
            <w:tcW w:type="dxa" w:w="17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15 px</w:t>
            </w:r>
          </w:p>
        </w:tc>
      </w:tr>
    </w:tbl>
    <w:p>
      <w:pPr>
        <w:spacing w:after="40"/>
      </w:pPr>
    </w:p>
    <w:p>
      <w:r>
        <w:t>Heading rule: use normal/title case for page and section headings. Do not use an ultra-condensed face for H1/H2. Keep H1 line-height around 1.04 and H2 around 1.08 so large headings remain readable and do not visually merge.</w:t>
      </w:r>
    </w:p>
    <w:p>
      <w:pPr>
        <w:pStyle w:val="Heading1"/>
      </w:pPr>
      <w:r>
        <w:t>2. Header Architecture</w:t>
      </w:r>
    </w:p>
    <w:p>
      <w:r>
        <w:t>The black utility bar is treated as five logical containers inside one centered page shell. The page shell is never allowed to touch the viewport edges.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4608"/>
        <w:gridCol w:w="4320"/>
      </w:tblGrid>
      <w:tr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Container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Desktop role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Sizing / spacing rule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“We Have Your Grounds Covered!” + Pick Up / Delivery / Install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258 px target; centered internally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Search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Flexible column; minimum 330 px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Indian Springs phone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126 px target; center aligned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4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Birmingham phone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126 px target; center aligned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5</w:t>
            </w:r>
          </w:p>
        </w:tc>
        <w:tc>
          <w:tcPr>
            <w:tcW w:type="dxa" w:w="46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My Account + Language + Cart</w:t>
            </w:r>
          </w:p>
        </w:tc>
        <w:tc>
          <w:tcPr>
            <w:tcW w:type="dxa" w:w="432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238 px target; 3-button internal grid</w:t>
            </w:r>
          </w:p>
        </w:tc>
      </w:tr>
    </w:tbl>
    <w:p>
      <w:pPr>
        <w:spacing w:after="40"/>
      </w:pPr>
    </w:p>
    <w:p>
      <w:pPr>
        <w:pStyle w:val="Heading2"/>
      </w:pPr>
      <w:r>
        <w:t>Page shell / edge margins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456"/>
        <w:gridCol w:w="3744"/>
      </w:tblGrid>
      <w:tr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Breakpoint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Horizontal page padding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Max content width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Desktop</w:t>
            </w:r>
          </w:p>
        </w:tc>
        <w:tc>
          <w:tcPr>
            <w:tcW w:type="dxa" w:w="34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32 px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1440 px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Laptop / tablet</w:t>
            </w:r>
          </w:p>
        </w:tc>
        <w:tc>
          <w:tcPr>
            <w:tcW w:type="dxa" w:w="34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24 px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1440 px</w:t>
            </w:r>
          </w:p>
        </w:tc>
      </w:tr>
      <w:tr>
        <w:tc>
          <w:tcPr>
            <w:tcW w:type="dxa" w:w="302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Mobile</w:t>
            </w:r>
          </w:p>
        </w:tc>
        <w:tc>
          <w:tcPr>
            <w:tcW w:type="dxa" w:w="345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20 px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100% minus 40 px</w:t>
            </w:r>
          </w:p>
        </w:tc>
      </w:tr>
    </w:tbl>
    <w:p>
      <w:pPr>
        <w:spacing w:after="40"/>
      </w:pPr>
    </w:p>
    <w:p>
      <w:r>
        <w:t>Desktop column gap: 28 px. Laptop column gap: 18 px. The search field may grow, but the two phone blocks and utility cluster remain visually balanced. At smaller tablet widths the utility cluster may move to a second row rather than compressing controls until they become unreadable.</w:t>
      </w:r>
    </w:p>
    <w:p>
      <w:pPr>
        <w:pStyle w:val="Heading2"/>
      </w:pPr>
      <w:r>
        <w:t>Header text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32"/>
        <w:gridCol w:w="3168"/>
        <w:gridCol w:w="3168"/>
      </w:tblGrid>
      <w:tr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Desktop / laptop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Mobile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Promise headline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17 px / 16 px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15 px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Pick Up / Delivery / Install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14 px / 13 px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13 px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Phone number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15 px / 14 px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Hidden in compact mobile bar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Location label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9 px uppercase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Hidden with phone block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Search primary text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12 px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12 px</w:t>
            </w:r>
          </w:p>
        </w:tc>
      </w:tr>
      <w:tr>
        <w:tc>
          <w:tcPr>
            <w:tcW w:type="dxa" w:w="40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Utility buttons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10 px</w:t>
            </w:r>
          </w:p>
        </w:tc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9.5 px</w:t>
            </w:r>
          </w:p>
        </w:tc>
      </w:tr>
    </w:tbl>
    <w:p>
      <w:pPr>
        <w:spacing w:after="40"/>
      </w:pPr>
    </w:p>
    <w:p>
      <w:pPr>
        <w:pStyle w:val="Heading1"/>
      </w:pPr>
      <w:r>
        <w:t>3. Brand Color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1872"/>
        <w:gridCol w:w="5616"/>
      </w:tblGrid>
      <w:tr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34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Primary black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#050604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Black utility bar, footer, dark sections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Primary green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#4F7A07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Links, active states, accent labels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Bright green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#6F9D12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CTA emphasis and selected states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Dark green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#234D06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Announcement bar, service panels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Ink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#161916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Primary text on light backgrounds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Muted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#62685E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Secondary/supporting copy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Border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#DDE2D8</w:t>
            </w:r>
          </w:p>
        </w:tc>
        <w:tc>
          <w:tcPr>
            <w:tcW w:type="dxa" w:w="56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Controls, cards, menu separators</w:t>
            </w:r>
          </w:p>
        </w:tc>
      </w:tr>
    </w:tbl>
    <w:p>
      <w:pPr>
        <w:spacing w:after="40"/>
      </w:pPr>
    </w:p>
    <w:p>
      <w:r>
        <w:t>Do not introduce unrelated blue or red UI states. New controls, mega-menu states, service panels and alerts should remain within the black / green / white / neutral system.</w:t>
      </w:r>
    </w:p>
    <w:p>
      <w:pPr>
        <w:pStyle w:val="Heading1"/>
      </w:pPr>
      <w:r>
        <w:t>4. Spacing &amp; Component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7488"/>
      </w:tblGrid>
      <w:tr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4F7A07"/>
          </w:tcPr>
          <w:p>
            <w:r>
              <w:rPr>
                <w:b/>
                <w:color w:val="FFFFFF"/>
              </w:rPr>
              <w:t>Rule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Header shell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Never less than 20 px from a phone edge, 24 px on tablet/laptop, 32 px on desktop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Primary header gaps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28 px desktop; 18 px laptop; 12–20 px on wrapped tablet layouts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Buttons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Minimum 40–44 px interactive height; consistent 7 px corner radius in utility navigation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Section rhythm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Use 64–96 px vertical section padding on desktop; reduce proportionally on tablet/mobile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Paragraph measure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Keep long copy around 60–75 characters per line where possible</w:t>
            </w:r>
          </w:p>
        </w:tc>
      </w:tr>
      <w:tr>
        <w:tc>
          <w:tcPr>
            <w:tcW w:type="dxa" w:w="288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Cards</w:t>
            </w:r>
          </w:p>
        </w:tc>
        <w:tc>
          <w:tcPr>
            <w:tcW w:type="dxa" w:w="748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Use consistent title/body spacing; avoid oversized all-caps card titles</w:t>
            </w:r>
          </w:p>
        </w:tc>
      </w:tr>
    </w:tbl>
    <w:p>
      <w:pPr>
        <w:spacing w:after="40"/>
      </w:pPr>
    </w:p>
    <w:p>
      <w:pPr>
        <w:pStyle w:val="Heading1"/>
      </w:pPr>
      <w:r>
        <w:t>5. Responsive Behavior</w:t>
      </w:r>
    </w:p>
    <w:p>
      <w:pPr>
        <w:pStyle w:val="ListBullet"/>
      </w:pPr>
      <w:r>
        <w:t>≥ 1321 px: all five black-bar containers remain on one row.</w:t>
      </w:r>
    </w:p>
    <w:p>
      <w:pPr>
        <w:pStyle w:val="ListBullet"/>
      </w:pPr>
      <w:r>
        <w:t>1121–1320 px: retain one row with smaller fixed columns and 18 px gaps.</w:t>
      </w:r>
    </w:p>
    <w:p>
      <w:pPr>
        <w:pStyle w:val="ListBullet"/>
      </w:pPr>
      <w:r>
        <w:t>901–1120 px: promise/search/phone blocks remain readable; utility cluster can occupy a second row.</w:t>
      </w:r>
    </w:p>
    <w:p>
      <w:pPr>
        <w:pStyle w:val="ListBullet"/>
      </w:pPr>
      <w:r>
        <w:t>621–900 px: two-column utility arrangement, with full 24 px side padding.</w:t>
      </w:r>
    </w:p>
    <w:p>
      <w:pPr>
        <w:pStyle w:val="ListBullet"/>
      </w:pPr>
      <w:r>
        <w:t>≤ 620 px: 20 px side padding, promise + search + utility cluster stacked; phone blocks are removed from the compact mobile black bar.</w:t>
      </w:r>
    </w:p>
    <w:p>
      <w:pPr>
        <w:pStyle w:val="Heading1"/>
      </w:pPr>
      <w:r>
        <w:t>6. Developer QA Checklist</w:t>
      </w:r>
    </w:p>
    <w:p>
      <w:pPr>
        <w:pStyle w:val="ListBullet"/>
      </w:pPr>
      <w:r>
        <w:t>No page content or header element touches the viewport edge.</w:t>
      </w:r>
    </w:p>
    <w:p>
      <w:pPr>
        <w:pStyle w:val="ListBullet"/>
      </w:pPr>
      <w:r>
        <w:t>Black and white navigation remain sticky together while scrolling.</w:t>
      </w:r>
    </w:p>
    <w:p>
      <w:pPr>
        <w:pStyle w:val="ListBullet"/>
      </w:pPr>
      <w:r>
        <w:t>H1/H2 use the readable display stack; no Impact/extra-condensed heading treatment remains.</w:t>
      </w:r>
    </w:p>
    <w:p>
      <w:pPr>
        <w:pStyle w:val="ListBullet"/>
      </w:pPr>
      <w:r>
        <w:t>Pick Up / Delivery / Install remain visually subordinate to the promise headline.</w:t>
      </w:r>
    </w:p>
    <w:p>
      <w:pPr>
        <w:pStyle w:val="ListBullet"/>
      </w:pPr>
      <w:r>
        <w:t>Both phone blocks use identical width, alignment and typography.</w:t>
      </w:r>
    </w:p>
    <w:p>
      <w:pPr>
        <w:pStyle w:val="ListBullet"/>
      </w:pPr>
      <w:r>
        <w:t>Account / Language / Cart behave as one balanced utility cluster.</w:t>
      </w:r>
    </w:p>
    <w:p>
      <w:pPr>
        <w:pStyle w:val="ListBullet"/>
      </w:pPr>
      <w:r>
        <w:t>Mega menu, service panels, collection pages and product pages use the same font/color tokens.</w:t>
      </w:r>
    </w:p>
    <w:p>
      <w:pPr>
        <w:pStyle w:val="ListBullet"/>
      </w:pPr>
      <w:r>
        <w:t>Test at 1920, 1440/1366, 1024, 768 and 390 px widths before approval.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5060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FFFFFF"/>
              </w:rPr>
              <w:t>Identity-font note</w:t>
            </w:r>
            <w:r>
              <w:rPr>
                <w:color w:val="EBF0E6"/>
              </w:rPr>
              <w:br/>
              <w:t>The display font is intentionally set to a universally readable web-safe stack for this prototype. If Earth Works supplies a final identity/display font later, it can replace the single display-font token without changing the spacing, size scale or component architecture.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color w:val="1619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5060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7A0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5060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5060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