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2" w:name="title"/>
    <w:p>
      <w:pPr>
        <w:pStyle w:val="Heading1"/>
      </w:pPr>
      <w:r>
        <w:t xml:space="preserve">Supplemental Materials: Smiling your way to happiness or misery? Experimental tests of competing perspectives</w:t>
      </w:r>
    </w:p>
    <w:p>
      <w:pPr>
        <w:pStyle w:val="Author"/>
      </w:pPr>
      <w:r>
        <w:t xml:space="preserve"> </w:t>
      </w:r>
    </w:p>
    <w:p>
      <w:pPr>
        <w:pStyle w:val="Author"/>
      </w:pPr>
      <w:r>
        <w:t xml:space="preserve">Nicholas A. Coles, Annabel Dang, and Joao Francisco Goes Braga Takayanagi</w:t>
      </w:r>
    </w:p>
    <w:p>
      <w:pPr>
        <w:pStyle w:val="Author"/>
      </w:pPr>
      <w:r>
        <w:t xml:space="preserve">Department of Psychology, University of Florida</w:t>
      </w:r>
    </w:p>
    <w:p>
      <w:pPr>
        <w:pStyle w:val="BodyText"/>
      </w:pPr>
      <w:r>
        <w:t xml:space="preserve"> </w:t>
      </w:r>
    </w:p>
    <w:p>
      <w:pPr>
        <w:pStyle w:val="BodyText"/>
      </w:pPr>
      <w:r>
        <w:t xml:space="preserve"> </w:t>
      </w:r>
    </w:p>
    <w:bookmarkEnd w:id="22"/>
    <w:bookmarkStart w:id="24" w:name="author-note"/>
    <w:p>
      <w:pPr>
        <w:pStyle w:val="Heading1"/>
      </w:pPr>
      <w:r>
        <w:t xml:space="preserve">Author Note</w:t>
      </w:r>
    </w:p>
    <w:p>
      <w:pPr>
        <w:pStyle w:val="FirstParagraph"/>
      </w:pPr>
      <w:r>
        <w:t xml:space="preserve">Correspondence concerning this article should be addressed to Nicholas A. Coles, Department of Psychology, University of Florida, 945 Center Dr, Gainesville, FL 32611, Email:</w:t>
      </w:r>
      <w:r>
        <w:t xml:space="preserve"> </w:t>
      </w:r>
      <w:hyperlink r:id="rId23">
        <w:r>
          <w:rPr>
            <w:rStyle w:val="Hyperlink"/>
          </w:rPr>
          <w:t xml:space="preserve">ncoles@ufl.edu</w:t>
        </w:r>
      </w:hyperlink>
    </w:p>
    <w:p>
      <w:r>
        <w:br w:type="page"/>
      </w:r>
    </w:p>
    <w:bookmarkEnd w:id="24"/>
    <w:bookmarkStart w:id="26" w:name="firstheader"/>
    <w:p>
      <w:pPr>
        <w:pStyle w:val="Heading1"/>
      </w:pPr>
      <w:r>
        <w:t xml:space="preserve">Supplemental Materials: Smiling your way to happiness or misery? Experimental tests of competing perspectives</w:t>
      </w:r>
    </w:p>
    <w:p>
      <w:pPr>
        <w:pStyle w:val="FirstParagraph"/>
      </w:pPr>
      <w:r>
        <w:t xml:space="preserve">In addition to the overview in the main manuscript, Table S1 contains pairwise comparisons of self-reported happiness after participants posed smiles vs. expressed themselves naturally.</w:t>
      </w:r>
    </w:p>
    <w:p>
      <w:pPr>
        <w:pStyle w:val="BodyText"/>
      </w:pPr>
      <w:r>
        <w:rPr>
          <w:b/>
          <w:bCs/>
        </w:rPr>
        <w:t xml:space="preserve">Table S1</w:t>
      </w:r>
    </w:p>
    <w:p>
      <w:pPr>
        <w:pStyle w:val="BodyText"/>
      </w:pPr>
      <w:r>
        <w:rPr>
          <w:i/>
          <w:iCs/>
        </w:rPr>
        <w:t xml:space="preserve">Pairwise Comparisons of Posed Smiles vs. Natural Expressions on Self-Reported Happiness</w:t>
      </w:r>
    </w:p>
    <w:tbl>
      <w:tblPr>
        <w:tblStyle w:val="Table"/>
        <w:tblW w:type="pct" w:w="5000"/>
        <w:tblLayout w:type="fixed"/>
        <w:tblLook w:firstRow="1" w:lastRow="0" w:firstColumn="0" w:lastColumn="0" w:noHBand="0" w:noVBand="0" w:val="0020"/>
      </w:tblPr>
      <w:tblGrid>
        <w:gridCol w:w="1620"/>
        <w:gridCol w:w="1890"/>
        <w:gridCol w:w="990"/>
        <w:gridCol w:w="360"/>
        <w:gridCol w:w="540"/>
        <w:gridCol w:w="1440"/>
        <w:gridCol w:w="450"/>
        <w:gridCol w:w="630"/>
      </w:tblGrid>
      <w:tr>
        <w:trPr>
          <w:tblHeader w:val="on"/>
        </w:trPr>
        <w:tc>
          <w:tcPr/>
          <w:p>
            <w:pPr>
              <w:pStyle w:val="Compact"/>
              <w:jc w:val="left"/>
            </w:pPr>
            <w:r>
              <w:t xml:space="preserve">Emotional Context</w:t>
            </w:r>
          </w:p>
        </w:tc>
        <w:tc>
          <w:tcPr/>
          <w:p>
            <w:pPr>
              <w:pStyle w:val="Compact"/>
              <w:jc w:val="left"/>
            </w:pPr>
            <w:r>
              <w:t xml:space="preserve">Movement Repetitions</w:t>
            </w:r>
          </w:p>
        </w:tc>
        <w:tc>
          <w:tcPr/>
          <w:p>
            <w:pPr>
              <w:pStyle w:val="Compact"/>
              <w:jc w:val="left"/>
            </w:pPr>
            <w:r>
              <w:t xml:space="preserve">Punishment</w:t>
            </w:r>
          </w:p>
        </w:tc>
        <w:tc>
          <w:tcPr/>
          <w:p>
            <w:pPr>
              <w:pStyle w:val="Compact"/>
              <w:jc w:val="right"/>
            </w:pPr>
            <w:r>
              <w:t xml:space="preserve">N</w:t>
            </w:r>
          </w:p>
        </w:tc>
        <w:tc>
          <w:tcPr/>
          <w:p>
            <w:pPr>
              <w:pStyle w:val="Compact"/>
              <w:jc w:val="right"/>
            </w:pPr>
            <w:r>
              <w:t xml:space="preserve">EMM</w:t>
            </w:r>
          </w:p>
        </w:tc>
        <w:tc>
          <w:tcPr/>
          <w:p>
            <w:pPr>
              <w:pStyle w:val="Compact"/>
              <w:jc w:val="center"/>
            </w:pPr>
            <w:r>
              <w:t xml:space="preserve">95% CI</w:t>
            </w:r>
          </w:p>
        </w:tc>
        <w:tc>
          <w:tcPr/>
          <w:p>
            <w:pPr>
              <w:pStyle w:val="Compact"/>
              <w:jc w:val="center"/>
            </w:pPr>
            <w:r>
              <w:t xml:space="preserve">p</w:t>
            </w:r>
          </w:p>
        </w:tc>
        <w:tc>
          <w:tcPr/>
          <w:p>
            <w:pPr>
              <w:pStyle w:val="Compact"/>
              <w:jc w:val="right"/>
            </w:pPr>
            <w:r>
              <w:t xml:space="preserve">BF</w:t>
            </w:r>
            <w:r>
              <w:rPr>
                <w:vertAlign w:val="subscript"/>
              </w:rPr>
              <w:t xml:space="preserve">10</w:t>
            </w:r>
          </w:p>
        </w:tc>
      </w:tr>
      <w:tr>
        <w:tc>
          <w:tcPr/>
          <w:p>
            <w:pPr>
              <w:pStyle w:val="Compact"/>
              <w:jc w:val="left"/>
            </w:pPr>
            <w:r>
              <w:t xml:space="preserve">positive</w:t>
            </w:r>
          </w:p>
        </w:tc>
        <w:tc>
          <w:tcPr/>
          <w:p>
            <w:pPr>
              <w:pStyle w:val="Compact"/>
              <w:jc w:val="left"/>
            </w:pPr>
            <w:r>
              <w:t xml:space="preserve">one</w:t>
            </w:r>
          </w:p>
        </w:tc>
        <w:tc>
          <w:tcPr/>
          <w:p>
            <w:pPr>
              <w:pStyle w:val="Compact"/>
              <w:jc w:val="left"/>
            </w:pPr>
            <w:r>
              <w:t xml:space="preserve">no</w:t>
            </w:r>
          </w:p>
        </w:tc>
        <w:tc>
          <w:tcPr/>
          <w:p>
            <w:pPr>
              <w:pStyle w:val="Compact"/>
              <w:jc w:val="right"/>
            </w:pPr>
            <w:r>
              <w:t xml:space="preserve">149</w:t>
            </w:r>
          </w:p>
        </w:tc>
        <w:tc>
          <w:tcPr/>
          <w:p>
            <w:pPr>
              <w:pStyle w:val="Compact"/>
              <w:jc w:val="right"/>
            </w:pPr>
            <w:r>
              <w:t xml:space="preserve">-0.09</w:t>
            </w:r>
          </w:p>
        </w:tc>
        <w:tc>
          <w:tcPr/>
          <w:p>
            <w:pPr>
              <w:pStyle w:val="Compact"/>
              <w:jc w:val="center"/>
            </w:pPr>
            <w:r>
              <w:t xml:space="preserve">[-0.27, 0.10]</w:t>
            </w:r>
          </w:p>
        </w:tc>
        <w:tc>
          <w:tcPr/>
          <w:p>
            <w:pPr>
              <w:pStyle w:val="Compact"/>
            </w:pPr>
          </w:p>
        </w:tc>
        <w:tc>
          <w:tcPr/>
          <w:p>
            <w:pPr>
              <w:pStyle w:val="Compact"/>
              <w:jc w:val="right"/>
            </w:pPr>
            <w:r>
              <w:t xml:space="preserve">0.12</w:t>
            </w:r>
          </w:p>
        </w:tc>
      </w:tr>
      <w:tr>
        <w:tc>
          <w:tcPr/>
          <w:p>
            <w:pPr>
              <w:pStyle w:val="Compact"/>
              <w:jc w:val="left"/>
            </w:pPr>
            <w:r>
              <w:t xml:space="preserve">positive</w:t>
            </w:r>
          </w:p>
        </w:tc>
        <w:tc>
          <w:tcPr/>
          <w:p>
            <w:pPr>
              <w:pStyle w:val="Compact"/>
              <w:jc w:val="left"/>
            </w:pPr>
            <w:r>
              <w:t xml:space="preserve">one</w:t>
            </w:r>
          </w:p>
        </w:tc>
        <w:tc>
          <w:tcPr/>
          <w:p>
            <w:pPr>
              <w:pStyle w:val="Compact"/>
              <w:jc w:val="left"/>
            </w:pPr>
            <w:r>
              <w:t xml:space="preserve">yes</w:t>
            </w:r>
          </w:p>
        </w:tc>
        <w:tc>
          <w:tcPr/>
          <w:p>
            <w:pPr>
              <w:pStyle w:val="Compact"/>
              <w:jc w:val="right"/>
            </w:pPr>
            <w:r>
              <w:t xml:space="preserve">148</w:t>
            </w:r>
          </w:p>
        </w:tc>
        <w:tc>
          <w:tcPr/>
          <w:p>
            <w:pPr>
              <w:pStyle w:val="Compact"/>
              <w:jc w:val="right"/>
            </w:pPr>
            <w:r>
              <w:t xml:space="preserve">-0.25</w:t>
            </w:r>
          </w:p>
        </w:tc>
        <w:tc>
          <w:tcPr/>
          <w:p>
            <w:pPr>
              <w:pStyle w:val="Compact"/>
              <w:jc w:val="center"/>
            </w:pPr>
            <w:r>
              <w:t xml:space="preserve">[-0.43, -0.06]</w:t>
            </w:r>
          </w:p>
        </w:tc>
        <w:tc>
          <w:tcPr/>
          <w:p>
            <w:pPr>
              <w:pStyle w:val="Compact"/>
              <w:jc w:val="center"/>
            </w:pPr>
            <w:r>
              <w:t xml:space="preserve">**</w:t>
            </w:r>
          </w:p>
        </w:tc>
        <w:tc>
          <w:tcPr/>
          <w:p>
            <w:pPr>
              <w:pStyle w:val="Compact"/>
              <w:jc w:val="right"/>
            </w:pPr>
            <w:r>
              <w:t xml:space="preserve">2.30</w:t>
            </w:r>
          </w:p>
        </w:tc>
      </w:tr>
      <w:tr>
        <w:tc>
          <w:tcPr/>
          <w:p>
            <w:pPr>
              <w:pStyle w:val="Compact"/>
              <w:jc w:val="left"/>
            </w:pPr>
            <w:r>
              <w:t xml:space="preserve">positive</w:t>
            </w:r>
          </w:p>
        </w:tc>
        <w:tc>
          <w:tcPr/>
          <w:p>
            <w:pPr>
              <w:pStyle w:val="Compact"/>
              <w:jc w:val="left"/>
            </w:pPr>
            <w:r>
              <w:t xml:space="preserve">ten</w:t>
            </w:r>
          </w:p>
        </w:tc>
        <w:tc>
          <w:tcPr/>
          <w:p>
            <w:pPr>
              <w:pStyle w:val="Compact"/>
              <w:jc w:val="left"/>
            </w:pPr>
            <w:r>
              <w:t xml:space="preserve">no</w:t>
            </w:r>
          </w:p>
        </w:tc>
        <w:tc>
          <w:tcPr/>
          <w:p>
            <w:pPr>
              <w:pStyle w:val="Compact"/>
              <w:jc w:val="right"/>
            </w:pPr>
            <w:r>
              <w:t xml:space="preserve">148</w:t>
            </w:r>
          </w:p>
        </w:tc>
        <w:tc>
          <w:tcPr/>
          <w:p>
            <w:pPr>
              <w:pStyle w:val="Compact"/>
              <w:jc w:val="right"/>
            </w:pPr>
            <w:r>
              <w:t xml:space="preserve">-0.58</w:t>
            </w:r>
          </w:p>
        </w:tc>
        <w:tc>
          <w:tcPr/>
          <w:p>
            <w:pPr>
              <w:pStyle w:val="Compact"/>
              <w:jc w:val="center"/>
            </w:pPr>
            <w:r>
              <w:t xml:space="preserve">[-0.76, -0.39]</w:t>
            </w:r>
          </w:p>
        </w:tc>
        <w:tc>
          <w:tcPr/>
          <w:p>
            <w:pPr>
              <w:pStyle w:val="Compact"/>
              <w:jc w:val="center"/>
            </w:pPr>
            <w:r>
              <w:t xml:space="preserve">***</w:t>
            </w:r>
          </w:p>
        </w:tc>
        <w:tc>
          <w:tcPr/>
          <w:p>
            <w:pPr>
              <w:pStyle w:val="Compact"/>
              <w:jc w:val="right"/>
            </w:pPr>
            <w:r>
              <w:t xml:space="preserve">&gt; 100</w:t>
            </w:r>
          </w:p>
        </w:tc>
      </w:tr>
      <w:tr>
        <w:tc>
          <w:tcPr/>
          <w:p>
            <w:pPr>
              <w:pStyle w:val="Compact"/>
              <w:jc w:val="left"/>
            </w:pPr>
            <w:r>
              <w:t xml:space="preserve">positive</w:t>
            </w:r>
          </w:p>
        </w:tc>
        <w:tc>
          <w:tcPr/>
          <w:p>
            <w:pPr>
              <w:pStyle w:val="Compact"/>
              <w:jc w:val="left"/>
            </w:pPr>
            <w:r>
              <w:t xml:space="preserve">ten</w:t>
            </w:r>
          </w:p>
        </w:tc>
        <w:tc>
          <w:tcPr/>
          <w:p>
            <w:pPr>
              <w:pStyle w:val="Compact"/>
              <w:jc w:val="left"/>
            </w:pPr>
            <w:r>
              <w:t xml:space="preserve">yes</w:t>
            </w:r>
          </w:p>
        </w:tc>
        <w:tc>
          <w:tcPr/>
          <w:p>
            <w:pPr>
              <w:pStyle w:val="Compact"/>
              <w:jc w:val="right"/>
            </w:pPr>
            <w:r>
              <w:t xml:space="preserve">139</w:t>
            </w:r>
          </w:p>
        </w:tc>
        <w:tc>
          <w:tcPr/>
          <w:p>
            <w:pPr>
              <w:pStyle w:val="Compact"/>
              <w:jc w:val="right"/>
            </w:pPr>
            <w:r>
              <w:t xml:space="preserve">-0.85</w:t>
            </w:r>
          </w:p>
        </w:tc>
        <w:tc>
          <w:tcPr/>
          <w:p>
            <w:pPr>
              <w:pStyle w:val="Compact"/>
              <w:jc w:val="center"/>
            </w:pPr>
            <w:r>
              <w:t xml:space="preserve">[-1.04, -0.66]</w:t>
            </w:r>
          </w:p>
        </w:tc>
        <w:tc>
          <w:tcPr/>
          <w:p>
            <w:pPr>
              <w:pStyle w:val="Compact"/>
              <w:jc w:val="center"/>
            </w:pPr>
            <w:r>
              <w:t xml:space="preserve">***</w:t>
            </w:r>
          </w:p>
        </w:tc>
        <w:tc>
          <w:tcPr/>
          <w:p>
            <w:pPr>
              <w:pStyle w:val="Compact"/>
              <w:jc w:val="right"/>
            </w:pPr>
            <w:r>
              <w:t xml:space="preserve">&gt; 100</w:t>
            </w:r>
          </w:p>
        </w:tc>
      </w:tr>
      <w:tr>
        <w:tc>
          <w:tcPr/>
          <w:p>
            <w:pPr>
              <w:pStyle w:val="Compact"/>
              <w:jc w:val="left"/>
            </w:pPr>
            <w:r>
              <w:t xml:space="preserve">negative</w:t>
            </w:r>
          </w:p>
        </w:tc>
        <w:tc>
          <w:tcPr/>
          <w:p>
            <w:pPr>
              <w:pStyle w:val="Compact"/>
              <w:jc w:val="left"/>
            </w:pPr>
            <w:r>
              <w:t xml:space="preserve">one</w:t>
            </w:r>
          </w:p>
        </w:tc>
        <w:tc>
          <w:tcPr/>
          <w:p>
            <w:pPr>
              <w:pStyle w:val="Compact"/>
              <w:jc w:val="left"/>
            </w:pPr>
            <w:r>
              <w:t xml:space="preserve">no</w:t>
            </w:r>
          </w:p>
        </w:tc>
        <w:tc>
          <w:tcPr/>
          <w:p>
            <w:pPr>
              <w:pStyle w:val="Compact"/>
              <w:jc w:val="right"/>
            </w:pPr>
            <w:r>
              <w:t xml:space="preserve">144</w:t>
            </w:r>
          </w:p>
        </w:tc>
        <w:tc>
          <w:tcPr/>
          <w:p>
            <w:pPr>
              <w:pStyle w:val="Compact"/>
              <w:jc w:val="right"/>
            </w:pPr>
            <w:r>
              <w:t xml:space="preserve">0.25</w:t>
            </w:r>
          </w:p>
        </w:tc>
        <w:tc>
          <w:tcPr/>
          <w:p>
            <w:pPr>
              <w:pStyle w:val="Compact"/>
              <w:jc w:val="center"/>
            </w:pPr>
            <w:r>
              <w:t xml:space="preserve">[0.06, 0.44]</w:t>
            </w:r>
          </w:p>
        </w:tc>
        <w:tc>
          <w:tcPr/>
          <w:p>
            <w:pPr>
              <w:pStyle w:val="Compact"/>
              <w:jc w:val="center"/>
            </w:pPr>
            <w:r>
              <w:t xml:space="preserve">**</w:t>
            </w:r>
          </w:p>
        </w:tc>
        <w:tc>
          <w:tcPr/>
          <w:p>
            <w:pPr>
              <w:pStyle w:val="Compact"/>
              <w:jc w:val="right"/>
            </w:pPr>
            <w:r>
              <w:t xml:space="preserve">6.22</w:t>
            </w:r>
          </w:p>
        </w:tc>
      </w:tr>
      <w:tr>
        <w:tc>
          <w:tcPr/>
          <w:p>
            <w:pPr>
              <w:pStyle w:val="Compact"/>
              <w:jc w:val="left"/>
            </w:pPr>
            <w:r>
              <w:t xml:space="preserve">negative</w:t>
            </w:r>
          </w:p>
        </w:tc>
        <w:tc>
          <w:tcPr/>
          <w:p>
            <w:pPr>
              <w:pStyle w:val="Compact"/>
              <w:jc w:val="left"/>
            </w:pPr>
            <w:r>
              <w:t xml:space="preserve">one</w:t>
            </w:r>
          </w:p>
        </w:tc>
        <w:tc>
          <w:tcPr/>
          <w:p>
            <w:pPr>
              <w:pStyle w:val="Compact"/>
              <w:jc w:val="left"/>
            </w:pPr>
            <w:r>
              <w:t xml:space="preserve">yes</w:t>
            </w:r>
          </w:p>
        </w:tc>
        <w:tc>
          <w:tcPr/>
          <w:p>
            <w:pPr>
              <w:pStyle w:val="Compact"/>
              <w:jc w:val="right"/>
            </w:pPr>
            <w:r>
              <w:t xml:space="preserve">154</w:t>
            </w:r>
          </w:p>
        </w:tc>
        <w:tc>
          <w:tcPr/>
          <w:p>
            <w:pPr>
              <w:pStyle w:val="Compact"/>
              <w:jc w:val="right"/>
            </w:pPr>
            <w:r>
              <w:t xml:space="preserve">0.23</w:t>
            </w:r>
          </w:p>
        </w:tc>
        <w:tc>
          <w:tcPr/>
          <w:p>
            <w:pPr>
              <w:pStyle w:val="Compact"/>
              <w:jc w:val="center"/>
            </w:pPr>
            <w:r>
              <w:t xml:space="preserve">[0.05, 0.41]</w:t>
            </w:r>
          </w:p>
        </w:tc>
        <w:tc>
          <w:tcPr/>
          <w:p>
            <w:pPr>
              <w:pStyle w:val="Compact"/>
              <w:jc w:val="center"/>
            </w:pPr>
            <w:r>
              <w:t xml:space="preserve">*</w:t>
            </w:r>
          </w:p>
        </w:tc>
        <w:tc>
          <w:tcPr/>
          <w:p>
            <w:pPr>
              <w:pStyle w:val="Compact"/>
              <w:jc w:val="right"/>
            </w:pPr>
            <w:r>
              <w:t xml:space="preserve">2.41</w:t>
            </w:r>
          </w:p>
        </w:tc>
      </w:tr>
      <w:tr>
        <w:tc>
          <w:tcPr/>
          <w:p>
            <w:pPr>
              <w:pStyle w:val="Compact"/>
              <w:jc w:val="left"/>
            </w:pPr>
            <w:r>
              <w:t xml:space="preserve">negative</w:t>
            </w:r>
          </w:p>
        </w:tc>
        <w:tc>
          <w:tcPr/>
          <w:p>
            <w:pPr>
              <w:pStyle w:val="Compact"/>
              <w:jc w:val="left"/>
            </w:pPr>
            <w:r>
              <w:t xml:space="preserve">ten</w:t>
            </w:r>
          </w:p>
        </w:tc>
        <w:tc>
          <w:tcPr/>
          <w:p>
            <w:pPr>
              <w:pStyle w:val="Compact"/>
              <w:jc w:val="left"/>
            </w:pPr>
            <w:r>
              <w:t xml:space="preserve">no</w:t>
            </w:r>
          </w:p>
        </w:tc>
        <w:tc>
          <w:tcPr/>
          <w:p>
            <w:pPr>
              <w:pStyle w:val="Compact"/>
              <w:jc w:val="right"/>
            </w:pPr>
            <w:r>
              <w:t xml:space="preserve">147</w:t>
            </w:r>
          </w:p>
        </w:tc>
        <w:tc>
          <w:tcPr/>
          <w:p>
            <w:pPr>
              <w:pStyle w:val="Compact"/>
              <w:jc w:val="right"/>
            </w:pPr>
            <w:r>
              <w:t xml:space="preserve">0.14</w:t>
            </w:r>
          </w:p>
        </w:tc>
        <w:tc>
          <w:tcPr/>
          <w:p>
            <w:pPr>
              <w:pStyle w:val="Compact"/>
              <w:jc w:val="center"/>
            </w:pPr>
            <w:r>
              <w:t xml:space="preserve">[-0.05, 0.32]</w:t>
            </w:r>
          </w:p>
        </w:tc>
        <w:tc>
          <w:tcPr/>
          <w:p>
            <w:pPr>
              <w:pStyle w:val="Compact"/>
            </w:pPr>
          </w:p>
        </w:tc>
        <w:tc>
          <w:tcPr/>
          <w:p>
            <w:pPr>
              <w:pStyle w:val="Compact"/>
              <w:jc w:val="right"/>
            </w:pPr>
            <w:r>
              <w:t xml:space="preserve">1.44</w:t>
            </w:r>
          </w:p>
        </w:tc>
      </w:tr>
      <w:tr>
        <w:tc>
          <w:tcPr/>
          <w:p>
            <w:pPr>
              <w:pStyle w:val="Compact"/>
              <w:jc w:val="left"/>
            </w:pPr>
            <w:r>
              <w:t xml:space="preserve">negative</w:t>
            </w:r>
          </w:p>
        </w:tc>
        <w:tc>
          <w:tcPr/>
          <w:p>
            <w:pPr>
              <w:pStyle w:val="Compact"/>
              <w:jc w:val="left"/>
            </w:pPr>
            <w:r>
              <w:t xml:space="preserve">ten</w:t>
            </w:r>
          </w:p>
        </w:tc>
        <w:tc>
          <w:tcPr/>
          <w:p>
            <w:pPr>
              <w:pStyle w:val="Compact"/>
              <w:jc w:val="left"/>
            </w:pPr>
            <w:r>
              <w:t xml:space="preserve">yes</w:t>
            </w:r>
          </w:p>
        </w:tc>
        <w:tc>
          <w:tcPr/>
          <w:p>
            <w:pPr>
              <w:pStyle w:val="Compact"/>
              <w:jc w:val="right"/>
            </w:pPr>
            <w:r>
              <w:t xml:space="preserve">145</w:t>
            </w:r>
          </w:p>
        </w:tc>
        <w:tc>
          <w:tcPr/>
          <w:p>
            <w:pPr>
              <w:pStyle w:val="Compact"/>
              <w:jc w:val="right"/>
            </w:pPr>
            <w:r>
              <w:t xml:space="preserve">-0.03</w:t>
            </w:r>
          </w:p>
        </w:tc>
        <w:tc>
          <w:tcPr/>
          <w:p>
            <w:pPr>
              <w:pStyle w:val="Compact"/>
              <w:jc w:val="center"/>
            </w:pPr>
            <w:r>
              <w:t xml:space="preserve">[-0.22, 0.16]</w:t>
            </w:r>
          </w:p>
        </w:tc>
        <w:tc>
          <w:tcPr/>
          <w:p>
            <w:pPr>
              <w:pStyle w:val="Compact"/>
            </w:pPr>
          </w:p>
        </w:tc>
        <w:tc>
          <w:tcPr/>
          <w:p>
            <w:pPr>
              <w:pStyle w:val="Compact"/>
              <w:jc w:val="right"/>
            </w:pPr>
            <w:r>
              <w:t xml:space="preserve">0.12</w:t>
            </w:r>
          </w:p>
        </w:tc>
      </w:tr>
    </w:tbl>
    <w:p>
      <w:pPr>
        <w:pStyle w:val="BodyText"/>
      </w:pPr>
      <w:r>
        <w:rPr>
          <w:i/>
          <w:iCs/>
        </w:rPr>
        <w:t xml:space="preserve">Note.</w:t>
      </w:r>
      <w:r>
        <w:t xml:space="preserve"> </w:t>
      </w:r>
      <w:r>
        <w:t xml:space="preserve">EMM = estimated marginal mean of the pose difference (smile − natural), derived</w:t>
      </w:r>
      <w:r>
        <w:t xml:space="preserve"> </w:t>
      </w:r>
      <w:r>
        <w:t xml:space="preserve">from</w:t>
      </w:r>
      <w:r>
        <w:t xml:space="preserve"> </w:t>
      </w:r>
      <w:r>
        <w:rPr>
          <w:rStyle w:val="VerbatimChar"/>
        </w:rPr>
        <w:t xml:space="preserve">emmeans</w:t>
      </w:r>
      <w:r>
        <w:t xml:space="preserve"> </w:t>
      </w:r>
      <w:r>
        <w:t xml:space="preserve">pairwise comparisons. CI = confidence interval. BF</w:t>
      </w:r>
      <w:r>
        <w:rPr>
          <w:vertAlign w:val="subscript"/>
        </w:rPr>
        <w:t xml:space="preserve">10</w:t>
      </w:r>
      <w:r>
        <w:t xml:space="preserve"> </w:t>
      </w:r>
      <w:r>
        <w:t xml:space="preserve">= Bayes factor for</w:t>
      </w:r>
      <w:r>
        <w:t xml:space="preserve"> </w:t>
      </w:r>
      <w:r>
        <w:t xml:space="preserve">the alternative hypothesis (a pose difference) over the null. *</w:t>
      </w:r>
      <w:r>
        <w:t xml:space="preserve"> </w:t>
      </w:r>
      <w:r>
        <w:rPr>
          <w:i/>
          <w:iCs/>
        </w:rPr>
        <w:t xml:space="preserve">p</w:t>
      </w:r>
      <w:r>
        <w:t xml:space="preserve"> </w:t>
      </w:r>
      <w:r>
        <w:t xml:space="preserve">&lt; .05. **</w:t>
      </w:r>
      <w:r>
        <w:t xml:space="preserve"> </w:t>
      </w:r>
      <w:r>
        <w:rPr>
          <w:i/>
          <w:iCs/>
        </w:rPr>
        <w:t xml:space="preserve">p</w:t>
      </w:r>
      <w:r>
        <w:t xml:space="preserve"> </w:t>
      </w:r>
      <w:r>
        <w:t xml:space="preserve">&lt;</w:t>
      </w:r>
      <w:r>
        <w:t xml:space="preserve"> </w:t>
      </w:r>
      <w:r>
        <w:t xml:space="preserve">.01. ***</w:t>
      </w:r>
      <w:r>
        <w:t xml:space="preserve"> </w:t>
      </w:r>
      <w:r>
        <w:rPr>
          <w:i/>
          <w:iCs/>
        </w:rPr>
        <w:t xml:space="preserve">p</w:t>
      </w:r>
      <w:r>
        <w:t xml:space="preserve"> </w:t>
      </w:r>
      <w:r>
        <w:t xml:space="preserve">&lt; .001.</w:t>
      </w:r>
    </w:p>
    <w:p>
      <w:pPr>
        <w:pStyle w:val="BodyText"/>
      </w:pPr>
      <w:r>
        <w:t xml:space="preserve">Supplemental Figure 1 provides an overview of our sensitivity analyses. Across all sensitivity analyses, we excluded (1)</w:t>
      </w:r>
      <w:r>
        <w:t xml:space="preserve"> </w:t>
      </w:r>
      <w:r>
        <w:rPr>
          <w:i/>
          <w:iCs/>
        </w:rPr>
        <w:t xml:space="preserve">n</w:t>
      </w:r>
      <w:r>
        <w:t xml:space="preserve"> </w:t>
      </w:r>
      <w:r>
        <w:t xml:space="preserve">= 135 (11% of total sample) participants for failing to correctly answer filler math problems, and (2)</w:t>
      </w:r>
      <w:r>
        <w:t xml:space="preserve"> </w:t>
      </w:r>
      <w:r>
        <w:rPr>
          <w:i/>
          <w:iCs/>
        </w:rPr>
        <w:t xml:space="preserve">n</w:t>
      </w:r>
      <w:r>
        <w:t xml:space="preserve"> </w:t>
      </w:r>
      <w:r>
        <w:t xml:space="preserve">= 72 (6% of total sample) participants for exhibiting some awareness of the study hypothesis. In addition, we excluded participants who did not exhibit sufficient levels of smiling activity during the happy posing trials. Using Facial Action Coding System classifications, this was operationalized as Action Unit 12 activity, which is associated with pulling the corner of the lips back towards the ear.</w:t>
      </w:r>
    </w:p>
    <w:p>
      <w:pPr>
        <w:pStyle w:val="BodyText"/>
      </w:pPr>
      <w:r>
        <w:t xml:space="preserve">For facial expression analysis, we initially planned a moderate cutoff: 1.5 / 5.</w:t>
      </w:r>
      <w:r>
        <w:rPr>
          <w:rStyle w:val="FootnoteReference"/>
        </w:rPr>
        <w:footnoteReference w:id="25"/>
      </w:r>
      <w:r>
        <w:t xml:space="preserve"> </w:t>
      </w:r>
      <w:r>
        <w:t xml:space="preserve">This led to an unexpectedly large number of exclusions (</w:t>
      </w:r>
      <w:r>
        <w:rPr>
          <w:i/>
          <w:iCs/>
        </w:rPr>
        <w:t xml:space="preserve">n</w:t>
      </w:r>
      <w:r>
        <w:t xml:space="preserve"> </w:t>
      </w:r>
      <w:r>
        <w:t xml:space="preserve">= 563; 48% of total sample). We thus conducted an additional sensitivity analysis with a less stringent cutoff of 0.5/5 (</w:t>
      </w:r>
      <w:r>
        <w:rPr>
          <w:i/>
          <w:iCs/>
        </w:rPr>
        <w:t xml:space="preserve">n</w:t>
      </w:r>
      <w:r>
        <w:t xml:space="preserve"> </w:t>
      </w:r>
      <w:r>
        <w:t xml:space="preserve">= 365 excluded; 31% of total sample).</w:t>
      </w:r>
    </w:p>
    <w:p>
      <w:pPr>
        <w:pStyle w:val="BodyText"/>
      </w:pPr>
      <w:r>
        <w:t xml:space="preserve">As shown in Supplemental Figure 1, Panel B, our main results replicated when using a less stringent cutoff. When using a more stringent cutoff, patterns were numerically similar (Supplemental Figure 1, Panel C). However, the mood-boosting effects of voluntarily posing smiles in negative contexts were no longer statistically significant.</w:t>
      </w:r>
    </w:p>
    <w:bookmarkEnd w:id="26"/>
    <w:bookmarkStart w:id="31" w:name="supplemental-figure-1"/>
    <w:p>
      <w:pPr>
        <w:pStyle w:val="Heading1"/>
      </w:pPr>
      <w:r>
        <w:t xml:space="preserve">Supplemental Figure 1</w:t>
      </w:r>
    </w:p>
    <w:bookmarkStart w:id="30" w:name="fig-si1"/>
    <w:p>
      <w:pPr>
        <w:pStyle w:val="FigureTitle"/>
      </w:pPr>
      <w:r>
        <w:t xml:space="preserve">Figure 1</w:t>
      </w:r>
    </w:p>
    <w:p>
      <w:pPr>
        <w:pStyle w:val="Caption"/>
      </w:pPr>
      <w:r>
        <w:t xml:space="preserve">Fig S1. Results from full sample (Panel A), sensitivity analyses wherein participants were only required to pose weak smiles (Panel B), and sensitivity analyses wherein participants were required to pose strong smiles (Panel C). Y-axis denotes differences in self-reported happiness after participants posed happy vs. neutral expressions. Points represent the estimated marginal mean and error bars represent 95% confidence intervals. Results are visualized separately for each combination of the three experimentally manipulated factors (denoted by x-axis and legend).</w:t>
      </w:r>
    </w:p>
    <w:p>
      <w:pPr>
        <w:pStyle w:val="FigureWithoutNote"/>
      </w:pPr>
      <w:r>
        <w:drawing>
          <wp:inline>
            <wp:extent cx="5943600" cy="1981200"/>
            <wp:effectExtent b="0" l="0" r="0" t="0"/>
            <wp:docPr descr="" title="" id="28" name="Picture"/>
            <a:graphic>
              <a:graphicData uri="http://schemas.openxmlformats.org/drawingml/2006/picture">
                <pic:pic>
                  <pic:nvPicPr>
                    <pic:cNvPr descr="../figures/smile25b_sens_plot.jpg" id="29" name="Picture"/>
                    <pic:cNvPicPr>
                      <a:picLocks noChangeArrowheads="1" noChangeAspect="1"/>
                    </pic:cNvPicPr>
                  </pic:nvPicPr>
                  <pic:blipFill>
                    <a:blip r:embed="rId27"/>
                    <a:stretch>
                      <a:fillRect/>
                    </a:stretch>
                  </pic:blipFill>
                  <pic:spPr bwMode="auto">
                    <a:xfrm>
                      <a:off x="0" y="0"/>
                      <a:ext cx="5943600" cy="1981200"/>
                    </a:xfrm>
                    <a:prstGeom prst="rect">
                      <a:avLst/>
                    </a:prstGeom>
                    <a:noFill/>
                    <a:ln w="9525">
                      <a:noFill/>
                      <a:headEnd/>
                      <a:tailEnd/>
                    </a:ln>
                  </pic:spPr>
                </pic:pic>
              </a:graphicData>
            </a:graphic>
          </wp:inline>
        </w:drawing>
      </w:r>
    </w:p>
    <w:bookmarkEnd w:id="30"/>
    <w:bookmarkEnd w:id="31"/>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As a reminder, we switched from Hume AI to OpenFace 2.2.0 because the former deprecated their expression analysis application before we completed our study. Because Hume AI (0-1) and OpenFace (0-5) have different scaling, we adjusted our initial .3/1 cutoff to 1.5/5.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27" Target="media/rId27.jpg" /><Relationship Type="http://schemas.openxmlformats.org/officeDocument/2006/relationships/hyperlink" Id="rId23" Target="mailto:ncoles@ufl.edu" TargetMode="External" /></Relationships>
</file>

<file path=word/_rels/footnotes.xml.rels><?xml version="1.0" encoding="UTF-8"?><Relationships xmlns="http://schemas.openxmlformats.org/package/2006/relationships"><Relationship Type="http://schemas.openxmlformats.org/officeDocument/2006/relationships/hyperlink" Id="rId23" Target="mailto:ncoles@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SUPPLEMENT: SMILING AND HAPPINESS</dc:description>
  <cp:keywords/>
  <dcterms:created xsi:type="dcterms:W3CDTF">2026-09-11T17:50:06Z</dcterms:created>
  <dcterms:modified xsi:type="dcterms:W3CDTF">2026-09-11T17:50:06Z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Supplemental Materials: Smiling your way to happiness or misery? Experimental tests of competing perspectives</vt:lpwstr>
  </property>
  <property fmtid="{D5CDD505-2E9C-101B-9397-08002B2CF9AE}" pid="6" name="apatitledisplay">
    <vt:lpwstr>Supplemental Materials: Smiling your way to happiness or misery? Experimental tests of competing perspectives</vt:lpwstr>
  </property>
  <property fmtid="{D5CDD505-2E9C-101B-9397-08002B2CF9AE}" pid="7" name="authors">
    <vt:lpwstr/>
  </property>
  <property fmtid="{D5CDD505-2E9C-101B-9397-08002B2CF9AE}" pid="8" name="biblio-config">
    <vt:lpwstr>True</vt:lpwstr>
  </property>
  <property fmtid="{D5CDD505-2E9C-101B-9397-08002B2CF9AE}" pid="9" name="by-affiliation">
    <vt:lpwstr/>
  </property>
  <property fmtid="{D5CDD505-2E9C-101B-9397-08002B2CF9AE}" pid="10" name="by-author">
    <vt:lpwstr/>
  </property>
  <property fmtid="{D5CDD505-2E9C-101B-9397-08002B2CF9AE}" pid="11" name="cap-location">
    <vt:lpwstr>top</vt:lpwstr>
  </property>
  <property fmtid="{D5CDD505-2E9C-101B-9397-08002B2CF9AE}" pid="12" name="crossref">
    <vt:lpwstr/>
  </property>
  <property fmtid="{D5CDD505-2E9C-101B-9397-08002B2CF9AE}" pid="13" name="csl">
    <vt:lpwstr>_extensions/wjschne/apaquarto/apa.csl</vt:lpwstr>
  </property>
  <property fmtid="{D5CDD505-2E9C-101B-9397-08002B2CF9AE}" pid="14" name="documentmode">
    <vt:lpwstr>man</vt:lpwstr>
  </property>
  <property fmtid="{D5CDD505-2E9C-101B-9397-08002B2CF9AE}" pid="15" name="draft-date">
    <vt:lpwstr>False</vt:lpwstr>
  </property>
  <property fmtid="{D5CDD505-2E9C-101B-9397-08002B2CF9AE}" pid="16" name="engines">
    <vt:lpwstr/>
  </property>
  <property fmtid="{D5CDD505-2E9C-101B-9397-08002B2CF9AE}" pid="17" name="fig-cap-location">
    <vt:lpwstr>top</vt:lpwstr>
  </property>
  <property fmtid="{D5CDD505-2E9C-101B-9397-08002B2CF9AE}" pid="18" name="floatsintext">
    <vt:lpwstr>True</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mask">
    <vt:lpwstr>False</vt:lpwstr>
  </property>
  <property fmtid="{D5CDD505-2E9C-101B-9397-08002B2CF9AE}" pid="27" name="meta-analysis">
    <vt:lpwstr>False</vt:lpwstr>
  </property>
  <property fmtid="{D5CDD505-2E9C-101B-9397-08002B2CF9AE}" pid="28" name="no-ampersand-parenthetical">
    <vt:lpwstr>False</vt:lpwstr>
  </property>
  <property fmtid="{D5CDD505-2E9C-101B-9397-08002B2CF9AE}" pid="29" name="number-depth">
    <vt:lpwstr>3</vt:lpwstr>
  </property>
  <property fmtid="{D5CDD505-2E9C-101B-9397-08002B2CF9AE}" pid="30" name="numbered-lines">
    <vt:lpwstr>False</vt:lpwstr>
  </property>
  <property fmtid="{D5CDD505-2E9C-101B-9397-08002B2CF9AE}" pid="31" name="numbersections">
    <vt:lpwstr>False</vt:lpwstr>
  </property>
  <property fmtid="{D5CDD505-2E9C-101B-9397-08002B2CF9AE}" pid="32" name="oneaffiliation">
    <vt:lpwstr>True</vt:lpwstr>
  </property>
  <property fmtid="{D5CDD505-2E9C-101B-9397-08002B2CF9AE}" pid="33" name="oneauthor">
    <vt:lpwstr>False</vt:lpwstr>
  </property>
  <property fmtid="{D5CDD505-2E9C-101B-9397-08002B2CF9AE}" pid="34" name="references">
    <vt:lpwstr/>
  </property>
  <property fmtid="{D5CDD505-2E9C-101B-9397-08002B2CF9AE}" pid="35" name="revealjs-plugins">
    <vt:lpwstr/>
  </property>
  <property fmtid="{D5CDD505-2E9C-101B-9397-08002B2CF9AE}" pid="36" name="shorttitle">
    <vt:lpwstr>SUPPLEMENT: SMILING AND HAPPINESS</vt:lpwstr>
  </property>
  <property fmtid="{D5CDD505-2E9C-101B-9397-08002B2CF9AE}" pid="37" name="suppress-abstract">
    <vt:lpwstr>True</vt:lpwstr>
  </property>
  <property fmtid="{D5CDD505-2E9C-101B-9397-08002B2CF9AE}" pid="38" name="suppress-affiliation">
    <vt:lpwstr>False</vt:lpwstr>
  </property>
  <property fmtid="{D5CDD505-2E9C-101B-9397-08002B2CF9AE}" pid="39" name="suppress-author">
    <vt:lpwstr>False</vt:lpwstr>
  </property>
  <property fmtid="{D5CDD505-2E9C-101B-9397-08002B2CF9AE}" pid="40" name="suppress-author-note">
    <vt:lpwstr>False</vt:lpwstr>
  </property>
  <property fmtid="{D5CDD505-2E9C-101B-9397-08002B2CF9AE}" pid="41" name="suppress-corresponding-address">
    <vt:lpwstr>False</vt:lpwstr>
  </property>
  <property fmtid="{D5CDD505-2E9C-101B-9397-08002B2CF9AE}" pid="42" name="suppress-corresponding-affiliation-name">
    <vt:lpwstr>False</vt:lpwstr>
  </property>
  <property fmtid="{D5CDD505-2E9C-101B-9397-08002B2CF9AE}" pid="43" name="suppress-corresponding-city">
    <vt:lpwstr>False</vt:lpwstr>
  </property>
  <property fmtid="{D5CDD505-2E9C-101B-9397-08002B2CF9AE}" pid="44" name="suppress-corresponding-country">
    <vt:lpwstr>False</vt:lpwstr>
  </property>
  <property fmtid="{D5CDD505-2E9C-101B-9397-08002B2CF9AE}" pid="45" name="suppress-corresponding-department">
    <vt:lpwstr>False</vt:lpwstr>
  </property>
  <property fmtid="{D5CDD505-2E9C-101B-9397-08002B2CF9AE}" pid="46" name="suppress-corresponding-email">
    <vt:lpwstr>False</vt:lpwstr>
  </property>
  <property fmtid="{D5CDD505-2E9C-101B-9397-08002B2CF9AE}" pid="47" name="suppress-corresponding-group">
    <vt:lpwstr>False</vt:lpwstr>
  </property>
  <property fmtid="{D5CDD505-2E9C-101B-9397-08002B2CF9AE}" pid="48" name="suppress-corresponding-paragraph">
    <vt:lpwstr>False</vt:lpwstr>
  </property>
  <property fmtid="{D5CDD505-2E9C-101B-9397-08002B2CF9AE}" pid="49" name="suppress-corresponding-postal-code">
    <vt:lpwstr>False</vt:lpwstr>
  </property>
  <property fmtid="{D5CDD505-2E9C-101B-9397-08002B2CF9AE}" pid="50" name="suppress-corresponding-region">
    <vt:lpwstr>False</vt:lpwstr>
  </property>
  <property fmtid="{D5CDD505-2E9C-101B-9397-08002B2CF9AE}" pid="51" name="suppress-credit-statement">
    <vt:lpwstr>False</vt:lpwstr>
  </property>
  <property fmtid="{D5CDD505-2E9C-101B-9397-08002B2CF9AE}" pid="52" name="suppress-disclosures-paragraph">
    <vt:lpwstr>False</vt:lpwstr>
  </property>
  <property fmtid="{D5CDD505-2E9C-101B-9397-08002B2CF9AE}" pid="53" name="suppress-impact-statement">
    <vt:lpwstr>False</vt:lpwstr>
  </property>
  <property fmtid="{D5CDD505-2E9C-101B-9397-08002B2CF9AE}" pid="54" name="suppress-keywords">
    <vt:lpwstr>True</vt:lpwstr>
  </property>
  <property fmtid="{D5CDD505-2E9C-101B-9397-08002B2CF9AE}" pid="55" name="suppress-orcid">
    <vt:lpwstr>False</vt:lpwstr>
  </property>
  <property fmtid="{D5CDD505-2E9C-101B-9397-08002B2CF9AE}" pid="56" name="suppress-short-title">
    <vt:lpwstr>False</vt:lpwstr>
  </property>
  <property fmtid="{D5CDD505-2E9C-101B-9397-08002B2CF9AE}" pid="57" name="suppress-status-change-paragraph">
    <vt:lpwstr>False</vt:lpwstr>
  </property>
  <property fmtid="{D5CDD505-2E9C-101B-9397-08002B2CF9AE}" pid="58" name="suppress-title">
    <vt:lpwstr>False</vt:lpwstr>
  </property>
  <property fmtid="{D5CDD505-2E9C-101B-9397-08002B2CF9AE}" pid="59" name="suppress-title-introduction">
    <vt:lpwstr>False</vt:lpwstr>
  </property>
  <property fmtid="{D5CDD505-2E9C-101B-9397-08002B2CF9AE}" pid="60" name="suppress-title-page">
    <vt:lpwstr>False</vt:lpwstr>
  </property>
  <property fmtid="{D5CDD505-2E9C-101B-9397-08002B2CF9AE}" pid="61" name="suppress-title-page-number">
    <vt:lpwstr>False</vt:lpwstr>
  </property>
  <property fmtid="{D5CDD505-2E9C-101B-9397-08002B2CF9AE}" pid="62" name="tbl-cap-location">
    <vt:lpwstr>top</vt:lpwstr>
  </property>
  <property fmtid="{D5CDD505-2E9C-101B-9397-08002B2CF9AE}" pid="63" name="toc-title">
    <vt:lpwstr>Table of contents</vt:lpwstr>
  </property>
  <property fmtid="{D5CDD505-2E9C-101B-9397-08002B2CF9AE}" pid="64" name="wordn">
    <vt:lpwstr>390</vt:lpwstr>
  </property>
  <property fmtid="{D5CDD505-2E9C-101B-9397-08002B2CF9AE}" pid="65" name="zerocitations">
    <vt:lpwstr>True</vt:lpwstr>
  </property>
</Properties>
</file>