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8AE75E" w14:textId="52B7DD7D" w:rsidR="00A427B1" w:rsidRPr="00536BA0" w:rsidRDefault="00000000" w:rsidP="00536BA0">
      <w:pPr>
        <w:pStyle w:val="FirstParagraph"/>
        <w:spacing w:after="240" w:line="276" w:lineRule="auto"/>
        <w:ind w:firstLine="0"/>
        <w:jc w:val="center"/>
        <w:rPr>
          <w:b/>
          <w:bCs/>
        </w:rPr>
      </w:pPr>
      <w:bookmarkStart w:id="0" w:name="title"/>
      <w:r w:rsidRPr="00536BA0">
        <w:rPr>
          <w:b/>
          <w:bCs/>
        </w:rPr>
        <w:t>Response to Reviewers: Smiling your way to happiness or misery? Experimental tests of competing perspectives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536BA0" w:rsidRPr="00536BA0" w14:paraId="7BA58C96" w14:textId="77777777" w:rsidTr="00536BA0">
        <w:trPr>
          <w:tblCellSpacing w:w="15" w:type="dxa"/>
        </w:trPr>
        <w:tc>
          <w:tcPr>
            <w:tcW w:w="0" w:type="auto"/>
            <w:vAlign w:val="center"/>
            <w:hideMark/>
          </w:tcPr>
          <w:p w14:paraId="45417801" w14:textId="77777777" w:rsidR="00536BA0" w:rsidRPr="00536BA0" w:rsidRDefault="00536BA0" w:rsidP="00536BA0">
            <w:pPr>
              <w:spacing w:after="240" w:line="276" w:lineRule="auto"/>
            </w:pPr>
            <w:r w:rsidRPr="00536BA0">
              <w:rPr>
                <w:b/>
                <w:bCs/>
              </w:rPr>
              <w:t>Sample size.</w:t>
            </w:r>
            <w:r w:rsidRPr="00536BA0">
              <w:t xml:space="preserve"> </w:t>
            </w:r>
            <w:r w:rsidRPr="00536BA0">
              <w:rPr>
                <w:i/>
                <w:iCs/>
              </w:rPr>
              <w:t>The Stage I Registered Report states that N = 1200 participants would be recruited, whereas the Stage II manuscript reports that data were collected from N = 1174 participants. Please clarify the reason for this difference and, if it represents a deviation from the approved Stage I protocol, include it in Table 2 alongside the other deviations.</w:t>
            </w:r>
          </w:p>
        </w:tc>
      </w:tr>
    </w:tbl>
    <w:p w14:paraId="69029AAC" w14:textId="77777777" w:rsidR="00536BA0" w:rsidRDefault="00536BA0" w:rsidP="00536BA0">
      <w:pPr>
        <w:spacing w:after="240" w:line="276" w:lineRule="auto"/>
      </w:pPr>
      <w:r w:rsidRPr="00536BA0">
        <w:t>Thank you for bringing this discrepancy to our attention.</w:t>
      </w:r>
    </w:p>
    <w:p w14:paraId="7A6154B9" w14:textId="0939B50D" w:rsidR="00536BA0" w:rsidRPr="00536BA0" w:rsidRDefault="00536BA0" w:rsidP="00536BA0">
      <w:pPr>
        <w:spacing w:after="240" w:line="276" w:lineRule="auto"/>
      </w:pPr>
      <w:r w:rsidRPr="00536BA0">
        <w:t>We agree this should be more clearly documented.</w:t>
      </w:r>
      <w:r>
        <w:t xml:space="preserve"> </w:t>
      </w:r>
      <w:r w:rsidRPr="00536BA0">
        <w:t>In the updated manuscript, we clarify that we collected data from N = 1201 participants – 1 more than our initial goal. After debriefing, 27 of these participants withdrew consent for us to use their data, leaving N = 1174. We report this in the updated Methods, Table 2, Results, and Limitations. For your convenienc</w:t>
      </w:r>
      <w:r>
        <w:t>e</w:t>
      </w:r>
      <w:r w:rsidRPr="00536BA0">
        <w:t>, we have provided a copy of our manuscript with tracked changes.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536BA0" w:rsidRPr="00536BA0" w14:paraId="1E2680DA" w14:textId="77777777" w:rsidTr="00536BA0">
        <w:trPr>
          <w:tblCellSpacing w:w="15" w:type="dxa"/>
        </w:trPr>
        <w:tc>
          <w:tcPr>
            <w:tcW w:w="0" w:type="auto"/>
            <w:vAlign w:val="center"/>
            <w:hideMark/>
          </w:tcPr>
          <w:p w14:paraId="02FC2510" w14:textId="77777777" w:rsidR="00536BA0" w:rsidRPr="00536BA0" w:rsidRDefault="00536BA0" w:rsidP="00536BA0">
            <w:pPr>
              <w:spacing w:after="240" w:line="276" w:lineRule="auto"/>
            </w:pPr>
            <w:r w:rsidRPr="00536BA0">
              <w:rPr>
                <w:b/>
                <w:bCs/>
              </w:rPr>
              <w:t>Facial-expression analysis.</w:t>
            </w:r>
            <w:r w:rsidRPr="00536BA0">
              <w:t xml:space="preserve"> The manuscript identifies a change from </w:t>
            </w:r>
            <w:proofErr w:type="spellStart"/>
            <w:r w:rsidRPr="00536BA0">
              <w:t>HumeAI</w:t>
            </w:r>
            <w:proofErr w:type="spellEnd"/>
            <w:r w:rsidRPr="00536BA0">
              <w:t xml:space="preserve"> to </w:t>
            </w:r>
            <w:proofErr w:type="spellStart"/>
            <w:r w:rsidRPr="00536BA0">
              <w:t>OpenFace</w:t>
            </w:r>
            <w:proofErr w:type="spellEnd"/>
            <w:r w:rsidRPr="00536BA0">
              <w:t xml:space="preserve"> 2.2.0 for facial-expression analysis. However, the sensitivity-analysis section continues to describe the preregistered exclusion criterion as an increase of 0.3 or greater in AU12 activity "according to Hume AI." Please clarify how this criterion was implemented following the switch to </w:t>
            </w:r>
            <w:proofErr w:type="spellStart"/>
            <w:r w:rsidRPr="00536BA0">
              <w:t>OpenFace</w:t>
            </w:r>
            <w:proofErr w:type="spellEnd"/>
            <w:r w:rsidRPr="00536BA0">
              <w:t xml:space="preserve"> and revise the Methods so that they accurately describe the analysis that was conducted. If the change in software required any change in the </w:t>
            </w:r>
            <w:proofErr w:type="spellStart"/>
            <w:r w:rsidRPr="00536BA0">
              <w:t>operationalisation</w:t>
            </w:r>
            <w:proofErr w:type="spellEnd"/>
            <w:r w:rsidRPr="00536BA0">
              <w:t xml:space="preserve"> of this criterion, please describe this explicitly.</w:t>
            </w:r>
          </w:p>
        </w:tc>
      </w:tr>
    </w:tbl>
    <w:p w14:paraId="1E590022" w14:textId="77777777" w:rsidR="00536BA0" w:rsidRDefault="00536BA0" w:rsidP="00536BA0">
      <w:pPr>
        <w:spacing w:after="240" w:line="276" w:lineRule="auto"/>
      </w:pPr>
      <w:r w:rsidRPr="00536BA0">
        <w:t>Thank you for your guidance on this matter. We were unsure how much of the original Methods text to retain, but we have now revised the section to be more streamlined and clear.</w:t>
      </w:r>
    </w:p>
    <w:p w14:paraId="4629DADA" w14:textId="75E647AF" w:rsidR="00536BA0" w:rsidRPr="00536BA0" w:rsidRDefault="00536BA0" w:rsidP="00536BA0">
      <w:pPr>
        <w:spacing w:after="240" w:line="276" w:lineRule="auto"/>
      </w:pPr>
      <w:r w:rsidRPr="00536BA0">
        <w:t xml:space="preserve">"After the study was complete, we evaluated how well participants completed the face movement tasks. To do so, we planned to use emotion expression recognition applications, like Hume AI and </w:t>
      </w:r>
      <w:proofErr w:type="spellStart"/>
      <w:r w:rsidRPr="00536BA0">
        <w:t>OpenFace</w:t>
      </w:r>
      <w:proofErr w:type="spellEnd"/>
      <w:r w:rsidRPr="00536BA0">
        <w:t xml:space="preserve"> 2.2.0...In the present work, we focused on Action Unit 12, which is associated with pulling the corner of the lips back towards the ear. For sensitivity analyses, </w:t>
      </w:r>
      <w:proofErr w:type="gramStart"/>
      <w:r w:rsidRPr="00536BA0">
        <w:t>we</w:t>
      </w:r>
      <w:proofErr w:type="gramEnd"/>
      <w:r w:rsidRPr="00536BA0">
        <w:t xml:space="preserve"> pre-registered that we would exclude participants who did not exhibit 30% more Action Unit 12 activity when posing smiles vs. expressing themselves naturally. Originally, we planned to use the </w:t>
      </w:r>
      <w:proofErr w:type="gramStart"/>
      <w:r w:rsidRPr="00536BA0">
        <w:t>commercially-available</w:t>
      </w:r>
      <w:proofErr w:type="gramEnd"/>
      <w:r w:rsidRPr="00536BA0">
        <w:t xml:space="preserve"> Hume AI (0.30 cutoff on a 0 - 1 scale). However, we ultimately used the </w:t>
      </w:r>
      <w:proofErr w:type="gramStart"/>
      <w:r w:rsidRPr="00536BA0">
        <w:t>openly-available</w:t>
      </w:r>
      <w:proofErr w:type="gramEnd"/>
      <w:r w:rsidRPr="00536BA0">
        <w:t xml:space="preserve"> </w:t>
      </w:r>
      <w:proofErr w:type="spellStart"/>
      <w:r w:rsidRPr="00536BA0">
        <w:t>OpenFace</w:t>
      </w:r>
      <w:proofErr w:type="spellEnd"/>
      <w:r w:rsidRPr="00536BA0">
        <w:t xml:space="preserve"> 2.2.0 because Hume AI deprecated their expression analysis application. </w:t>
      </w:r>
      <w:proofErr w:type="spellStart"/>
      <w:r w:rsidRPr="00536BA0">
        <w:t>OpenFace</w:t>
      </w:r>
      <w:proofErr w:type="spellEnd"/>
      <w:r w:rsidRPr="00536BA0">
        <w:t xml:space="preserve"> 2.2.0 uses a 0 -- 5 scale, so the cutoff was rescaled to 1.5."</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536BA0" w:rsidRPr="00536BA0" w14:paraId="5FD8BDCB" w14:textId="77777777" w:rsidTr="00536BA0">
        <w:trPr>
          <w:tblCellSpacing w:w="15" w:type="dxa"/>
        </w:trPr>
        <w:tc>
          <w:tcPr>
            <w:tcW w:w="0" w:type="auto"/>
            <w:vAlign w:val="center"/>
            <w:hideMark/>
          </w:tcPr>
          <w:p w14:paraId="4EBDBBC1" w14:textId="77777777" w:rsidR="00536BA0" w:rsidRPr="00536BA0" w:rsidRDefault="00536BA0" w:rsidP="00536BA0">
            <w:pPr>
              <w:spacing w:after="240" w:line="276" w:lineRule="auto"/>
            </w:pPr>
            <w:r w:rsidRPr="00536BA0">
              <w:rPr>
                <w:b/>
                <w:bCs/>
              </w:rPr>
              <w:t>Interpretation of the findings.</w:t>
            </w:r>
            <w:r w:rsidRPr="00536BA0">
              <w:t xml:space="preserve"> Please review the strength of the language used to </w:t>
            </w:r>
            <w:proofErr w:type="spellStart"/>
            <w:r w:rsidRPr="00536BA0">
              <w:t>characterise</w:t>
            </w:r>
            <w:proofErr w:type="spellEnd"/>
            <w:r w:rsidRPr="00536BA0">
              <w:t xml:space="preserve"> the observed effects and their relationship to real-world emotion labor. </w:t>
            </w:r>
            <w:proofErr w:type="gramStart"/>
            <w:r w:rsidRPr="00536BA0">
              <w:t>In particular, statements</w:t>
            </w:r>
            <w:proofErr w:type="gramEnd"/>
            <w:r w:rsidRPr="00536BA0">
              <w:t xml:space="preserve"> such as “far stronger deleterious effects,” “conditions that best match real-world emotion labor conditions,” and the concluding description of posed smiles as “a far more powerful source of </w:t>
            </w:r>
            <w:r w:rsidRPr="00536BA0">
              <w:lastRenderedPageBreak/>
              <w:t>our misery” appear stronger than the evidence from this experiment supports. Please temper or qualify these statements so that the conclusions remain appropriately tied to the observed effects and the experimental conditions examined here. </w:t>
            </w:r>
          </w:p>
        </w:tc>
      </w:tr>
    </w:tbl>
    <w:p w14:paraId="18F5F70E" w14:textId="5766EB72" w:rsidR="00536BA0" w:rsidRPr="00536BA0" w:rsidRDefault="00536BA0" w:rsidP="00536BA0">
      <w:pPr>
        <w:spacing w:after="240" w:line="276" w:lineRule="auto"/>
      </w:pPr>
      <w:r w:rsidRPr="00536BA0">
        <w:lastRenderedPageBreak/>
        <w:t>Thank you for catching our instances of overenthusiasm. The updated manuscript tempers the language considerably. For example, we agree that we spoke beyond the evidence when we previously claimed "...</w:t>
      </w:r>
      <w:r w:rsidRPr="00536BA0">
        <w:rPr>
          <w:i/>
          <w:iCs/>
        </w:rPr>
        <w:t>far stronger</w:t>
      </w:r>
      <w:r w:rsidRPr="00536BA0">
        <w:t xml:space="preserve"> deleterious effects...". The statistical significance of these differences </w:t>
      </w:r>
      <w:proofErr w:type="gramStart"/>
      <w:r w:rsidRPr="00536BA0">
        <w:t>were</w:t>
      </w:r>
      <w:proofErr w:type="gramEnd"/>
      <w:r w:rsidRPr="00536BA0">
        <w:t xml:space="preserve"> not formally targeted or tested in our Registered Report. The claim has been </w:t>
      </w:r>
      <w:proofErr w:type="spellStart"/>
      <w:r w:rsidRPr="00536BA0">
        <w:t>been</w:t>
      </w:r>
      <w:proofErr w:type="spellEnd"/>
      <w:r w:rsidRPr="00536BA0">
        <w:t xml:space="preserve"> adjusted to "Furthermore, in positive contexts, posed smiles had deleterious effects on mood." Similarly, we previously overstated that "In some contexts, posed smiles can be the source of our happiness -- in others, </w:t>
      </w:r>
      <w:r w:rsidRPr="00536BA0">
        <w:rPr>
          <w:i/>
          <w:iCs/>
        </w:rPr>
        <w:t>a far more powerful source</w:t>
      </w:r>
      <w:r w:rsidRPr="00536BA0">
        <w:t xml:space="preserve"> of our misery". We adjusted to "Taken together, results suggest that posed smiles can be mood-boosting in some contexts and mood-dampening in others --- a potential source of both happiness and misery." For your convenience, we have provided a copy of our manuscript with tracked changes.</w:t>
      </w:r>
    </w:p>
    <w:bookmarkEnd w:id="0"/>
    <w:p w14:paraId="3C71D4B2" w14:textId="22A03258" w:rsidR="00A427B1" w:rsidRDefault="00A427B1" w:rsidP="00536BA0">
      <w:pPr>
        <w:spacing w:after="240" w:line="276" w:lineRule="auto"/>
      </w:pPr>
    </w:p>
    <w:sectPr w:rsidR="00A427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1D2E96" w14:textId="77777777" w:rsidR="001B2CBB" w:rsidRDefault="001B2CBB">
      <w:pPr>
        <w:spacing w:line="240" w:lineRule="auto"/>
      </w:pPr>
      <w:r>
        <w:separator/>
      </w:r>
    </w:p>
  </w:endnote>
  <w:endnote w:type="continuationSeparator" w:id="0">
    <w:p w14:paraId="43C84446" w14:textId="77777777" w:rsidR="001B2CBB" w:rsidRDefault="001B2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B2DC78" w14:textId="77777777" w:rsidR="001B2CBB" w:rsidRDefault="001B2CBB">
      <w:pPr>
        <w:spacing w:line="240" w:lineRule="auto"/>
      </w:pPr>
      <w:r>
        <w:separator/>
      </w:r>
    </w:p>
  </w:footnote>
  <w:footnote w:type="continuationSeparator" w:id="0">
    <w:p w14:paraId="393A02F9" w14:textId="77777777" w:rsidR="001B2CBB" w:rsidRDefault="001B2C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F8C5E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EC0A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929339184">
    <w:abstractNumId w:val="10"/>
  </w:num>
  <w:num w:numId="23" w16cid:durableId="1574852350">
    <w:abstractNumId w:val="11"/>
  </w:num>
  <w:num w:numId="24" w16cid:durableId="1061946853">
    <w:abstractNumId w:val="11"/>
  </w:num>
  <w:num w:numId="25" w16cid:durableId="324170512">
    <w:abstractNumId w:val="11"/>
  </w:num>
  <w:num w:numId="26" w16cid:durableId="1383794775">
    <w:abstractNumId w:val="11"/>
  </w:num>
  <w:num w:numId="27" w16cid:durableId="23698749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B2CBB"/>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36BA0"/>
    <w:rsid w:val="005528BA"/>
    <w:rsid w:val="005566BA"/>
    <w:rsid w:val="00565B1E"/>
    <w:rsid w:val="005665F3"/>
    <w:rsid w:val="00586C23"/>
    <w:rsid w:val="0059618B"/>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27B1"/>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176E3"/>
  <w15:docId w15:val="{3BA28F9A-C1CB-8441-92D2-703CB6F1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2</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RESPONSE TO REVIEWERS: SMILING YOUR WAY TO HAPPINESS OR MISERY? EXPERIMENTAL TESTS OF COMPETING PERSPECTIVES</dc:description>
  <cp:lastModifiedBy>Coles, Nicholas A.</cp:lastModifiedBy>
  <cp:revision>2</cp:revision>
  <dcterms:created xsi:type="dcterms:W3CDTF">2026-09-26T00:11:00Z</dcterms:created>
  <dcterms:modified xsi:type="dcterms:W3CDTF">2026-09-26T00:16:00Z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atitle">
    <vt:lpwstr>RESPONSE TO REVIEWERS: SMILING YOUR WAY TO HAPPINESS OR MISERY? EXPERIMENTAL TESTS OF COMPETING PERSPECTIVES</vt:lpwstr>
  </property>
  <property fmtid="{D5CDD505-2E9C-101B-9397-08002B2CF9AE}" pid="3" name="apatitledisplay">
    <vt:lpwstr>Response to Reviewers: Smiling your way to happiness or misery? Experimental tests of competing perspectives</vt:lpwstr>
  </property>
  <property fmtid="{D5CDD505-2E9C-101B-9397-08002B2CF9AE}" pid="4" name="biblio-config">
    <vt:lpwstr>True</vt:lpwstr>
  </property>
  <property fmtid="{D5CDD505-2E9C-101B-9397-08002B2CF9AE}" pid="5" name="cap-location">
    <vt:lpwstr>top</vt:lpwstr>
  </property>
  <property fmtid="{D5CDD505-2E9C-101B-9397-08002B2CF9AE}" pid="6" name="crossref">
    <vt:lpwstr/>
  </property>
  <property fmtid="{D5CDD505-2E9C-101B-9397-08002B2CF9AE}" pid="7" name="csl">
    <vt:lpwstr>_extensions/wjschne/apaquarto/apa.csl</vt:lpwstr>
  </property>
  <property fmtid="{D5CDD505-2E9C-101B-9397-08002B2CF9AE}" pid="8" name="documentmode">
    <vt:lpwstr>man</vt:lpwstr>
  </property>
  <property fmtid="{D5CDD505-2E9C-101B-9397-08002B2CF9AE}" pid="9" name="draft-date">
    <vt:lpwstr>False</vt:lpwstr>
  </property>
  <property fmtid="{D5CDD505-2E9C-101B-9397-08002B2CF9AE}" pid="10" name="engines">
    <vt:lpwstr/>
  </property>
  <property fmtid="{D5CDD505-2E9C-101B-9397-08002B2CF9AE}" pid="11" name="fig-cap-location">
    <vt:lpwstr>top</vt:lpwstr>
  </property>
  <property fmtid="{D5CDD505-2E9C-101B-9397-08002B2CF9AE}" pid="12" name="floatsintext">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language">
    <vt:lpwstr/>
  </property>
  <property fmtid="{D5CDD505-2E9C-101B-9397-08002B2CF9AE}" pid="19" name="link-citations">
    <vt:lpwstr>True</vt:lpwstr>
  </property>
  <property fmtid="{D5CDD505-2E9C-101B-9397-08002B2CF9AE}" pid="20" name="mask">
    <vt:lpwstr>False</vt:lpwstr>
  </property>
  <property fmtid="{D5CDD505-2E9C-101B-9397-08002B2CF9AE}" pid="21" name="meta-analysis">
    <vt:lpwstr>False</vt:lpwstr>
  </property>
  <property fmtid="{D5CDD505-2E9C-101B-9397-08002B2CF9AE}" pid="22" name="no-ampersand-parenthetical">
    <vt:lpwstr>False</vt:lpwstr>
  </property>
  <property fmtid="{D5CDD505-2E9C-101B-9397-08002B2CF9AE}" pid="23" name="number-depth">
    <vt:lpwstr>3</vt:lpwstr>
  </property>
  <property fmtid="{D5CDD505-2E9C-101B-9397-08002B2CF9AE}" pid="24" name="numbered-lines">
    <vt:lpwstr>False</vt:lpwstr>
  </property>
  <property fmtid="{D5CDD505-2E9C-101B-9397-08002B2CF9AE}" pid="25" name="numbersections">
    <vt:lpwstr>False</vt:lpwstr>
  </property>
  <property fmtid="{D5CDD505-2E9C-101B-9397-08002B2CF9AE}" pid="26" name="references">
    <vt:lpwstr/>
  </property>
  <property fmtid="{D5CDD505-2E9C-101B-9397-08002B2CF9AE}" pid="27" name="revealjs-plugins">
    <vt:lpwstr/>
  </property>
  <property fmtid="{D5CDD505-2E9C-101B-9397-08002B2CF9AE}" pid="28" name="suppress-abstract">
    <vt:lpwstr>True</vt:lpwstr>
  </property>
  <property fmtid="{D5CDD505-2E9C-101B-9397-08002B2CF9AE}" pid="29" name="suppress-affiliation">
    <vt:lpwstr>False</vt:lpwstr>
  </property>
  <property fmtid="{D5CDD505-2E9C-101B-9397-08002B2CF9AE}" pid="30" name="suppress-author">
    <vt:lpwstr>False</vt:lpwstr>
  </property>
  <property fmtid="{D5CDD505-2E9C-101B-9397-08002B2CF9AE}" pid="31" name="suppress-author-note">
    <vt:lpwstr>False</vt:lpwstr>
  </property>
  <property fmtid="{D5CDD505-2E9C-101B-9397-08002B2CF9AE}" pid="32" name="suppress-corresponding-address">
    <vt:lpwstr>False</vt:lpwstr>
  </property>
  <property fmtid="{D5CDD505-2E9C-101B-9397-08002B2CF9AE}" pid="33" name="suppress-corresponding-affiliation-name">
    <vt:lpwstr>False</vt:lpwstr>
  </property>
  <property fmtid="{D5CDD505-2E9C-101B-9397-08002B2CF9AE}" pid="34" name="suppress-corresponding-city">
    <vt:lpwstr>False</vt:lpwstr>
  </property>
  <property fmtid="{D5CDD505-2E9C-101B-9397-08002B2CF9AE}" pid="35" name="suppress-corresponding-country">
    <vt:lpwstr>False</vt:lpwstr>
  </property>
  <property fmtid="{D5CDD505-2E9C-101B-9397-08002B2CF9AE}" pid="36" name="suppress-corresponding-department">
    <vt:lpwstr>False</vt:lpwstr>
  </property>
  <property fmtid="{D5CDD505-2E9C-101B-9397-08002B2CF9AE}" pid="37" name="suppress-corresponding-email">
    <vt:lpwstr>False</vt:lpwstr>
  </property>
  <property fmtid="{D5CDD505-2E9C-101B-9397-08002B2CF9AE}" pid="38" name="suppress-corresponding-group">
    <vt:lpwstr>False</vt:lpwstr>
  </property>
  <property fmtid="{D5CDD505-2E9C-101B-9397-08002B2CF9AE}" pid="39" name="suppress-corresponding-paragraph">
    <vt:lpwstr>False</vt:lpwstr>
  </property>
  <property fmtid="{D5CDD505-2E9C-101B-9397-08002B2CF9AE}" pid="40" name="suppress-corresponding-postal-code">
    <vt:lpwstr>False</vt:lpwstr>
  </property>
  <property fmtid="{D5CDD505-2E9C-101B-9397-08002B2CF9AE}" pid="41" name="suppress-corresponding-region">
    <vt:lpwstr>False</vt:lpwstr>
  </property>
  <property fmtid="{D5CDD505-2E9C-101B-9397-08002B2CF9AE}" pid="42" name="suppress-credit-statement">
    <vt:lpwstr>False</vt:lpwstr>
  </property>
  <property fmtid="{D5CDD505-2E9C-101B-9397-08002B2CF9AE}" pid="43" name="suppress-disclosures-paragraph">
    <vt:lpwstr>False</vt:lpwstr>
  </property>
  <property fmtid="{D5CDD505-2E9C-101B-9397-08002B2CF9AE}" pid="44" name="suppress-impact-statement">
    <vt:lpwstr>False</vt:lpwstr>
  </property>
  <property fmtid="{D5CDD505-2E9C-101B-9397-08002B2CF9AE}" pid="45" name="suppress-keywords">
    <vt:lpwstr>True</vt:lpwstr>
  </property>
  <property fmtid="{D5CDD505-2E9C-101B-9397-08002B2CF9AE}" pid="46" name="suppress-orcid">
    <vt:lpwstr>False</vt:lpwstr>
  </property>
  <property fmtid="{D5CDD505-2E9C-101B-9397-08002B2CF9AE}" pid="47" name="suppress-short-title">
    <vt:lpwstr>False</vt:lpwstr>
  </property>
  <property fmtid="{D5CDD505-2E9C-101B-9397-08002B2CF9AE}" pid="48" name="suppress-status-change-paragraph">
    <vt:lpwstr>False</vt:lpwstr>
  </property>
  <property fmtid="{D5CDD505-2E9C-101B-9397-08002B2CF9AE}" pid="49" name="suppress-title">
    <vt:lpwstr>False</vt:lpwstr>
  </property>
  <property fmtid="{D5CDD505-2E9C-101B-9397-08002B2CF9AE}" pid="50" name="suppress-title-introduction">
    <vt:lpwstr>False</vt:lpwstr>
  </property>
  <property fmtid="{D5CDD505-2E9C-101B-9397-08002B2CF9AE}" pid="51" name="suppress-title-page">
    <vt:lpwstr>False</vt:lpwstr>
  </property>
  <property fmtid="{D5CDD505-2E9C-101B-9397-08002B2CF9AE}" pid="52" name="suppress-title-page-number">
    <vt:lpwstr>False</vt:lpwstr>
  </property>
  <property fmtid="{D5CDD505-2E9C-101B-9397-08002B2CF9AE}" pid="53" name="tbl-cap-location">
    <vt:lpwstr>top</vt:lpwstr>
  </property>
  <property fmtid="{D5CDD505-2E9C-101B-9397-08002B2CF9AE}" pid="54" name="toc-title">
    <vt:lpwstr>Table of contents</vt:lpwstr>
  </property>
  <property fmtid="{D5CDD505-2E9C-101B-9397-08002B2CF9AE}" pid="55" name="wordn">
    <vt:lpwstr>935</vt:lpwstr>
  </property>
  <property fmtid="{D5CDD505-2E9C-101B-9397-08002B2CF9AE}" pid="56" name="zerocitations">
    <vt:lpwstr>True</vt:lpwstr>
  </property>
</Properties>
</file>