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19E8" w14:textId="5314B35C" w:rsidR="003D263C" w:rsidRPr="003D263C" w:rsidRDefault="003D263C" w:rsidP="003D263C">
      <w:pPr>
        <w:spacing w:before="240" w:after="0"/>
        <w:rPr>
          <w:b/>
          <w:bCs/>
        </w:rPr>
      </w:pPr>
      <w:r w:rsidRPr="003D263C">
        <w:rPr>
          <w:b/>
          <w:bCs/>
        </w:rPr>
        <w:t>Editor</w:t>
      </w:r>
    </w:p>
    <w:p w14:paraId="55716731" w14:textId="7F037547" w:rsidR="003D263C" w:rsidRDefault="003D263C" w:rsidP="003D263C">
      <w:pPr>
        <w:spacing w:before="240" w:after="0"/>
      </w:pPr>
      <w:r>
        <w:t>We have now received responses from the three original reviewers. Each has provided further thoughtful comments, which you will find appended below. I thank them each for their continued careful work.</w:t>
      </w:r>
    </w:p>
    <w:p w14:paraId="64EE548D" w14:textId="5BBFE2C5" w:rsidR="003D263C" w:rsidRDefault="003D263C" w:rsidP="003D263C">
      <w:pPr>
        <w:spacing w:before="240" w:after="0"/>
      </w:pPr>
      <w:r>
        <w:t xml:space="preserve">As you will read, R1 is satisfied that the revisions have addressed their concerns. R2 and R3, however, raise important points, primarily about the theoretical framing and conceptual clarity of the work. Given the nature and extent of these concerns, we can recommend reconsideration of your manuscript following minor revision. We invite you to resubmit your manuscript after addressing the comments below. Please resubmit your revised manuscript by Jan 09, 2026. </w:t>
      </w:r>
    </w:p>
    <w:tbl>
      <w:tblPr>
        <w:tblStyle w:val="TableGrid"/>
        <w:tblW w:w="0" w:type="auto"/>
        <w:tblLook w:val="04A0" w:firstRow="1" w:lastRow="0" w:firstColumn="1" w:lastColumn="0" w:noHBand="0" w:noVBand="1"/>
      </w:tblPr>
      <w:tblGrid>
        <w:gridCol w:w="9350"/>
      </w:tblGrid>
      <w:tr w:rsidR="003D263C" w14:paraId="34EE5750" w14:textId="77777777" w:rsidTr="003D263C">
        <w:tc>
          <w:tcPr>
            <w:tcW w:w="9350" w:type="dxa"/>
          </w:tcPr>
          <w:p w14:paraId="449F607D" w14:textId="546E847F" w:rsidR="00497229" w:rsidRDefault="00497229" w:rsidP="00497229">
            <w:pPr>
              <w:spacing w:before="240"/>
            </w:pPr>
            <w:r>
              <w:t>We thank you and the reviewers for your attention and feedback. We very much have appreciated the opportunity to engage with these issues before commencing this expensive and ambitious data collection effort.</w:t>
            </w:r>
          </w:p>
          <w:p w14:paraId="2488F366" w14:textId="1B9F7E34" w:rsidR="004F0F94" w:rsidRDefault="00497229" w:rsidP="003D263C">
            <w:pPr>
              <w:spacing w:before="240"/>
            </w:pPr>
            <w:r>
              <w:t>We are happy to hear that we are at a minor revisions stage and have prompt</w:t>
            </w:r>
            <w:r w:rsidR="00054DC7">
              <w:t xml:space="preserve">ly </w:t>
            </w:r>
            <w:r>
              <w:t>responded to each inquiry below.</w:t>
            </w:r>
          </w:p>
        </w:tc>
      </w:tr>
    </w:tbl>
    <w:p w14:paraId="58313BF1" w14:textId="77777777" w:rsidR="00497229" w:rsidRDefault="00497229" w:rsidP="003D263C">
      <w:pPr>
        <w:spacing w:before="240" w:after="0"/>
        <w:rPr>
          <w:b/>
          <w:bCs/>
        </w:rPr>
      </w:pPr>
    </w:p>
    <w:p w14:paraId="5C869ED8" w14:textId="77777777" w:rsidR="00497229" w:rsidRDefault="00497229">
      <w:pPr>
        <w:rPr>
          <w:b/>
          <w:bCs/>
        </w:rPr>
      </w:pPr>
      <w:r>
        <w:rPr>
          <w:b/>
          <w:bCs/>
        </w:rPr>
        <w:br w:type="page"/>
      </w:r>
    </w:p>
    <w:p w14:paraId="19A6A835" w14:textId="73D564BD" w:rsidR="003D263C" w:rsidRPr="003D263C" w:rsidRDefault="003D263C" w:rsidP="003D263C">
      <w:pPr>
        <w:spacing w:before="240" w:after="0"/>
        <w:rPr>
          <w:b/>
          <w:bCs/>
        </w:rPr>
      </w:pPr>
      <w:r w:rsidRPr="003D263C">
        <w:rPr>
          <w:b/>
          <w:bCs/>
        </w:rPr>
        <w:lastRenderedPageBreak/>
        <w:t>Reviewer #1</w:t>
      </w:r>
    </w:p>
    <w:p w14:paraId="7828C6D3" w14:textId="6B15507C" w:rsidR="003D263C" w:rsidRDefault="003D263C" w:rsidP="003D263C">
      <w:pPr>
        <w:spacing w:before="240" w:after="0"/>
      </w:pPr>
      <w:r>
        <w:t>I appreciate the thoughtful way in which the authors revised their manuscript. I feel that the responses to my original feedback were thorough and I have no further feedback for the authors. I look forward to learning about the results from this very interesting study!</w:t>
      </w:r>
    </w:p>
    <w:tbl>
      <w:tblPr>
        <w:tblStyle w:val="TableGrid"/>
        <w:tblW w:w="0" w:type="auto"/>
        <w:tblLook w:val="04A0" w:firstRow="1" w:lastRow="0" w:firstColumn="1" w:lastColumn="0" w:noHBand="0" w:noVBand="1"/>
      </w:tblPr>
      <w:tblGrid>
        <w:gridCol w:w="9350"/>
      </w:tblGrid>
      <w:tr w:rsidR="004F0F94" w14:paraId="0055736B" w14:textId="77777777" w:rsidTr="004F0F94">
        <w:tc>
          <w:tcPr>
            <w:tcW w:w="9350" w:type="dxa"/>
          </w:tcPr>
          <w:p w14:paraId="2FF90C31" w14:textId="39A4E976" w:rsidR="004F0F94" w:rsidRPr="004F0F94" w:rsidRDefault="004F0F94">
            <w:r w:rsidRPr="004F0F94">
              <w:t xml:space="preserve">Thank </w:t>
            </w:r>
            <w:r>
              <w:t>you for your feedback</w:t>
            </w:r>
            <w:r w:rsidR="00497229">
              <w:t xml:space="preserve"> throughout this process</w:t>
            </w:r>
            <w:r>
              <w:t>. We look forward to sharing our results with you soon!</w:t>
            </w:r>
          </w:p>
        </w:tc>
      </w:tr>
    </w:tbl>
    <w:p w14:paraId="26C66559" w14:textId="77777777" w:rsidR="00CC7DC8" w:rsidRDefault="00CC7DC8">
      <w:pPr>
        <w:rPr>
          <w:b/>
          <w:bCs/>
        </w:rPr>
      </w:pPr>
      <w:r>
        <w:rPr>
          <w:b/>
          <w:bCs/>
        </w:rPr>
        <w:br w:type="page"/>
      </w:r>
    </w:p>
    <w:p w14:paraId="6AD76506" w14:textId="1AEB76E7" w:rsidR="003D263C" w:rsidRDefault="003D263C" w:rsidP="003D263C">
      <w:pPr>
        <w:spacing w:before="240" w:after="0"/>
      </w:pPr>
      <w:r w:rsidRPr="003D263C">
        <w:rPr>
          <w:b/>
          <w:bCs/>
        </w:rPr>
        <w:lastRenderedPageBreak/>
        <w:t>Reviewer #2</w:t>
      </w:r>
    </w:p>
    <w:p w14:paraId="46253E03" w14:textId="3E0A9541" w:rsidR="003D263C" w:rsidRDefault="003D263C" w:rsidP="003D263C">
      <w:pPr>
        <w:spacing w:before="240" w:after="0"/>
      </w:pPr>
      <w:r>
        <w:t>Thank you for this responsive revision. This updated version is much clearer. I appreciate the new presentation of study variables, anticipated effects, and power analysis. It's also good to have specific cutoff values for Hume.</w:t>
      </w:r>
    </w:p>
    <w:tbl>
      <w:tblPr>
        <w:tblStyle w:val="TableGrid"/>
        <w:tblW w:w="0" w:type="auto"/>
        <w:tblLook w:val="04A0" w:firstRow="1" w:lastRow="0" w:firstColumn="1" w:lastColumn="0" w:noHBand="0" w:noVBand="1"/>
      </w:tblPr>
      <w:tblGrid>
        <w:gridCol w:w="9350"/>
      </w:tblGrid>
      <w:tr w:rsidR="003D263C" w14:paraId="5CDA6FC2" w14:textId="77777777" w:rsidTr="003D263C">
        <w:tc>
          <w:tcPr>
            <w:tcW w:w="9350" w:type="dxa"/>
          </w:tcPr>
          <w:p w14:paraId="17FCEB45" w14:textId="01261371" w:rsidR="003D263C" w:rsidRDefault="004F0F94" w:rsidP="003D263C">
            <w:pPr>
              <w:spacing w:before="240"/>
            </w:pPr>
            <w:r>
              <w:t>Thank you</w:t>
            </w:r>
            <w:r w:rsidR="006B5284">
              <w:t xml:space="preserve"> for your feedback and continued engagement with these ideas. We hope our revisions reflect how valuable we have found the Registered Report process!</w:t>
            </w:r>
          </w:p>
        </w:tc>
      </w:tr>
    </w:tbl>
    <w:p w14:paraId="1DC8D69A" w14:textId="77777777" w:rsidR="003D263C" w:rsidRDefault="003D263C" w:rsidP="003D263C">
      <w:pPr>
        <w:spacing w:before="240" w:after="0"/>
      </w:pPr>
      <w:r>
        <w:t>I am enthusiastic about many aspects of this study. Its design (especially with the new clearer explanations) provides a compelling and elegant way of testing the boundary conditions of the facial feedback hypothesis. While the experiment offers some insights into why repeated smiling in emotional labor contexts can make people unhappy, I think the introduction should focus on the facial feedback/sensorimotor simulation and address sales/emotional labor contexts in a much more cautious way.</w:t>
      </w:r>
    </w:p>
    <w:p w14:paraId="296D9922" w14:textId="77777777" w:rsidR="00CC7DC8" w:rsidRDefault="003D263C" w:rsidP="003D263C">
      <w:pPr>
        <w:spacing w:before="240" w:after="0"/>
        <w:rPr>
          <w:color w:val="000000" w:themeColor="text1"/>
        </w:rPr>
      </w:pPr>
      <w:r w:rsidRPr="006B5284">
        <w:rPr>
          <w:color w:val="000000" w:themeColor="text1"/>
        </w:rPr>
        <w:t xml:space="preserve">In the proposed study, participants imitate photographs of smiles such that the main manipulation involves inducing Zygomaticus Major activation or AU12, without expressers' awareness. Repetition and threat are manipulated, but these are only two of the many aspects of emotional labor/burnout experience. Among others, people engaged in emotional labor are aware that they are smiling, they are in a social context, their jobs are often lower in status than jobs not involving emotional labor. It is also unclear/variable whether smiles are simply used to achieve a favorable outcome or to mask one's negative emotions. </w:t>
      </w:r>
    </w:p>
    <w:tbl>
      <w:tblPr>
        <w:tblStyle w:val="TableGrid"/>
        <w:tblW w:w="0" w:type="auto"/>
        <w:tblLook w:val="04A0" w:firstRow="1" w:lastRow="0" w:firstColumn="1" w:lastColumn="0" w:noHBand="0" w:noVBand="1"/>
      </w:tblPr>
      <w:tblGrid>
        <w:gridCol w:w="9350"/>
      </w:tblGrid>
      <w:tr w:rsidR="006B5284" w14:paraId="2C662B40" w14:textId="77777777" w:rsidTr="006B5284">
        <w:tc>
          <w:tcPr>
            <w:tcW w:w="9350" w:type="dxa"/>
          </w:tcPr>
          <w:p w14:paraId="62067292" w14:textId="698ADA88" w:rsidR="006B5284" w:rsidRDefault="006B5284" w:rsidP="00446158">
            <w:pPr>
              <w:spacing w:before="240"/>
              <w:rPr>
                <w:color w:val="000000" w:themeColor="text1"/>
              </w:rPr>
            </w:pPr>
            <w:r>
              <w:t xml:space="preserve">Thank you for this excellent point. We found it compelling. In the updated manuscript, we provide a more nuanced explanation of our goals. As you mentioned (and we now acknowledge), there are </w:t>
            </w:r>
            <w:r w:rsidRPr="006B5284">
              <w:t xml:space="preserve">multiple way that </w:t>
            </w:r>
            <w:r>
              <w:t>a standard facial feedback paradigm differs from the real-world demands of emotion labor (p. 5).</w:t>
            </w:r>
            <w:r w:rsidR="00446158">
              <w:t xml:space="preserve"> We now clarify that our design starts with three of these possibilities.</w:t>
            </w:r>
          </w:p>
        </w:tc>
      </w:tr>
    </w:tbl>
    <w:p w14:paraId="1D482463" w14:textId="7398010F" w:rsidR="003D263C" w:rsidRPr="00446158" w:rsidRDefault="003D263C" w:rsidP="003D263C">
      <w:pPr>
        <w:spacing w:before="240" w:after="0"/>
        <w:rPr>
          <w:color w:val="000000" w:themeColor="text1"/>
        </w:rPr>
      </w:pPr>
      <w:r w:rsidRPr="00446158">
        <w:rPr>
          <w:color w:val="000000" w:themeColor="text1"/>
        </w:rPr>
        <w:t>I find current references to emotional regulation literature in the context of posed smiling rather confusing. I suggest either removing them or explaining in greater detail the relevant smile manipulations or behaviors and considering in greater detail the relevant emotion regulation strategy and its links with the proposed study manipulation. I am unclear about how the current manipulation (asking participants to produce a smile) would constitute a proxy for expressive suppression.</w:t>
      </w:r>
    </w:p>
    <w:tbl>
      <w:tblPr>
        <w:tblStyle w:val="TableGrid"/>
        <w:tblW w:w="0" w:type="auto"/>
        <w:tblLook w:val="04A0" w:firstRow="1" w:lastRow="0" w:firstColumn="1" w:lastColumn="0" w:noHBand="0" w:noVBand="1"/>
      </w:tblPr>
      <w:tblGrid>
        <w:gridCol w:w="9350"/>
      </w:tblGrid>
      <w:tr w:rsidR="00446158" w14:paraId="203C9393" w14:textId="77777777" w:rsidTr="00446158">
        <w:tc>
          <w:tcPr>
            <w:tcW w:w="9350" w:type="dxa"/>
          </w:tcPr>
          <w:p w14:paraId="353E6FF0" w14:textId="6BD7BA8D" w:rsidR="00446158" w:rsidRDefault="00A101BB" w:rsidP="003D263C">
            <w:pPr>
              <w:spacing w:before="240"/>
            </w:pPr>
            <w:r>
              <w:t>This was indeed confusing, and w</w:t>
            </w:r>
            <w:r w:rsidR="00446158">
              <w:t>e added a clarification on p. 4.</w:t>
            </w:r>
          </w:p>
          <w:p w14:paraId="22F15AFE" w14:textId="08BAD9DC" w:rsidR="00446158" w:rsidRDefault="00A101BB" w:rsidP="003D263C">
            <w:pPr>
              <w:spacing w:before="240"/>
            </w:pPr>
            <w:r>
              <w:lastRenderedPageBreak/>
              <w:t xml:space="preserve">As a reminder, the purpose of this section of the paper is to provide a brief overview of an influential line of argumentation against posed smiles in the emotion labor literature. Although emotion labor researchers ultimately prefer the phrase “surface acting”, they tend to liken this to the demand of “expressive suppression” </w:t>
            </w:r>
            <w:proofErr w:type="gramStart"/>
            <w:r>
              <w:t>in order to</w:t>
            </w:r>
            <w:proofErr w:type="gramEnd"/>
            <w:r>
              <w:t xml:space="preserve"> connect to more fundamental work on emotion regulation (e.g., Gross, 1988).</w:t>
            </w:r>
            <w:r w:rsidR="007B5311">
              <w:t xml:space="preserve"> Similarly, they liken a “deep acting” phrase to the notion of “cognitive reappraisal”. As we describe in the updated manuscript, this is most certainty an imperfect parallel – but it’s nonetheless quite influential.</w:t>
            </w:r>
          </w:p>
        </w:tc>
      </w:tr>
    </w:tbl>
    <w:p w14:paraId="66172960" w14:textId="219B3AE4" w:rsidR="004F0F94" w:rsidRDefault="004F0F94" w:rsidP="003D263C">
      <w:pPr>
        <w:spacing w:before="240" w:after="0"/>
      </w:pPr>
      <w:r>
        <w:lastRenderedPageBreak/>
        <w:t>On an unrelated note, Niedenthal et al.'s Simulation of Smiles Model (2010) and their account of uncertainty/relevance as a trigger of embodied simulation could be relevant for the repetition manipulation in the proposed study.</w:t>
      </w:r>
    </w:p>
    <w:tbl>
      <w:tblPr>
        <w:tblStyle w:val="TableGrid"/>
        <w:tblW w:w="0" w:type="auto"/>
        <w:tblLook w:val="04A0" w:firstRow="1" w:lastRow="0" w:firstColumn="1" w:lastColumn="0" w:noHBand="0" w:noVBand="1"/>
      </w:tblPr>
      <w:tblGrid>
        <w:gridCol w:w="9350"/>
      </w:tblGrid>
      <w:tr w:rsidR="00952264" w14:paraId="5CD132C5" w14:textId="77777777" w:rsidTr="00952264">
        <w:tc>
          <w:tcPr>
            <w:tcW w:w="9350" w:type="dxa"/>
          </w:tcPr>
          <w:p w14:paraId="30F908BE" w14:textId="2DD36B81" w:rsidR="00204F6E" w:rsidRDefault="00204F6E" w:rsidP="00204F6E">
            <w:pPr>
              <w:spacing w:before="240"/>
            </w:pPr>
            <w:r>
              <w:t xml:space="preserve">Great point. We do indeed cite the </w:t>
            </w:r>
            <w:r w:rsidRPr="00204F6E">
              <w:t>Niedenthal</w:t>
            </w:r>
            <w:r>
              <w:t xml:space="preserve"> et al. model in the manuscript. However, following a comment from Reviewer 2, </w:t>
            </w:r>
            <w:r w:rsidR="004F0F94">
              <w:t xml:space="preserve">we exercised more caution when drawing links between potential patterns of results and specific theories. </w:t>
            </w:r>
            <w:r>
              <w:t>Ultimately, we were convinced that our paradigm will not allow us to arbitrate between theories carefully enough to weigh in on disagreements about the mechanisms driving emotion embodiment effects.</w:t>
            </w:r>
          </w:p>
        </w:tc>
      </w:tr>
    </w:tbl>
    <w:p w14:paraId="27AF7E16" w14:textId="43B24A46" w:rsidR="003D263C" w:rsidRDefault="003D263C" w:rsidP="003D263C">
      <w:pPr>
        <w:spacing w:before="240" w:after="0"/>
      </w:pPr>
    </w:p>
    <w:p w14:paraId="27826B92" w14:textId="77777777" w:rsidR="00CC7DC8" w:rsidRDefault="00CC7DC8" w:rsidP="003D263C">
      <w:pPr>
        <w:spacing w:before="240" w:after="0"/>
        <w:rPr>
          <w:b/>
          <w:bCs/>
        </w:rPr>
      </w:pPr>
    </w:p>
    <w:p w14:paraId="3F299CCD" w14:textId="77777777" w:rsidR="00CC7DC8" w:rsidRDefault="00CC7DC8">
      <w:pPr>
        <w:rPr>
          <w:b/>
          <w:bCs/>
        </w:rPr>
      </w:pPr>
      <w:r>
        <w:rPr>
          <w:b/>
          <w:bCs/>
        </w:rPr>
        <w:br w:type="page"/>
      </w:r>
    </w:p>
    <w:p w14:paraId="51BD922C" w14:textId="2F9FB336" w:rsidR="00952264" w:rsidRPr="00952264" w:rsidRDefault="003D263C" w:rsidP="003D263C">
      <w:pPr>
        <w:spacing w:before="240" w:after="0"/>
        <w:rPr>
          <w:b/>
          <w:bCs/>
        </w:rPr>
      </w:pPr>
      <w:r w:rsidRPr="00952264">
        <w:rPr>
          <w:b/>
          <w:bCs/>
        </w:rPr>
        <w:lastRenderedPageBreak/>
        <w:t>Reviewer #3</w:t>
      </w:r>
    </w:p>
    <w:p w14:paraId="6BD63832" w14:textId="0429C6D5" w:rsidR="003D263C" w:rsidRDefault="003D263C" w:rsidP="003D263C">
      <w:pPr>
        <w:spacing w:before="240" w:after="0"/>
      </w:pPr>
      <w:r>
        <w:t>I really enjoyed reading this (thoroughly rewritten!) version of the registered report. The introduction thoughtfully reviews the facial feedback and emotion labor literatures and why they might differ. I like how the 3 manipulations test 3 possible explanations for why facial feedback and emotion labor research has led to different conclusions. I have just a few small suggestions below.</w:t>
      </w:r>
    </w:p>
    <w:tbl>
      <w:tblPr>
        <w:tblStyle w:val="TableGrid"/>
        <w:tblW w:w="0" w:type="auto"/>
        <w:tblLook w:val="04A0" w:firstRow="1" w:lastRow="0" w:firstColumn="1" w:lastColumn="0" w:noHBand="0" w:noVBand="1"/>
      </w:tblPr>
      <w:tblGrid>
        <w:gridCol w:w="9350"/>
      </w:tblGrid>
      <w:tr w:rsidR="00952264" w14:paraId="4B975246" w14:textId="77777777" w:rsidTr="00952264">
        <w:tc>
          <w:tcPr>
            <w:tcW w:w="9350" w:type="dxa"/>
          </w:tcPr>
          <w:p w14:paraId="6892320F" w14:textId="757040C2" w:rsidR="00952264" w:rsidRDefault="00BD5CDF" w:rsidP="003D263C">
            <w:pPr>
              <w:spacing w:before="240"/>
            </w:pPr>
            <w:r w:rsidRPr="004F0F94">
              <w:t xml:space="preserve">Thank </w:t>
            </w:r>
            <w:r>
              <w:t>you for your feedback throughout this process!</w:t>
            </w:r>
          </w:p>
        </w:tc>
      </w:tr>
    </w:tbl>
    <w:p w14:paraId="74B9FACD" w14:textId="0DA001D3" w:rsidR="00CC7DC8" w:rsidRDefault="003D263C" w:rsidP="003D263C">
      <w:pPr>
        <w:spacing w:before="240" w:after="0"/>
      </w:pPr>
      <w:r>
        <w:t>1. I would consider focusing the introduction on the competing hypotheses generated by the facial feedback hypothesis vs emotional labor hypothesis that you so nicely describe on ps. 2-4.</w:t>
      </w:r>
    </w:p>
    <w:p w14:paraId="145DC1D5" w14:textId="21844D5A" w:rsidR="003D263C" w:rsidRDefault="00BD5CDF" w:rsidP="003D263C">
      <w:pPr>
        <w:spacing w:before="240" w:after="0"/>
      </w:pPr>
      <w:r>
        <w:t>I</w:t>
      </w:r>
      <w:r w:rsidR="003D263C">
        <w:t>'m not sure that you need to bring in the separate basic emotion/constructionism debate (starting on p. 5). An embodied emotion account (smiling directly causes positive affect) is compatible with both a basic emotion perspective and a behaviorist or even constructionist perspective, as far as I understand. Even assuming I've been culturally conditioned to smile when feeling positive affect, if those two states (positive affect and smiling) co-occur frequently enough, they can become bidirectionally causally associated (basic Hebbian learning). As an analogy, the word "apple" routinely co-occurs with the perceptual image of an apple, so the auditory/semantic representation of apple becomes linked to the visual-shape representation. Later, the word alone can trigger a visual image, and the visual image can help you retrieve the word. No one claims the word-image link is innate, though. I also was somewhat confused about how self-perception theory fit with the other theories. Bringing in other theoretical debates besides facial feedback vs emotion labor also muddied the justification for the 3 manipulations (see next point).</w:t>
      </w:r>
    </w:p>
    <w:tbl>
      <w:tblPr>
        <w:tblStyle w:val="TableGrid"/>
        <w:tblW w:w="0" w:type="auto"/>
        <w:tblLook w:val="04A0" w:firstRow="1" w:lastRow="0" w:firstColumn="1" w:lastColumn="0" w:noHBand="0" w:noVBand="1"/>
      </w:tblPr>
      <w:tblGrid>
        <w:gridCol w:w="9350"/>
      </w:tblGrid>
      <w:tr w:rsidR="00952264" w14:paraId="1AFD0C0E" w14:textId="77777777" w:rsidTr="00952264">
        <w:tc>
          <w:tcPr>
            <w:tcW w:w="9350" w:type="dxa"/>
          </w:tcPr>
          <w:p w14:paraId="24EC5EC9" w14:textId="1E807166" w:rsidR="00952264" w:rsidRDefault="004F0F94" w:rsidP="00BD5CDF">
            <w:pPr>
              <w:spacing w:before="240"/>
            </w:pPr>
            <w:r>
              <w:t>Thank you for</w:t>
            </w:r>
            <w:r w:rsidR="00BD5CDF">
              <w:t xml:space="preserve"> explaining your </w:t>
            </w:r>
            <w:r>
              <w:t xml:space="preserve">argumentation, which we ultimately </w:t>
            </w:r>
            <w:r w:rsidR="00BD5CDF">
              <w:t>found compelling</w:t>
            </w:r>
            <w:r>
              <w:t>.</w:t>
            </w:r>
            <w:r w:rsidR="00BD5CDF">
              <w:t xml:space="preserve"> In the updated manuscript, we have removed discussion of this separate debate.</w:t>
            </w:r>
          </w:p>
        </w:tc>
      </w:tr>
    </w:tbl>
    <w:p w14:paraId="50159987" w14:textId="77777777" w:rsidR="003D263C" w:rsidRDefault="003D263C" w:rsidP="003D263C">
      <w:pPr>
        <w:spacing w:before="240" w:after="0"/>
      </w:pPr>
      <w:r>
        <w:t>2. I might just cut the second paragraph of the "repetition account" subsection. The first paragraph straightforwardly justifies repetition as a candidate explanation/boundary condition for why the facial feedback and emotion labor literatures disagree. The second paragraph then confuses the issue. I don't think basic emotion vs self-perception accounts would truly make different predictions about the impact of repetition (e.g., sensory habituation and fatigue are perfectly compatible with a nativist lens, right?).</w:t>
      </w:r>
    </w:p>
    <w:tbl>
      <w:tblPr>
        <w:tblStyle w:val="TableGrid"/>
        <w:tblW w:w="0" w:type="auto"/>
        <w:tblLook w:val="04A0" w:firstRow="1" w:lastRow="0" w:firstColumn="1" w:lastColumn="0" w:noHBand="0" w:noVBand="1"/>
      </w:tblPr>
      <w:tblGrid>
        <w:gridCol w:w="9350"/>
      </w:tblGrid>
      <w:tr w:rsidR="00952264" w14:paraId="79EF9361" w14:textId="77777777" w:rsidTr="00952264">
        <w:tc>
          <w:tcPr>
            <w:tcW w:w="9350" w:type="dxa"/>
          </w:tcPr>
          <w:p w14:paraId="24BCCC1F" w14:textId="3C406496" w:rsidR="00952264" w:rsidRDefault="0059176A" w:rsidP="003D263C">
            <w:pPr>
              <w:spacing w:before="240"/>
            </w:pPr>
            <w:r>
              <w:t>We</w:t>
            </w:r>
            <w:r w:rsidR="00BD5CDF">
              <w:t xml:space="preserve"> agree and</w:t>
            </w:r>
            <w:r>
              <w:t xml:space="preserve"> have removed this paragraph from the updated manuscript.</w:t>
            </w:r>
          </w:p>
        </w:tc>
      </w:tr>
    </w:tbl>
    <w:p w14:paraId="5BCCB57A" w14:textId="77777777" w:rsidR="003D263C" w:rsidRDefault="003D263C" w:rsidP="003D263C">
      <w:pPr>
        <w:spacing w:before="240" w:after="0"/>
      </w:pPr>
      <w:r>
        <w:lastRenderedPageBreak/>
        <w:t>3. The punishment manipulation adds both external motivation and a more negative context. Is this a confound to be concerned about? You could add a third condition (possibility of reward via bonus payment) that still has an external motivator without the threat component. I know that complicates the design and may require more participants, so perhaps there's another way to differentiate the two possible mechanisms.</w:t>
      </w:r>
    </w:p>
    <w:tbl>
      <w:tblPr>
        <w:tblStyle w:val="TableGrid"/>
        <w:tblW w:w="0" w:type="auto"/>
        <w:tblLook w:val="04A0" w:firstRow="1" w:lastRow="0" w:firstColumn="1" w:lastColumn="0" w:noHBand="0" w:noVBand="1"/>
      </w:tblPr>
      <w:tblGrid>
        <w:gridCol w:w="9350"/>
      </w:tblGrid>
      <w:tr w:rsidR="00952264" w14:paraId="3828AF55" w14:textId="77777777" w:rsidTr="00952264">
        <w:tc>
          <w:tcPr>
            <w:tcW w:w="9350" w:type="dxa"/>
          </w:tcPr>
          <w:p w14:paraId="55A86F33" w14:textId="77777777" w:rsidR="00BD5CDF" w:rsidRDefault="002620E5" w:rsidP="003D263C">
            <w:pPr>
              <w:spacing w:before="240"/>
            </w:pPr>
            <w:r>
              <w:t xml:space="preserve">Great point. </w:t>
            </w:r>
          </w:p>
          <w:p w14:paraId="2A0CA836" w14:textId="1ACEF61C" w:rsidR="00BD5CDF" w:rsidRDefault="00BD5CDF" w:rsidP="003D263C">
            <w:pPr>
              <w:spacing w:before="240"/>
            </w:pPr>
            <w:r>
              <w:t>In the updated manuscript, we acknowledge and explain why we believe this confound is benign for our purposes:</w:t>
            </w:r>
          </w:p>
          <w:p w14:paraId="3C58DD25" w14:textId="4F3DE9CB" w:rsidR="00952264" w:rsidRDefault="00BD5CDF" w:rsidP="003D263C">
            <w:pPr>
              <w:spacing w:before="240"/>
            </w:pPr>
            <w:r>
              <w:t>“…</w:t>
            </w:r>
            <w:r w:rsidR="002620E5" w:rsidRPr="002620E5">
              <w:t>These manipulations are designed to evaluate boundary conditions of the mood-boosting effect of posed smiles – although they cannot necessarily explain why those conditions matter. For example, Punishment Threat may eliminate the mood-boosting effect of posed smiles because it shifts the perceived goal of the smile (</w:t>
            </w:r>
            <w:r>
              <w:t xml:space="preserve">from appeasing an experimenter </w:t>
            </w:r>
            <w:r w:rsidR="002620E5" w:rsidRPr="002620E5">
              <w:t>to avoid</w:t>
            </w:r>
            <w:r>
              <w:t>ing</w:t>
            </w:r>
            <w:r w:rsidR="002620E5" w:rsidRPr="002620E5">
              <w:t xml:space="preserve"> financial penalty). </w:t>
            </w:r>
            <w:r>
              <w:t xml:space="preserve">However, </w:t>
            </w:r>
            <w:r w:rsidR="002620E5" w:rsidRPr="002620E5">
              <w:t xml:space="preserve">it may also eliminate the mood-boosting effect of posed smiles because </w:t>
            </w:r>
            <w:r>
              <w:t xml:space="preserve">financial threats are </w:t>
            </w:r>
            <w:r w:rsidR="002620E5" w:rsidRPr="002620E5">
              <w:t>intrinsically unpleasant</w:t>
            </w:r>
            <w:r>
              <w:t>…”</w:t>
            </w:r>
            <w:r w:rsidR="002620E5" w:rsidRPr="002620E5">
              <w:t xml:space="preserve"> </w:t>
            </w:r>
          </w:p>
        </w:tc>
      </w:tr>
    </w:tbl>
    <w:p w14:paraId="54BDEE15" w14:textId="77777777" w:rsidR="003D263C" w:rsidRDefault="003D263C" w:rsidP="003D263C">
      <w:pPr>
        <w:spacing w:before="240" w:after="0"/>
      </w:pPr>
      <w:r>
        <w:t>4. I didn't see mention of analyzing the anger and fear self-reports—do you need them? Are they there to obscure the true purpose of the study? Maybe clarify that.</w:t>
      </w:r>
    </w:p>
    <w:tbl>
      <w:tblPr>
        <w:tblStyle w:val="TableGrid"/>
        <w:tblW w:w="0" w:type="auto"/>
        <w:tblLook w:val="04A0" w:firstRow="1" w:lastRow="0" w:firstColumn="1" w:lastColumn="0" w:noHBand="0" w:noVBand="1"/>
      </w:tblPr>
      <w:tblGrid>
        <w:gridCol w:w="9350"/>
      </w:tblGrid>
      <w:tr w:rsidR="00952264" w14:paraId="6463D90B" w14:textId="77777777" w:rsidTr="00952264">
        <w:tc>
          <w:tcPr>
            <w:tcW w:w="9350" w:type="dxa"/>
          </w:tcPr>
          <w:p w14:paraId="025DD292" w14:textId="418D8556" w:rsidR="00952264" w:rsidRDefault="00BD5CDF" w:rsidP="003D263C">
            <w:pPr>
              <w:spacing w:before="240"/>
            </w:pPr>
            <w:r>
              <w:t xml:space="preserve">Thank you for letting us know this was confusing. In the updated manuscript, we </w:t>
            </w:r>
            <w:r w:rsidR="002620E5">
              <w:t xml:space="preserve">clarify that </w:t>
            </w:r>
            <w:r>
              <w:t xml:space="preserve">was done to </w:t>
            </w:r>
            <w:r w:rsidR="00952264">
              <w:t xml:space="preserve">obscure </w:t>
            </w:r>
            <w:r w:rsidR="002620E5">
              <w:t>our interest in any specific emotional state</w:t>
            </w:r>
            <w:r>
              <w:t xml:space="preserve"> (p. 11).</w:t>
            </w:r>
          </w:p>
        </w:tc>
      </w:tr>
    </w:tbl>
    <w:p w14:paraId="4E5B9847" w14:textId="64F9DD3D" w:rsidR="00BD5CDF" w:rsidRPr="00952264" w:rsidRDefault="003D263C" w:rsidP="003D263C">
      <w:pPr>
        <w:spacing w:before="240" w:after="0"/>
      </w:pPr>
      <w:r>
        <w:t>5. When you refer to emotion incongruence, repetition, and punishment as "accounts," I would maybe clarify that they are "accounts of why facial feedback and emotion labor literatures have disagreed". When I hear "account," I think of an explanation for a phenomenon, so it sounds like these are somehow three theories in and of themselves. If I understand you, however, these 3 factors are being manipulated to understand why the facial feedback and emotion labor literatures draw opposite conclusions.</w:t>
      </w:r>
    </w:p>
    <w:tbl>
      <w:tblPr>
        <w:tblStyle w:val="TableGrid"/>
        <w:tblW w:w="0" w:type="auto"/>
        <w:tblLook w:val="04A0" w:firstRow="1" w:lastRow="0" w:firstColumn="1" w:lastColumn="0" w:noHBand="0" w:noVBand="1"/>
      </w:tblPr>
      <w:tblGrid>
        <w:gridCol w:w="9350"/>
      </w:tblGrid>
      <w:tr w:rsidR="00952264" w14:paraId="07E6A3D4" w14:textId="77777777" w:rsidTr="00952264">
        <w:tc>
          <w:tcPr>
            <w:tcW w:w="9350" w:type="dxa"/>
          </w:tcPr>
          <w:p w14:paraId="54DB9B6E" w14:textId="303DD77C" w:rsidR="00952264" w:rsidRPr="00BD5CDF" w:rsidRDefault="00BD5CDF" w:rsidP="00BD5CDF">
            <w:pPr>
              <w:spacing w:before="240" w:after="160" w:line="278" w:lineRule="auto"/>
            </w:pPr>
            <w:r>
              <w:t xml:space="preserve">Thank you for letting us know this was confusing. In the updated manuscript, we </w:t>
            </w:r>
            <w:r w:rsidR="003B1A90">
              <w:t>now refer to these as hypotheses (as opposed to accounts).</w:t>
            </w:r>
          </w:p>
        </w:tc>
      </w:tr>
    </w:tbl>
    <w:p w14:paraId="6DB8476B" w14:textId="7804B2F6" w:rsidR="00B46EDA" w:rsidRDefault="00B46EDA" w:rsidP="003D263C">
      <w:pPr>
        <w:spacing w:before="240" w:after="0"/>
      </w:pPr>
    </w:p>
    <w:sectPr w:rsidR="00B46E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63C"/>
    <w:rsid w:val="00054DC7"/>
    <w:rsid w:val="000807A6"/>
    <w:rsid w:val="0015243B"/>
    <w:rsid w:val="00204F6E"/>
    <w:rsid w:val="0025067D"/>
    <w:rsid w:val="002532A0"/>
    <w:rsid w:val="002620E5"/>
    <w:rsid w:val="003B1A90"/>
    <w:rsid w:val="003D263C"/>
    <w:rsid w:val="00446158"/>
    <w:rsid w:val="00497229"/>
    <w:rsid w:val="004F0F94"/>
    <w:rsid w:val="0050749E"/>
    <w:rsid w:val="0059176A"/>
    <w:rsid w:val="00610B29"/>
    <w:rsid w:val="006B5284"/>
    <w:rsid w:val="00722FB1"/>
    <w:rsid w:val="007B5311"/>
    <w:rsid w:val="008A0998"/>
    <w:rsid w:val="008A52D7"/>
    <w:rsid w:val="00950E9A"/>
    <w:rsid w:val="00952264"/>
    <w:rsid w:val="009E79E8"/>
    <w:rsid w:val="00A101BB"/>
    <w:rsid w:val="00B46EDA"/>
    <w:rsid w:val="00BC5491"/>
    <w:rsid w:val="00BD5CDF"/>
    <w:rsid w:val="00CC7DC8"/>
    <w:rsid w:val="00DB05AD"/>
    <w:rsid w:val="6BD69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8E2AB"/>
  <w15:chartTrackingRefBased/>
  <w15:docId w15:val="{282BE141-673F-0746-BFD1-27A27C53C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63C"/>
    <w:rPr>
      <w:rFonts w:eastAsiaTheme="majorEastAsia" w:cstheme="majorBidi"/>
      <w:color w:val="272727" w:themeColor="text1" w:themeTint="D8"/>
    </w:rPr>
  </w:style>
  <w:style w:type="paragraph" w:styleId="Title">
    <w:name w:val="Title"/>
    <w:basedOn w:val="Normal"/>
    <w:next w:val="Normal"/>
    <w:link w:val="TitleChar"/>
    <w:uiPriority w:val="10"/>
    <w:qFormat/>
    <w:rsid w:val="003D2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63C"/>
    <w:pPr>
      <w:spacing w:before="160"/>
      <w:jc w:val="center"/>
    </w:pPr>
    <w:rPr>
      <w:i/>
      <w:iCs/>
      <w:color w:val="404040" w:themeColor="text1" w:themeTint="BF"/>
    </w:rPr>
  </w:style>
  <w:style w:type="character" w:customStyle="1" w:styleId="QuoteChar">
    <w:name w:val="Quote Char"/>
    <w:basedOn w:val="DefaultParagraphFont"/>
    <w:link w:val="Quote"/>
    <w:uiPriority w:val="29"/>
    <w:rsid w:val="003D263C"/>
    <w:rPr>
      <w:i/>
      <w:iCs/>
      <w:color w:val="404040" w:themeColor="text1" w:themeTint="BF"/>
    </w:rPr>
  </w:style>
  <w:style w:type="paragraph" w:styleId="ListParagraph">
    <w:name w:val="List Paragraph"/>
    <w:basedOn w:val="Normal"/>
    <w:uiPriority w:val="34"/>
    <w:qFormat/>
    <w:rsid w:val="003D263C"/>
    <w:pPr>
      <w:ind w:left="720"/>
      <w:contextualSpacing/>
    </w:pPr>
  </w:style>
  <w:style w:type="character" w:styleId="IntenseEmphasis">
    <w:name w:val="Intense Emphasis"/>
    <w:basedOn w:val="DefaultParagraphFont"/>
    <w:uiPriority w:val="21"/>
    <w:qFormat/>
    <w:rsid w:val="003D263C"/>
    <w:rPr>
      <w:i/>
      <w:iCs/>
      <w:color w:val="0F4761" w:themeColor="accent1" w:themeShade="BF"/>
    </w:rPr>
  </w:style>
  <w:style w:type="paragraph" w:styleId="IntenseQuote">
    <w:name w:val="Intense Quote"/>
    <w:basedOn w:val="Normal"/>
    <w:next w:val="Normal"/>
    <w:link w:val="IntenseQuoteChar"/>
    <w:uiPriority w:val="30"/>
    <w:qFormat/>
    <w:rsid w:val="003D2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63C"/>
    <w:rPr>
      <w:i/>
      <w:iCs/>
      <w:color w:val="0F4761" w:themeColor="accent1" w:themeShade="BF"/>
    </w:rPr>
  </w:style>
  <w:style w:type="character" w:styleId="IntenseReference">
    <w:name w:val="Intense Reference"/>
    <w:basedOn w:val="DefaultParagraphFont"/>
    <w:uiPriority w:val="32"/>
    <w:qFormat/>
    <w:rsid w:val="003D263C"/>
    <w:rPr>
      <w:b/>
      <w:bCs/>
      <w:smallCaps/>
      <w:color w:val="0F4761" w:themeColor="accent1" w:themeShade="BF"/>
      <w:spacing w:val="5"/>
    </w:rPr>
  </w:style>
  <w:style w:type="table" w:styleId="TableGrid">
    <w:name w:val="Table Grid"/>
    <w:basedOn w:val="TableNormal"/>
    <w:uiPriority w:val="39"/>
    <w:rsid w:val="003D26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670714f8618db2376d441c02964ad8f8">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0c1bb8c8da38ebfa7060b07942bcd7b3"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Props1.xml><?xml version="1.0" encoding="utf-8"?>
<ds:datastoreItem xmlns:ds="http://schemas.openxmlformats.org/officeDocument/2006/customXml" ds:itemID="{91281865-4A50-490C-B6C9-5E6B6C997A66}">
  <ds:schemaRefs>
    <ds:schemaRef ds:uri="http://schemas.microsoft.com/sharepoint/v3/contenttype/forms"/>
  </ds:schemaRefs>
</ds:datastoreItem>
</file>

<file path=customXml/itemProps2.xml><?xml version="1.0" encoding="utf-8"?>
<ds:datastoreItem xmlns:ds="http://schemas.openxmlformats.org/officeDocument/2006/customXml" ds:itemID="{76ED43E1-49BC-4974-A30F-DB635FECA1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633b7-a0d7-44f6-9ebf-b0bcc1d1386b"/>
    <ds:schemaRef ds:uri="f1ebdc78-f2a0-4ed8-b1e0-396e97b61f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5E1861-BE7E-489F-B3CC-5B9FCB6AD8EE}">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1488</Words>
  <Characters>8230</Characters>
  <Application>Microsoft Office Word</Application>
  <DocSecurity>0</DocSecurity>
  <Lines>134</Lines>
  <Paragraphs>41</Paragraphs>
  <ScaleCrop>false</ScaleCrop>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Coles, Nicholas A.</dc:creator>
  <cp:keywords/>
  <dc:description/>
  <cp:lastModifiedBy>Coles, Nicholas A.</cp:lastModifiedBy>
  <cp:revision>12</cp:revision>
  <dcterms:created xsi:type="dcterms:W3CDTF">2025-12-11T14:20:00Z</dcterms:created>
  <dcterms:modified xsi:type="dcterms:W3CDTF">2025-12-30T17:46:00Z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0x0101002E9A67939B0F2B4787EAA086EFF368F8</vt:lpwstr>
  </property>
  <property fmtid="{D5CDD505-2E9C-101B-9397-08002B2CF9AE}" pid="3" name="MediaServiceImageTags">
    <vt:lpwstr/>
  </property>
</Properties>
</file>