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3d1a346</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02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967173"/>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967173"/>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None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Safe and secure accommodation - defined by compliance with the Decent Homes Standard including the absence of category 1 and 2 hazards under the Housing and Health and Safety Rating System, and with all relevant gas, electricity and fire safety checks in place.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Unemployed and looking/available for work immediately (in the next two weeks), Unemployed and NOT looking/available for work immediately (for example, retired, looking after family or long term sick or disabled),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What is your current employment status? Source - https://www.ons.gov.uk/census/censustransformationprogramme/questiondevelopment/economicactivityandhoursworkedquestiondevelopmentforcensus2021#questions-recommended-for-census-2021 . Required to assess movement from unemployment to employment and to cross reference against admin data sets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don’t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(i.e. main duty/priority group), Non-statutory homelessness (i.e. NOT main duty/priority group)</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employment_entry_status: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Working as an employee on a permanent contract (or on leave from employment, for example maternity or paternity leave), Working as an employee on a temporary contract, Working as an employee on a zero hours contract, Working as an employee cash in hand, Self employed or freelance (Freelance means that you are self-employed and work for different companies or people on particular pieces of work),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'employment_sustain_status',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'dimension(employment_sustain_status)'}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'wage_employment_sustain',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'dimension(wage_employment_sustain)'}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formal education or training (for example, registered in college or university, an apprenticeship, or a government employment and training programme. This may be combined with paid employment), Not in formal education or training (i.e. not formally registered)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'education_training_status_sustain',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'dimension(education_training_status_sustain)'}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hours_of_employment_sustain</w:t>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wage_employment_entry</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wage_baseline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employment_entry_status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education_training_status_sustain</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education_training_status_entry</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wage_employment_sustain</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employment_sustain_status</w:t>
      </w:r>
    </w:p>
    <w:p w14:paraId="5EC6126E" w14:textId="03524355" w:rsidR="0083572D" w:rsidRDefault="0083572D" w:rsidP="0083572D">
      <w:pPr>
        <w:pStyle w:val="ListParagraph"/>
        <w:numPr>
          <w:ilvl w:val="0"/>
          <w:numId w:val="1"/>
        </w:numPr>
      </w:pPr>
      <w:r>
        <w:t xml:space="preserve">hours_of_employment_entry</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 (i.e.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 (i.e. NOT main duty/priority group)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and looking/available for work immediately (in the next two weeks)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and NOT looking/available for work immediately (for example, retired, looking after family or 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 formal education or training (for example, registered in college or university, an apprenticeship, or a government employment and training programme. This may be combined with paid 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 or training (i.e. not formally registered)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wage_employment_sustain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employment_sustain_status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permanent contract (or on leave from employment, for example maternity or paternity leave)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temporary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on a zero hours contract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Working as an employee cash in hand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 or freelance (Freelance means that you are self-employed and work for different companies or people on particular pieces of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