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5c38b67</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07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strEmployments, in tents, doorways, parks, bus shelters or encampments). 2) People in buildings or other places not designed for habitation (such as stairwells, barns, sheds, car parks, cars, derelict boats, stations, or ‘bashes’).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  Statutory homelessness requires a household to be unintentionally homeless AND demonstrate a priority category need, such as dependent children. Non-statutory homelessness may include single homeless people without specific vulnerabilities, or those people who don’t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