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5bed4da</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02 September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526243"/>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5526243"/>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'housing_entry_accomodation',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'dimension(housing_entry_accomodation)'}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'housing_baseline_accommodation',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temp_ni_number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transgender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economic_status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tbc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This is a non-mandatory data field, people have the option to ask this question, but are not forced to answer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'transgender',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'dimension(transgender)'}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and Palladium</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'current_number_of_dependents_uk',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'dimension(current_number_of_dependents_uk)'}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'economic_status',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'dimension(economic_status)'}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 - decision due 31 August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 - decision due 31 August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employment_entry_details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'employment_entry_details',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'dimension(employment_entry_details)'}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baseline 'economic_status',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current_family_composition</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current_number_of_dependents_uk</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integration_digital</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current_number_of_dependents_uk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