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4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4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38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{mediaFileTypes}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présents plusieurs fois les plus volumineux</w:t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dossier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{/biggestDuplicateFolders}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6B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bPfJSd6Jv4BMQSxbpYwleSxtw==">AMUW2mWJeKoYrg/89urNwDquWcwhSI5I6U2/EomjVQ+UWqcCtLcM5UWC5hU88T3/dZE/57XJ+YonbMtc/qrIq62xcIW0rstD0pmkPlb++xRC487k04QX8Nc8Lz/yo2wqNvPTnMZIUvuO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