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Chiffres clés de l’arborescence</w:t>
      </w: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97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70"/>
        <w:gridCol w:w="2730"/>
        <w:gridCol w:w="2145"/>
        <w:gridCol w:w="810"/>
        <w:gridCol w:w="2460"/>
        <w:tblGridChange w:id="0">
          <w:tblGrid>
            <w:gridCol w:w="870"/>
            <w:gridCol w:w="2730"/>
            <w:gridCol w:w="2145"/>
            <w:gridCol w:w="810"/>
            <w:gridCol w:w="2460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50" name="image7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DOSSIERS/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RÉPERTOIRES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{totalFoldersCount}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7557" cy="450076"/>
                  <wp:effectExtent b="0" l="0" r="0" t="0"/>
                  <wp:docPr descr="pasted-movie.png" id="1073741852" name="image1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57" cy="450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FICHIERS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{totalFilesCount}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51" name="image3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TAILLE DE L’ARBORESCENCE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{totalSize}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54" name="image5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IMPACT CO2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{totalCO2} 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53" name="image2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DATES EXTRÊMES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{oldestDate}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{newestDate}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¹ Ce poids est calculé à partir de 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indicateur de la Base IMPACTS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®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Numérique de 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ADEME : 0,0116 kg CO2eq/an pour 1Go stocké. </w:t>
      </w:r>
      <w:hyperlink r:id="rId12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https://base-empreinte.ademe.fr/documentation/base-impact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648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9.0" w:type="dxa"/>
        <w:jc w:val="left"/>
        <w:tblInd w:w="97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67"/>
        <w:gridCol w:w="2723"/>
        <w:gridCol w:w="3530"/>
        <w:gridCol w:w="1899"/>
        <w:tblGridChange w:id="0">
          <w:tblGrid>
            <w:gridCol w:w="867"/>
            <w:gridCol w:w="2723"/>
            <w:gridCol w:w="3530"/>
            <w:gridCol w:w="1899"/>
          </w:tblGrid>
        </w:tblGridChange>
      </w:tblGrid>
      <w:tr>
        <w:trPr>
          <w:cantSplit w:val="0"/>
          <w:trHeight w:val="106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2218" cy="382218"/>
                  <wp:effectExtent b="0" l="0" r="0" t="0"/>
                  <wp:docPr descr="pasted-movie.png" id="1073741856" name="image6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218" cy="3822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FICHIER LE PLUS LONG DE L’ARBORESCENCE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CARACTÈRES DU 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{longestPathLength}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Nom du fichier le plus long de l’arborescence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: {longestPathFileName}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Chemin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:{longestPathPath}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5.0" w:type="dxa"/>
        <w:jc w:val="left"/>
        <w:tblInd w:w="97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40"/>
        <w:gridCol w:w="4605"/>
        <w:gridCol w:w="3570"/>
        <w:tblGridChange w:id="0">
          <w:tblGrid>
            <w:gridCol w:w="840"/>
            <w:gridCol w:w="4605"/>
            <w:gridCol w:w="3570"/>
          </w:tblGrid>
        </w:tblGridChange>
      </w:tblGrid>
      <w:tr>
        <w:trPr>
          <w:cantSplit w:val="0"/>
          <w:trHeight w:val="852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66965" cy="366965"/>
                  <wp:effectExtent b="0" l="0" r="0" t="0"/>
                  <wp:docPr descr="pasted-movie.png" id="1073741855" name="image4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965" cy="3669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NIVEAUX DE PROFONDEUR SUR L'ARBORESCENCE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auto" w:val="clear"/>
                <w:vertAlign w:val="baseline"/>
                <w:rtl w:val="0"/>
              </w:rPr>
              <w:t xml:space="preserve">{depth}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niveaux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Répartition des éléments par type d'extension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477197" cy="2831554"/>
            <wp:docPr id="1073741849" name=""/>
            <a:graphic>
              <a:graphicData uri="http://schemas.openxmlformats.org/drawingml/2006/chart">
                <c:chart r:id="rId15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b4250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b4250c"/>
          <w:sz w:val="20"/>
          <w:szCs w:val="20"/>
          <w:u w:val="none"/>
          <w:shd w:fill="auto" w:val="clear"/>
          <w:vertAlign w:val="baseline"/>
          <w:rtl w:val="0"/>
        </w:rPr>
        <w:t xml:space="preserve">Fichier de type Publication : {publicationPercent}%, {publicationCount} éléments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{publicationFileTypes}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e63c1e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e63c1e"/>
          <w:sz w:val="20"/>
          <w:szCs w:val="20"/>
          <w:u w:val="none"/>
          <w:shd w:fill="auto" w:val="clear"/>
          <w:vertAlign w:val="baseline"/>
          <w:rtl w:val="0"/>
        </w:rPr>
        <w:t xml:space="preserve">Fichier de type Présentation : {presentationPercent}%, {presentationCount} éléments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{presentationFileTypes}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46c01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6c010"/>
          <w:sz w:val="20"/>
          <w:szCs w:val="20"/>
          <w:u w:val="none"/>
          <w:shd w:fill="auto" w:val="clear"/>
          <w:vertAlign w:val="baseline"/>
          <w:rtl w:val="0"/>
        </w:rPr>
        <w:t xml:space="preserve">Fichier de type Tableur : {spreadsheetPercent}%, {spreadsheetCount} éléments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{spreadsheetFileTypes}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13d6f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13d6f3"/>
          <w:sz w:val="20"/>
          <w:szCs w:val="20"/>
          <w:u w:val="none"/>
          <w:shd w:fill="auto" w:val="clear"/>
          <w:vertAlign w:val="baseline"/>
          <w:rtl w:val="0"/>
        </w:rPr>
        <w:t xml:space="preserve">Fichier de type Email : {emailPercent}%, {emailCount} éléments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{emailFileTypes}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4c4ee8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4c4ee8"/>
          <w:sz w:val="20"/>
          <w:szCs w:val="20"/>
          <w:u w:val="none"/>
          <w:shd w:fill="auto" w:val="clear"/>
          <w:vertAlign w:val="baseline"/>
          <w:rtl w:val="0"/>
        </w:rPr>
        <w:t xml:space="preserve">Fichier de type Document : {documentPercent}%, {documentCount} éléments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{documentFileTypes}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8540c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8540c7"/>
          <w:sz w:val="20"/>
          <w:szCs w:val="20"/>
          <w:u w:val="none"/>
          <w:shd w:fill="auto" w:val="clear"/>
          <w:vertAlign w:val="baseline"/>
          <w:rtl w:val="0"/>
        </w:rPr>
        <w:t xml:space="preserve">Fichier de type Image : {imagePercent}%, {imageCount} éléments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{imageFileTypes}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6700c7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6700c7"/>
          <w:sz w:val="20"/>
          <w:szCs w:val="20"/>
          <w:u w:val="none"/>
          <w:shd w:fill="auto" w:val="clear"/>
          <w:vertAlign w:val="baseline"/>
          <w:rtl w:val="0"/>
        </w:rPr>
        <w:t xml:space="preserve">Fichier de type Vidéo : {videoPercent}%, {videoCount}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6700c7"/>
          <w:sz w:val="20"/>
          <w:szCs w:val="20"/>
          <w:u w:val="none"/>
          <w:shd w:fill="auto" w:val="clear"/>
          <w:vertAlign w:val="baseline"/>
          <w:rtl w:val="0"/>
        </w:rPr>
        <w:t xml:space="preserve">éléments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{videoFileTypes}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ff35dd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ff35dd"/>
          <w:sz w:val="20"/>
          <w:szCs w:val="20"/>
          <w:u w:val="none"/>
          <w:shd w:fill="auto" w:val="clear"/>
          <w:vertAlign w:val="baseline"/>
          <w:rtl w:val="0"/>
        </w:rPr>
        <w:t xml:space="preserve">Fichier de type Son : {audioPercent}%, {audioCount} éléments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: {audioFileTypes}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78777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787779"/>
          <w:sz w:val="20"/>
          <w:szCs w:val="20"/>
          <w:u w:val="none"/>
          <w:shd w:fill="auto" w:val="clear"/>
          <w:vertAlign w:val="baseline"/>
          <w:rtl w:val="0"/>
        </w:rPr>
        <w:t xml:space="preserve">Fichier de type Autre : {otherPercent}%, {otherCount} éléments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Les éléments concernés dans cette catégorie sont {otherFileTypes}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Top 5 des répertoires/dossiers les + anciens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{#oldestFiles}</w:t>
      </w:r>
      <w:r w:rsidDel="00000000" w:rsidR="00000000" w:rsidRPr="00000000">
        <w:rPr>
          <w:rtl w:val="0"/>
        </w:rPr>
      </w:r>
    </w:p>
    <w:tbl>
      <w:tblPr>
        <w:tblStyle w:val="Table4"/>
        <w:tblW w:w="901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{path}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{/oldestFiles}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Top 5 des répertoires/dossiers les +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{#biggestFiles}</w:t>
      </w: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{size}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{path}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{/biggestFiles}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Chiffres clés sur les doublons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Ind w:w="972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870"/>
        <w:gridCol w:w="2730"/>
        <w:gridCol w:w="5415"/>
        <w:tblGridChange w:id="0">
          <w:tblGrid>
            <w:gridCol w:w="870"/>
            <w:gridCol w:w="2730"/>
            <w:gridCol w:w="5415"/>
          </w:tblGrid>
        </w:tblGridChange>
      </w:tblGrid>
      <w:tr>
        <w:trPr>
          <w:cantSplit w:val="0"/>
          <w:trHeight w:val="10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57" name="image7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7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DOUBLONS DE DOSSIERS/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RÉPERTOIRES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{duplicateFolderCount}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{duplicateFolderPercent}%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volume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37557" cy="450076"/>
                  <wp:effectExtent b="0" l="0" r="0" t="0"/>
                  <wp:docPr descr="pasted-movie.png" id="1073741860" name="image1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57" cy="4500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DOUBLONS DE FICHIERS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{duplicateFileCount}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soit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{duplicateFilePercent}% </w:t>
            </w: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 volume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58" name="image3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VOLUME GAGNÉ SI SUPPRESSION DES DOUBLONS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{duplicateTotalSize}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84157" cy="384157"/>
                  <wp:effectExtent b="0" l="0" r="0" t="0"/>
                  <wp:docPr descr="pasted-movie.png" id="1073741859" name="image5.png"/>
                  <a:graphic>
                    <a:graphicData uri="http://schemas.openxmlformats.org/drawingml/2006/picture">
                      <pic:pic>
                        <pic:nvPicPr>
                          <pic:cNvPr descr="pasted-movie.png"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157" cy="3841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CO2 GAGNÉ SI SUPPRESSION DES DOUBLONS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{duplicateTotalCO2} ¹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64" w:right="0" w:hanging="86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¹ Ce poids est calculé à partir de 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indicateur de la Base IMPACTS</w:t>
      </w:r>
      <w:r w:rsidDel="00000000" w:rsidR="00000000" w:rsidRPr="00000000">
        <w:rPr>
          <w:rFonts w:ascii="REM" w:cs="REM" w:eastAsia="REM" w:hAnsi="REM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®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 Numérique de l</w:t>
      </w:r>
      <w:r w:rsidDel="00000000" w:rsidR="00000000" w:rsidRPr="00000000"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ADEME : 0,0116 kg CO2eq/an pour 1Go stocké. </w:t>
      </w:r>
      <w:hyperlink r:id="rId16">
        <w:r w:rsidDel="00000000" w:rsidR="00000000" w:rsidRPr="00000000">
          <w:rPr>
            <w:rFonts w:ascii="Times" w:cs="Times" w:eastAsia="Times" w:hAnsi="Times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https://base-empreinte.ademe.fr/documentation/base-impact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48" w:right="0" w:hanging="648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54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" w:right="0" w:hanging="432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4" w:right="0" w:hanging="324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" w:right="0" w:hanging="2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Top 5 des éléments les plus récurrents dans l’arborescence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276" w:lineRule="auto"/>
        <w:ind w:left="0" w:firstLine="0"/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{#duplicates}</w:t>
      </w:r>
      <w:r w:rsidDel="00000000" w:rsidR="00000000" w:rsidRPr="00000000">
        <w:rPr>
          <w:rtl w:val="0"/>
        </w:rPr>
      </w:r>
    </w:p>
    <w:tbl>
      <w:tblPr>
        <w:tblStyle w:val="Table7"/>
        <w:tblW w:w="904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30"/>
        <w:gridCol w:w="6315"/>
        <w:tblGridChange w:id="0">
          <w:tblGrid>
            <w:gridCol w:w="2730"/>
            <w:gridCol w:w="631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Présent {count} fois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Vous pouvez retrouver les chemins sur le fichier d’export CSV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{/duplicates}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Top 5 des éléments présents plusieurs fois les plus volumineux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76" w:lineRule="auto"/>
        <w:rPr>
          <w:rFonts w:ascii="Avenir" w:cs="Avenir" w:eastAsia="Avenir" w:hAnsi="Avenir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sz w:val="20"/>
          <w:szCs w:val="20"/>
          <w:rtl w:val="0"/>
        </w:rPr>
        <w:t xml:space="preserve">{#biggestDuplicateFolders}</w:t>
      </w:r>
      <w:r w:rsidDel="00000000" w:rsidR="00000000" w:rsidRPr="00000000">
        <w:rPr>
          <w:rtl w:val="0"/>
        </w:rPr>
      </w:r>
    </w:p>
    <w:tbl>
      <w:tblPr>
        <w:tblStyle w:val="Table8"/>
        <w:tblW w:w="9015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730"/>
        <w:gridCol w:w="1725"/>
        <w:gridCol w:w="4560"/>
        <w:tblGridChange w:id="0">
          <w:tblGrid>
            <w:gridCol w:w="2730"/>
            <w:gridCol w:w="1725"/>
            <w:gridCol w:w="456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{size}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{path}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Chemin du dossier ayant la date de modification la plus ancienne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{/biggestDuplicateFolders}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{#elementsToDelete.length &gt; 0}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516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Liste des éléments à supprimer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sz w:val="20"/>
          <w:szCs w:val="20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{#elementsToDelete}</w:t>
      </w:r>
      <w:r w:rsidDel="00000000" w:rsidR="00000000" w:rsidRPr="00000000">
        <w:rPr>
          <w:rtl w:val="0"/>
        </w:rPr>
      </w:r>
    </w:p>
    <w:tbl>
      <w:tblPr>
        <w:tblStyle w:val="Table9"/>
        <w:tblW w:w="9120.0" w:type="dxa"/>
        <w:jc w:val="left"/>
        <w:tblInd w:w="108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1485"/>
        <w:gridCol w:w="2190"/>
        <w:gridCol w:w="2850"/>
        <w:gridCol w:w="2595"/>
        <w:tblGridChange w:id="0">
          <w:tblGrid>
            <w:gridCol w:w="1485"/>
            <w:gridCol w:w="2190"/>
            <w:gridCol w:w="2850"/>
            <w:gridCol w:w="259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Chemin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Taille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Date de dernière modification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{type}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{path}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{size}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{date}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venir" w:cs="Avenir" w:eastAsia="Avenir" w:hAnsi="Avenir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{/elementsToDelete}{/}</w:t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40" w:w="1190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imes"/>
  <w:font w:name="REM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Archifiltre version {archifiltreVersion}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venir" w:cs="Avenir" w:eastAsia="Avenir" w:hAnsi="Avenir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</w:rPr>
    </w:pP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Archifiltre</w:t>
    </w:r>
  </w:p>
  <w:p w:rsidR="00000000" w:rsidDel="00000000" w:rsidP="00000000" w:rsidRDefault="00000000" w:rsidRPr="00000000" w14:paraId="0000008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venir" w:cs="Avenir" w:eastAsia="Avenir" w:hAnsi="Avenir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Rapport d’audit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8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2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4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5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6"/>
      <w:numFmt w:val="upperRoman"/>
      <w:lvlText w:val="%1."/>
      <w:lvlJc w:val="left"/>
      <w:pPr>
        <w:ind w:left="720" w:hanging="516"/>
      </w:pPr>
      <w:rPr>
        <w:b w:val="1"/>
        <w:smallCaps w:val="0"/>
        <w:strike w:val="0"/>
        <w:shd w:fill="auto" w:val="clear"/>
        <w:vertAlign w:val="baseli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b w:val="1"/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b w:val="1"/>
        <w:smallCaps w:val="0"/>
        <w:strike w:val="0"/>
        <w:shd w:fill="auto" w:val="clear"/>
        <w:vertAlign w:val="baseli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b w:val="1"/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b w:val="1"/>
        <w:smallCaps w:val="0"/>
        <w:strike w:val="0"/>
        <w:shd w:fill="auto" w:val="clear"/>
        <w:vertAlign w:val="baseli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b w:val="1"/>
        <w:smallCaps w:val="0"/>
        <w:strike w:val="0"/>
        <w:shd w:fill="auto" w:val="clear"/>
        <w:vertAlign w:val="baseline"/>
      </w:rPr>
    </w:lvl>
    <w:lvl w:ilvl="6">
      <w:start w:val="1"/>
      <w:numFmt w:val="lowerRoman"/>
      <w:lvlText w:val="(%7)"/>
      <w:lvlJc w:val="left"/>
      <w:pPr>
        <w:ind w:left="5040" w:hanging="516"/>
      </w:pPr>
      <w:rPr>
        <w:b w:val="1"/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b w:val="1"/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(%9)"/>
      <w:lvlJc w:val="left"/>
      <w:pPr>
        <w:ind w:left="6480" w:hanging="516"/>
      </w:pPr>
      <w:rPr>
        <w:b w:val="1"/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76" w:lineRule="auto"/>
      <w:ind w:left="0" w:right="0" w:firstLine="0"/>
      <w:jc w:val="left"/>
      <w:outlineLvl w:val="9"/>
    </w:pPr>
    <w:rPr>
      <w:rFonts w:ascii="Arial" w:cs="Arial Unicode MS" w:eastAsia="Arial Unicode MS" w:hAnsi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color="000000" w:val="none"/>
      <w:shd w:color="auto" w:fill="auto" w:val="nil"/>
      <w:vertAlign w:val="baseline"/>
      <w:lang w:val="it-IT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numbering" w:styleId="Imported Style 1">
    <w:name w:val="Imported Style 1"/>
    <w:pPr>
      <w:numPr>
        <w:numId w:val="1"/>
      </w:numPr>
    </w:p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Roman" w:cs="Times Roman" w:eastAsia="Times Roman" w:hAnsi="Times Roman"/>
      <w:outline w:val="0"/>
      <w:color w:val="0000ff"/>
      <w:sz w:val="16"/>
      <w:szCs w:val="16"/>
      <w:u w:color="0000ff" w:val="single"/>
      <w:lang w:val="en-US"/>
      <w14:textFill>
        <w14:solidFill>
          <w14:srgbClr w14:val="0000FF"/>
        </w14:solidFill>
      </w14:textFill>
    </w:rPr>
  </w:style>
  <w:style w:type="paragraph" w:styleId="Body B A">
    <w:name w:val="Body B A"/>
    <w:next w:val="Body B A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Times New Roman" w:cs="Times New Roman" w:eastAsia="Times New Roman" w:hAnsi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color="000000" w:val="none"/>
      <w:shd w:color="auto" w:fill="auto" w:val="nil"/>
      <w:vertAlign w:val="baseline"/>
      <w14:textFill>
        <w14:solidFill>
          <w14:srgbClr w14:val="000000"/>
        </w14:solidFill>
      </w14:textFill>
      <w14:textOutline w14:cap="flat" w14:w="12700">
        <w14:noFill/>
        <w14:miter w14:lim="400000"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hyperlink" Target="https://base-empreinte.ademe.fr/documentation/base-impa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chart" Target="charts/chart1.xml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hyperlink" Target="https://base-empreinte.ademe.fr/documentation/base-impac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REM-regular.ttf"/><Relationship Id="rId6" Type="http://schemas.openxmlformats.org/officeDocument/2006/relationships/font" Target="fonts/REM-bold.ttf"/><Relationship Id="rId7" Type="http://schemas.openxmlformats.org/officeDocument/2006/relationships/font" Target="fonts/REM-italic.ttf"/><Relationship Id="rId8" Type="http://schemas.openxmlformats.org/officeDocument/2006/relationships/font" Target="fonts/REM-boldItalic.ttf"/></Relationships>
</file>

<file path=word/charts/_rels/chart1.xml.rels><?xml version="1.0" encoding="UTF-8" standalone="yes"?>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title>
      <c:tx>
        <c:rich>
          <a:bodyPr rot="0"/>
          <a:lstStyle/>
          <a:p>
            <a:pPr>
              <a:defRPr b="1" i="0" strike="noStrike" sz="1800" u="none">
                <a:solidFill>
                  <a:srgbClr val="000000"/>
                </a:solidFill>
                <a:latin typeface="Calibri"/>
              </a:defRPr>
            </a:pPr>
            <a:r>
              <a:rPr b="1" i="0" strike="noStrike" sz="1800" u="none">
                <a:solidFill>
                  <a:srgbClr val="000000"/>
                </a:solidFill>
                <a:latin typeface="Calibri"/>
              </a:rPr>
              <a:t>Répartition par type d'extension</a:t>
            </a:r>
          </a:p>
        </c:rich>
      </c:tx>
      <c:layout>
        <c:manualLayout>
          <c:xMode val="edge"/>
          <c:yMode val="edge"/>
          <c:x val="0"/>
          <c:y val="0"/>
          <c:w val="0.687947"/>
          <c:h val="0.242322"/>
        </c:manualLayout>
      </c:layout>
      <c:overlay val="1"/>
      <c:spPr>
        <a:noFill/>
        <a:effectLst/>
      </c:spPr>
    </c:title>
    <c:autoTitleDeleted val="1"/>
    <c:plotArea>
      <c:layout>
        <c:manualLayout>
          <c:layoutTarget val="inner"/>
          <c:xMode val="edge"/>
          <c:yMode val="edge"/>
          <c:x val="0.005"/>
          <c:y val="0.242322"/>
          <c:w val="0.479185"/>
          <c:h val="0.745178"/>
        </c:manualLayout>
      </c:layout>
      <c:pie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F75B40"/>
            </a:solidFill>
            <a:ln w="12700" cap="flat">
              <a:noFill/>
              <a:miter lim="400000"/>
            </a:ln>
            <a:effectLst/>
          </c:spPr>
          <c:explosion val="0"/>
          <c:dPt>
            <c:idx val="0"/>
            <c:explosion val="0"/>
            <c:spPr>
              <a:solidFill>
                <a:srgbClr val="F75B40"/>
              </a:solidFill>
              <a:ln w="12700" cap="flat">
                <a:noFill/>
                <a:miter lim="400000"/>
              </a:ln>
              <a:effectLst/>
            </c:spPr>
          </c:dPt>
          <c:dPt>
            <c:idx val="1"/>
            <c:explosion val="0"/>
            <c:spPr>
              <a:solidFill>
                <a:srgbClr val="4C78E8"/>
              </a:solidFill>
              <a:ln w="12700" cap="flat">
                <a:noFill/>
                <a:miter lim="400000"/>
              </a:ln>
              <a:effectLst/>
            </c:spPr>
          </c:dPt>
          <c:dPt>
            <c:idx val="2"/>
            <c:explosion val="0"/>
            <c:spPr>
              <a:solidFill>
                <a:srgbClr val="52D11A"/>
              </a:solidFill>
              <a:ln w="12700" cap="flat">
                <a:noFill/>
                <a:miter lim="400000"/>
              </a:ln>
              <a:effectLst/>
            </c:spPr>
          </c:dPt>
          <c:dPt>
            <c:idx val="3"/>
            <c:explosion val="0"/>
            <c:spPr>
              <a:solidFill>
                <a:srgbClr val="13D6F3"/>
              </a:solidFill>
              <a:ln w="12700" cap="flat">
                <a:noFill/>
                <a:miter lim="400000"/>
              </a:ln>
              <a:effectLst/>
            </c:spPr>
          </c:dPt>
          <c:dPt>
            <c:idx val="4"/>
            <c:explosion val="0"/>
            <c:spPr>
              <a:solidFill>
                <a:srgbClr val="B574F2"/>
              </a:solidFill>
              <a:ln w="12700" cap="flat">
                <a:noFill/>
                <a:miter lim="400000"/>
              </a:ln>
              <a:effectLst/>
            </c:spPr>
          </c:dPt>
          <c:dPt>
            <c:idx val="5"/>
            <c:explosion val="0"/>
            <c:spPr>
              <a:solidFill>
                <a:srgbClr val="8A8C93"/>
              </a:solidFill>
              <a:ln w="12700" cap="flat">
                <a:noFill/>
                <a:miter lim="400000"/>
              </a:ln>
              <a:effectLst/>
            </c:spPr>
          </c:dPt>
          <c:dLbls>
            <c:dLbl>
              <c:idx val="0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1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2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3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4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dLbl>
              <c:idx val="5"/>
              <c:numFmt formatCode="0" sourceLinked="0"/>
              <c:txPr>
                <a:bodyPr/>
                <a:lstStyle/>
                <a:p>
                  <a:pPr>
                    <a:defRPr b="0" i="0" strike="noStrike" sz="1000" u="none">
                      <a:solidFill>
                        <a:srgbClr val="000000"/>
                      </a:solidFill>
                      <a:latin typeface="Calibri"/>
                    </a:defRPr>
                  </a:pPr>
                </a:p>
              </c:txPr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</c:dLbl>
            <c:numFmt formatCode="0" sourceLinked="0"/>
            <c:txPr>
              <a:bodyPr/>
              <a:lstStyle/>
              <a:p>
                <a:pPr>
                  <a:defRPr b="0" i="0" strike="noStrike" sz="1000" u="non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1"/>
            <c:leaderLines>
              <c:spPr>
                <a:noFill/>
                <a:ln w="6350" cap="flat">
                  <a:solidFill>
                    <a:srgbClr val="000000"/>
                  </a:solidFill>
                  <a:prstDash val="solid"/>
                  <a:miter lim="400000"/>
                </a:ln>
                <a:effectLst/>
              </c:spPr>
            </c:leaderLines>
          </c:dLbls>
          <c:cat>
            <c:strRef>
              <c:f>Sheet1!$B$1:$G$1</c:f>
              <c:strCache>
                <c:ptCount val="6"/>
                <c:pt idx="0">
                  <c:v>Fichier de type Présentation</c:v>
                </c:pt>
                <c:pt idx="1">
                  <c:v>Fichier de type Document</c:v>
                </c:pt>
                <c:pt idx="2">
                  <c:v>Fichier de type Tableur</c:v>
                </c:pt>
                <c:pt idx="3">
                  <c:v>Fichier de type Email</c:v>
                </c:pt>
                <c:pt idx="4">
                  <c:v>Fichier de type Média</c:v>
                </c:pt>
                <c:pt idx="5">
                  <c:v>Fichiers autres</c:v>
                </c:pt>
              </c:strCache>
            </c:strRef>
          </c:cat>
          <c:val>
            <c:numRef>
              <c:f>Sheet1!$B$2:$G$2</c:f>
              <c:numCache>
                <c:ptCount val="6"/>
                <c:pt idx="0">
                  <c:v>0.000000</c:v>
                </c:pt>
                <c:pt idx="1">
                  <c:v>0.000000</c:v>
                </c:pt>
                <c:pt idx="2">
                  <c:v>0.000000</c:v>
                </c:pt>
                <c:pt idx="3">
                  <c:v>0.000000</c:v>
                </c:pt>
                <c:pt idx="4">
                  <c:v>0.000000</c:v>
                </c:pt>
                <c:pt idx="5">
                  <c:v>0.000000</c:v>
                </c:pt>
              </c:numCache>
            </c:numRef>
          </c:val>
        </c:ser>
        <c:firstSliceAng val="0"/>
      </c:pieChart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r"/>
      <c:layout>
        <c:manualLayout>
          <c:xMode val="edge"/>
          <c:yMode val="edge"/>
          <c:x val="0.611385"/>
          <c:y val="0.345502"/>
          <c:w val="0.388615"/>
          <c:h val="0.31545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0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UZeVhIsAGZO4NhaHgCSig2w4tA==">CgMxLjAyCGguZ2pkZ3hzOAByITE3dnhDSUdldjE2UmxVaW1rdHFfalpLMzN1MGY5bUllMw==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