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CHIA Experiment Contracts v0.2</w:t>
      </w:r>
    </w:p>
    <w:p>
      <w:pPr>
        <w:jc w:val="center"/>
      </w:pPr>
      <w:r>
        <w:rPr>
          <w:b/>
          <w:sz w:val="26"/>
        </w:rPr>
        <w:t>Clean schema architecture for the Offline AI Tutor + Attention Kernel + gem5 workflow</w:t>
      </w:r>
    </w:p>
    <w:p>
      <w:pPr>
        <w:jc w:val="center"/>
      </w:pPr>
      <w:r>
        <w:rPr>
          <w:i/>
        </w:rPr>
        <w:t>Team architecture package • A³ / MICRO 2026 CHIA Hackathon</w:t>
      </w:r>
    </w:p>
    <w:p/>
    <w:p>
      <w:pPr>
        <w:pStyle w:val="Heading1"/>
      </w:pPr>
      <w:r>
        <w:t>1. Executive Summary</w:t>
      </w:r>
    </w:p>
    <w:p>
      <w:r>
        <w:t>The repository can be made substantially cleaner by treating each schema as a separate contract with one responsibility. The current layout spreads related files across multiple top-level folders and mixes application configuration, simulator experiments, compute governance, examples, and result records. The proposed structure groups each contract with its own JSON Schema, YAML example/config, and short documentation, while keeping cross-cutting architecture notes in one shared docs folder.</w:t>
      </w:r>
    </w:p>
    <w:p>
      <w:r>
        <w:t>The proposed contracts are: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9"/>
              </w:rPr>
              <w:t>Contract</w:t>
            </w:r>
          </w:p>
        </w:tc>
        <w:tc>
          <w:tcPr>
            <w:tcW w:type="dxa" w:w="3360"/>
            <w:vAlign w:val="center"/>
            <w:shd w:fill="D9EAF7"/>
          </w:tcPr>
          <w:p>
            <w:r/>
            <w:r>
              <w:rPr>
                <w:b/>
                <w:sz w:val="19"/>
              </w:rPr>
              <w:t>Question it answers</w:t>
            </w:r>
          </w:p>
        </w:tc>
        <w:tc>
          <w:tcPr>
            <w:tcW w:type="dxa" w:w="3360"/>
            <w:vAlign w:val="center"/>
            <w:shd w:fill="D9EAF7"/>
          </w:tcPr>
          <w:p>
            <w:r/>
            <w:r>
              <w:rPr>
                <w:b/>
                <w:sz w:val="19"/>
              </w:rPr>
              <w:t>Why it is separate</w:t>
            </w:r>
          </w:p>
        </w:tc>
      </w:tr>
      <w:tr>
        <w:trPr>
          <w:cantSplit/>
        </w:trPr>
        <w:tc>
          <w:tcPr>
            <w:tcW w:type="dxa" w:w="3360"/>
            <w:vAlign w:val="center"/>
          </w:tcPr>
          <w:p>
            <w:r/>
            <w:r>
              <w:rPr>
                <w:b/>
                <w:sz w:val="19"/>
              </w:rPr>
              <w:t>AI Tutor Config</w:t>
            </w:r>
          </w:p>
        </w:tc>
        <w:tc>
          <w:tcPr>
            <w:tcW w:type="dxa" w:w="3360"/>
            <w:vAlign w:val="center"/>
          </w:tcPr>
          <w:p>
            <w:r/>
            <w:r>
              <w:rPr>
                <w:b w:val="0"/>
                <w:sz w:val="19"/>
              </w:rPr>
              <w:t>What application configuration are we evaluating?</w:t>
            </w:r>
          </w:p>
        </w:tc>
        <w:tc>
          <w:tcPr>
            <w:tcW w:type="dxa" w:w="3360"/>
            <w:vAlign w:val="center"/>
          </w:tcPr>
          <w:p>
            <w:r/>
            <w:r>
              <w:rPr>
                <w:b w:val="0"/>
                <w:sz w:val="19"/>
              </w:rPr>
              <w:t>Owns dataset, corpus, model, RAG and application-quality fields.</w:t>
            </w:r>
          </w:p>
        </w:tc>
      </w:tr>
      <w:tr>
        <w:trPr>
          <w:cantSplit/>
        </w:trPr>
        <w:tc>
          <w:tcPr>
            <w:tcW w:type="dxa" w:w="3360"/>
            <w:vAlign w:val="center"/>
          </w:tcPr>
          <w:p>
            <w:r/>
            <w:r>
              <w:rPr>
                <w:b/>
                <w:sz w:val="19"/>
              </w:rPr>
              <w:t>Attention Experiments</w:t>
            </w:r>
          </w:p>
        </w:tc>
        <w:tc>
          <w:tcPr>
            <w:tcW w:type="dxa" w:w="3360"/>
            <w:vAlign w:val="center"/>
          </w:tcPr>
          <w:p>
            <w:r/>
            <w:r>
              <w:rPr>
                <w:b w:val="0"/>
                <w:sz w:val="19"/>
              </w:rPr>
              <w:t>What proxy workload and simulated architecture are we evaluating?</w:t>
            </w:r>
          </w:p>
        </w:tc>
        <w:tc>
          <w:tcPr>
            <w:tcW w:type="dxa" w:w="3360"/>
            <w:vAlign w:val="center"/>
          </w:tcPr>
          <w:p>
            <w:r/>
            <w:r>
              <w:rPr>
                <w:b w:val="0"/>
                <w:sz w:val="19"/>
              </w:rPr>
              <w:t>Owns attention shapes, kernel settings and gem5 hardware values.</w:t>
            </w:r>
          </w:p>
        </w:tc>
      </w:tr>
      <w:tr>
        <w:trPr>
          <w:cantSplit/>
        </w:trPr>
        <w:tc>
          <w:tcPr>
            <w:tcW w:type="dxa" w:w="3360"/>
            <w:vAlign w:val="center"/>
          </w:tcPr>
          <w:p>
            <w:r/>
            <w:r>
              <w:rPr>
                <w:b/>
                <w:sz w:val="19"/>
              </w:rPr>
              <w:t>Compute Policy</w:t>
            </w:r>
          </w:p>
        </w:tc>
        <w:tc>
          <w:tcPr>
            <w:tcW w:type="dxa" w:w="3360"/>
            <w:vAlign w:val="center"/>
          </w:tcPr>
          <w:p>
            <w:r/>
            <w:r>
              <w:rPr>
                <w:b w:val="0"/>
                <w:sz w:val="19"/>
              </w:rPr>
              <w:t>Where and at what scale may the real job run?</w:t>
            </w:r>
          </w:p>
        </w:tc>
        <w:tc>
          <w:tcPr>
            <w:tcW w:type="dxa" w:w="3360"/>
            <w:vAlign w:val="center"/>
          </w:tcPr>
          <w:p>
            <w:r/>
            <w:r>
              <w:rPr>
                <w:b w:val="0"/>
                <w:sz w:val="19"/>
              </w:rPr>
              <w:t>Owns backends, parallelism, Gemini access and burst permissions.</w:t>
            </w:r>
          </w:p>
        </w:tc>
      </w:tr>
      <w:tr>
        <w:trPr>
          <w:cantSplit/>
        </w:trPr>
        <w:tc>
          <w:tcPr>
            <w:tcW w:type="dxa" w:w="3360"/>
            <w:vAlign w:val="center"/>
          </w:tcPr>
          <w:p>
            <w:r/>
            <w:r>
              <w:rPr>
                <w:b/>
                <w:sz w:val="19"/>
              </w:rPr>
              <w:t>Run Record</w:t>
            </w:r>
          </w:p>
        </w:tc>
        <w:tc>
          <w:tcPr>
            <w:tcW w:type="dxa" w:w="3360"/>
            <w:vAlign w:val="center"/>
          </w:tcPr>
          <w:p>
            <w:r/>
            <w:r>
              <w:rPr>
                <w:b w:val="0"/>
                <w:sz w:val="19"/>
              </w:rPr>
              <w:t>What actually happened?</w:t>
            </w:r>
          </w:p>
        </w:tc>
        <w:tc>
          <w:tcPr>
            <w:tcW w:type="dxa" w:w="3360"/>
            <w:vAlign w:val="center"/>
          </w:tcPr>
          <w:p>
            <w:r/>
            <w:r>
              <w:rPr>
                <w:b w:val="0"/>
                <w:sz w:val="19"/>
              </w:rPr>
              <w:t>Owns measured evidence, execution metadata, cost metering and provenance.</w:t>
            </w:r>
          </w:p>
        </w:tc>
      </w:tr>
    </w:tbl>
    <w:p>
      <w:pPr>
        <w:pStyle w:val="Heading1"/>
      </w:pPr>
      <w:r>
        <w:t>2. Why the Current Layout Feels Messy</w:t>
      </w:r>
    </w:p>
    <w:p>
      <w:r>
        <w:t>The current repository has a `config-schema/` area and a separate `compute-policy-v0.2/` area, each containing some combination of schemas, examples, docs, validation code and runtime concepts. That makes it harder for a teammate to answer basic ownership questions such as "which JSON file defines the Tutor?", "where is the attention baseline?", or "which file records gem5 output?".</w:t>
      </w:r>
    </w:p>
    <w:p>
      <w:r>
        <w:t>The clean-up principle is simple: keep related schema + YAML + docs together, and keep cross-contract logic at the root.</w:t>
      </w:r>
    </w:p>
    <w:p>
      <w:pPr>
        <w:pStyle w:val="Heading1"/>
      </w:pPr>
      <w:r>
        <w:t>3. Proposed Folder Structure</w:t>
      </w:r>
    </w:p>
    <w:p>
      <w:pPr>
        <w:spacing w:before="60" w:after="120"/>
        <w:shd w:fill="F2F2F2"/>
      </w:pPr>
      <w:r>
        <w:rPr>
          <w:rFonts w:ascii="Consolas" w:hAnsi="Consolas"/>
          <w:sz w:val="17"/>
        </w:rPr>
        <w:t>chia-experiment-contracts-v0.2/</w:t>
        <w:br/>
        <w:t>├── README.md</w:t>
        <w:br/>
        <w:t>├── requirements-dev.txt</w:t>
        <w:br/>
        <w:t>├── ai-tutor-config/</w:t>
        <w:br/>
        <w:t>│   ├── ai-tutor.schema.json</w:t>
        <w:br/>
        <w:t>│   ├── example.ai-tutor.yaml</w:t>
        <w:br/>
        <w:t>│   └── README.md</w:t>
        <w:br/>
        <w:t>├── attention-experiments/</w:t>
        <w:br/>
        <w:t>│   ├── attention-experiment.schema.json</w:t>
        <w:br/>
        <w:t>│   ├── attention-design-space.schema.json</w:t>
        <w:br/>
        <w:t>│   ├── baseline.attention.yaml</w:t>
        <w:br/>
        <w:t>│   ├── example.candidate.yaml</w:t>
        <w:br/>
        <w:t>│   ├── design-space.yaml</w:t>
        <w:br/>
        <w:t>│   └── README.md</w:t>
        <w:br/>
        <w:t>├── compute-policy/</w:t>
        <w:br/>
        <w:t>│   ├── compute-policy.schema.json</w:t>
        <w:br/>
        <w:t>│   ├── compute-policy.yaml</w:t>
        <w:br/>
        <w:t>│   └── README.md</w:t>
        <w:br/>
        <w:t>├── run-record/</w:t>
        <w:br/>
        <w:t>│   ├── run-record.schema.json</w:t>
        <w:br/>
        <w:t>│   ├── example.completed.yaml</w:t>
        <w:br/>
        <w:t>│   └── README.md</w:t>
        <w:br/>
        <w:t>├── scripts/</w:t>
        <w:br/>
        <w:t>│   └── validate_all.py</w:t>
        <w:br/>
        <w:t>└── docs/</w:t>
        <w:br/>
        <w:t xml:space="preserve">    ├── ARCHITECTURE.md</w:t>
        <w:br/>
        <w:t xml:space="preserve">    ├── MIGRATION_FROM_CURRENT_LAYOUT.md</w:t>
        <w:br/>
        <w:t xml:space="preserve">    ├── TEAMMATE_KNOBS.md</w:t>
        <w:br/>
        <w:t xml:space="preserve">    └── CHIA_Experiment_Contracts_v0.2_Architecture.docx</w:t>
      </w:r>
    </w:p>
    <w:p>
      <w:r>
        <w:t>This structure is intentionally boring: each contract lives in one place. That is a feature. A teammate can open one folder and find the schema, an example, and the explanation without searching the repository.</w:t>
      </w:r>
    </w:p>
    <w:p>
      <w:pPr>
        <w:pStyle w:val="Heading1"/>
      </w:pPr>
      <w:r>
        <w:t>4. Data Flow Between the Contracts</w:t>
      </w:r>
    </w:p>
    <w:p>
      <w:pPr>
        <w:spacing w:before="60" w:after="120"/>
        <w:shd w:fill="F2F2F2"/>
      </w:pPr>
      <w:r>
        <w:rPr>
          <w:rFonts w:ascii="Consolas" w:hAnsi="Consolas"/>
          <w:sz w:val="17"/>
        </w:rPr>
        <w:t>AI Tutor Config</w:t>
        <w:br/>
        <w:t xml:space="preserve">      │</w:t>
        <w:br/>
        <w:t xml:space="preserve">      ▼</w:t>
        <w:br/>
        <w:t>Tutor → Attention mapping  (must be validated)</w:t>
        <w:br/>
        <w:t xml:space="preserve">      │</w:t>
        <w:br/>
        <w:t xml:space="preserve">      ▼</w:t>
        <w:br/>
        <w:t>Attention Design Space</w:t>
        <w:br/>
        <w:t xml:space="preserve">      │</w:t>
        <w:br/>
        <w:t xml:space="preserve">      ├── CHIA / Gemini proposes candidate</w:t>
        <w:br/>
        <w:t xml:space="preserve">      ▼</w:t>
        <w:br/>
        <w:t>Attention Experiment</w:t>
        <w:br/>
        <w:t xml:space="preserve">      │</w:t>
        <w:br/>
        <w:t xml:space="preserve">      ├── JSON Schema validation</w:t>
        <w:br/>
        <w:t xml:space="preserve">      ├── semantic validation</w:t>
        <w:br/>
        <w:t xml:space="preserve">      └── Compute Policy gate</w:t>
        <w:br/>
        <w:t xml:space="preserve">              │</w:t>
        <w:br/>
        <w:t xml:space="preserve">              ▼</w:t>
        <w:br/>
        <w:t xml:space="preserve">          CHIA / Ray / gem5</w:t>
        <w:br/>
        <w:t xml:space="preserve">              │</w:t>
        <w:br/>
        <w:t xml:space="preserve">              ▼</w:t>
        <w:br/>
        <w:t xml:space="preserve">           Run Record</w:t>
        <w:br/>
        <w:t xml:space="preserve">              │</w:t>
        <w:br/>
        <w:t xml:space="preserve">              └── metrics / cost / provenance / status</w:t>
      </w:r>
    </w:p>
    <w:p>
      <w:pPr>
        <w:pStyle w:val="Heading1"/>
      </w:pPr>
      <w:r>
        <w:t>5. AI Tutor Config Contract</w:t>
      </w:r>
    </w:p>
    <w:p>
      <w:r>
        <w:t>This remains the official application-level schema. The earlier Tutor fields were useful and should not be thrown away. The clean change is to stop mixing gem5 hardware parameters into this application contract.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E2F0D9"/>
          </w:tcPr>
          <w:p>
            <w:r/>
            <w:r>
              <w:rPr>
                <w:b/>
                <w:sz w:val="19"/>
              </w:rPr>
              <w:t>Field group</w:t>
            </w:r>
          </w:p>
        </w:tc>
        <w:tc>
          <w:tcPr>
            <w:tcW w:type="dxa" w:w="2520"/>
            <w:vAlign w:val="center"/>
            <w:shd w:fill="E2F0D9"/>
          </w:tcPr>
          <w:p>
            <w:r/>
            <w:r>
              <w:rPr>
                <w:b/>
                <w:sz w:val="19"/>
              </w:rPr>
              <w:t>Keep?</w:t>
            </w:r>
          </w:p>
        </w:tc>
        <w:tc>
          <w:tcPr>
            <w:tcW w:type="dxa" w:w="2520"/>
            <w:vAlign w:val="center"/>
            <w:shd w:fill="E2F0D9"/>
          </w:tcPr>
          <w:p>
            <w:r/>
            <w:r>
              <w:rPr>
                <w:b/>
                <w:sz w:val="19"/>
              </w:rPr>
              <w:t>Reason</w:t>
            </w:r>
          </w:p>
        </w:tc>
        <w:tc>
          <w:tcPr>
            <w:tcW w:type="dxa" w:w="2520"/>
            <w:vAlign w:val="center"/>
            <w:shd w:fill="E2F0D9"/>
          </w:tcPr>
          <w:p>
            <w:r/>
            <w:r>
              <w:rPr>
                <w:b/>
                <w:sz w:val="19"/>
              </w:rPr>
              <w:t>v0.2 treatment</w:t>
            </w:r>
          </w:p>
        </w:tc>
      </w:tr>
      <w:tr>
        <w:trPr>
          <w:cantSplit/>
        </w:trPr>
        <w:tc>
          <w:tcPr>
            <w:tcW w:type="dxa" w:w="2520"/>
            <w:vAlign w:val="center"/>
          </w:tcPr>
          <w:p>
            <w:r/>
            <w:r>
              <w:rPr>
                <w:b/>
                <w:sz w:val="19"/>
              </w:rPr>
              <w:t>metadata</w:t>
            </w:r>
          </w:p>
        </w:tc>
        <w:tc>
          <w:tcPr>
            <w:tcW w:type="dxa" w:w="2520"/>
            <w:vAlign w:val="center"/>
          </w:tcPr>
          <w:p>
            <w:r/>
            <w:r>
              <w:rPr>
                <w:b w:val="0"/>
                <w:sz w:val="19"/>
              </w:rPr>
              <w:t>Yes</w:t>
            </w:r>
          </w:p>
        </w:tc>
        <w:tc>
          <w:tcPr>
            <w:tcW w:type="dxa" w:w="2520"/>
            <w:vAlign w:val="center"/>
          </w:tcPr>
          <w:p>
            <w:r/>
            <w:r>
              <w:rPr>
                <w:b w:val="0"/>
                <w:sz w:val="19"/>
              </w:rPr>
              <w:t>Experiment identity and artifact traceability</w:t>
            </w:r>
          </w:p>
        </w:tc>
        <w:tc>
          <w:tcPr>
            <w:tcW w:type="dxa" w:w="2520"/>
            <w:vAlign w:val="center"/>
          </w:tcPr>
          <w:p>
            <w:r/>
            <w:r>
              <w:rPr>
                <w:b w:val="0"/>
                <w:sz w:val="19"/>
              </w:rPr>
              <w:t>Keep experiment_id, description, artifact_manifest</w:t>
            </w:r>
          </w:p>
        </w:tc>
      </w:tr>
      <w:tr>
        <w:trPr>
          <w:cantSplit/>
        </w:trPr>
        <w:tc>
          <w:tcPr>
            <w:tcW w:type="dxa" w:w="2520"/>
            <w:vAlign w:val="center"/>
          </w:tcPr>
          <w:p>
            <w:r/>
            <w:r>
              <w:rPr>
                <w:b/>
                <w:sz w:val="19"/>
              </w:rPr>
              <w:t>workload.dataset/corpus/protocol</w:t>
            </w:r>
          </w:p>
        </w:tc>
        <w:tc>
          <w:tcPr>
            <w:tcW w:type="dxa" w:w="2520"/>
            <w:vAlign w:val="center"/>
          </w:tcPr>
          <w:p>
            <w:r/>
            <w:r>
              <w:rPr>
                <w:b w:val="0"/>
                <w:sz w:val="19"/>
              </w:rPr>
              <w:t>Yes</w:t>
            </w:r>
          </w:p>
        </w:tc>
        <w:tc>
          <w:tcPr>
            <w:tcW w:type="dxa" w:w="2520"/>
            <w:vAlign w:val="center"/>
          </w:tcPr>
          <w:p>
            <w:r/>
            <w:r>
              <w:rPr>
                <w:b w:val="0"/>
                <w:sz w:val="19"/>
              </w:rPr>
              <w:t>These define the real Tutor evaluation</w:t>
            </w:r>
          </w:p>
        </w:tc>
        <w:tc>
          <w:tcPr>
            <w:tcW w:type="dxa" w:w="2520"/>
            <w:vAlign w:val="center"/>
          </w:tcPr>
          <w:p>
            <w:r/>
            <w:r>
              <w:rPr>
                <w:b w:val="0"/>
                <w:sz w:val="19"/>
              </w:rPr>
              <w:t>Keep unchanged conceptually</w:t>
            </w:r>
          </w:p>
        </w:tc>
      </w:tr>
      <w:tr>
        <w:trPr>
          <w:cantSplit/>
        </w:trPr>
        <w:tc>
          <w:tcPr>
            <w:tcW w:type="dxa" w:w="2520"/>
            <w:vAlign w:val="center"/>
          </w:tcPr>
          <w:p>
            <w:r/>
            <w:r>
              <w:rPr>
                <w:b/>
                <w:sz w:val="19"/>
              </w:rPr>
              <w:t>software.model/quantization/RAG</w:t>
            </w:r>
          </w:p>
        </w:tc>
        <w:tc>
          <w:tcPr>
            <w:tcW w:type="dxa" w:w="2520"/>
            <w:vAlign w:val="center"/>
          </w:tcPr>
          <w:p>
            <w:r/>
            <w:r>
              <w:rPr>
                <w:b w:val="0"/>
                <w:sz w:val="19"/>
              </w:rPr>
              <w:t>Yes</w:t>
            </w:r>
          </w:p>
        </w:tc>
        <w:tc>
          <w:tcPr>
            <w:tcW w:type="dxa" w:w="2520"/>
            <w:vAlign w:val="center"/>
          </w:tcPr>
          <w:p>
            <w:r/>
            <w:r>
              <w:rPr>
                <w:b w:val="0"/>
                <w:sz w:val="19"/>
              </w:rPr>
              <w:t>Application software knobs</w:t>
            </w:r>
          </w:p>
        </w:tc>
        <w:tc>
          <w:tcPr>
            <w:tcW w:type="dxa" w:w="2520"/>
            <w:vAlign w:val="center"/>
          </w:tcPr>
          <w:p>
            <w:r/>
            <w:r>
              <w:rPr>
                <w:b w:val="0"/>
                <w:sz w:val="19"/>
              </w:rPr>
              <w:t>Keep; add max_context_tokens</w:t>
            </w:r>
          </w:p>
        </w:tc>
      </w:tr>
      <w:tr>
        <w:trPr>
          <w:cantSplit/>
        </w:trPr>
        <w:tc>
          <w:tcPr>
            <w:tcW w:type="dxa" w:w="2520"/>
            <w:vAlign w:val="center"/>
          </w:tcPr>
          <w:p>
            <w:r/>
            <w:r>
              <w:rPr>
                <w:b/>
                <w:sz w:val="19"/>
              </w:rPr>
              <w:t>hardware</w:t>
            </w:r>
          </w:p>
        </w:tc>
        <w:tc>
          <w:tcPr>
            <w:tcW w:type="dxa" w:w="2520"/>
            <w:vAlign w:val="center"/>
          </w:tcPr>
          <w:p>
            <w:r/>
            <w:r>
              <w:rPr>
                <w:b w:val="0"/>
                <w:sz w:val="19"/>
              </w:rPr>
              <w:t>Move</w:t>
            </w:r>
          </w:p>
        </w:tc>
        <w:tc>
          <w:tcPr>
            <w:tcW w:type="dxa" w:w="2520"/>
            <w:vAlign w:val="center"/>
          </w:tcPr>
          <w:p>
            <w:r/>
            <w:r>
              <w:rPr>
                <w:b w:val="0"/>
                <w:sz w:val="19"/>
              </w:rPr>
              <w:t>Those fields configure the attention/gem5 proxy, not the Tutor app</w:t>
            </w:r>
          </w:p>
        </w:tc>
        <w:tc>
          <w:tcPr>
            <w:tcW w:type="dxa" w:w="2520"/>
            <w:vAlign w:val="center"/>
          </w:tcPr>
          <w:p>
            <w:r/>
            <w:r>
              <w:rPr>
                <w:b w:val="0"/>
                <w:sz w:val="19"/>
              </w:rPr>
              <w:t>Remove from Tutor contract</w:t>
            </w:r>
          </w:p>
        </w:tc>
      </w:tr>
      <w:tr>
        <w:trPr>
          <w:cantSplit/>
        </w:trPr>
        <w:tc>
          <w:tcPr>
            <w:tcW w:type="dxa" w:w="2520"/>
            <w:vAlign w:val="center"/>
          </w:tcPr>
          <w:p>
            <w:r/>
            <w:r>
              <w:rPr>
                <w:b/>
                <w:sz w:val="19"/>
              </w:rPr>
              <w:t>proxy_evaluation</w:t>
            </w:r>
          </w:p>
        </w:tc>
        <w:tc>
          <w:tcPr>
            <w:tcW w:type="dxa" w:w="2520"/>
            <w:vAlign w:val="center"/>
          </w:tcPr>
          <w:p>
            <w:r/>
            <w:r>
              <w:rPr>
                <w:b w:val="0"/>
                <w:sz w:val="19"/>
              </w:rPr>
              <w:t>Add</w:t>
            </w:r>
          </w:p>
        </w:tc>
        <w:tc>
          <w:tcPr>
            <w:tcW w:type="dxa" w:w="2520"/>
            <w:vAlign w:val="center"/>
          </w:tcPr>
          <w:p>
            <w:r/>
            <w:r>
              <w:rPr>
                <w:b w:val="0"/>
                <w:sz w:val="19"/>
              </w:rPr>
              <w:t>Explicitly links Tutor-level evaluation to attention proxy work</w:t>
            </w:r>
          </w:p>
        </w:tc>
        <w:tc>
          <w:tcPr>
            <w:tcW w:type="dxa" w:w="2520"/>
            <w:vAlign w:val="center"/>
          </w:tcPr>
          <w:p>
            <w:r/>
            <w:r>
              <w:rPr>
                <w:b w:val="0"/>
                <w:sz w:val="19"/>
              </w:rPr>
              <w:t>mapping_id + attention experiment reference</w:t>
            </w:r>
          </w:p>
        </w:tc>
      </w:tr>
      <w:tr>
        <w:trPr>
          <w:cantSplit/>
        </w:trPr>
        <w:tc>
          <w:tcPr>
            <w:tcW w:type="dxa" w:w="2520"/>
            <w:vAlign w:val="center"/>
          </w:tcPr>
          <w:p>
            <w:r/>
            <w:r>
              <w:rPr>
                <w:b/>
                <w:sz w:val="19"/>
              </w:rPr>
              <w:t>metrics</w:t>
            </w:r>
          </w:p>
        </w:tc>
        <w:tc>
          <w:tcPr>
            <w:tcW w:type="dxa" w:w="2520"/>
            <w:vAlign w:val="center"/>
          </w:tcPr>
          <w:p>
            <w:r/>
            <w:r>
              <w:rPr>
                <w:b w:val="0"/>
                <w:sz w:val="19"/>
              </w:rPr>
              <w:t>Refine</w:t>
            </w:r>
          </w:p>
        </w:tc>
        <w:tc>
          <w:tcPr>
            <w:tcW w:type="dxa" w:w="2520"/>
            <w:vAlign w:val="center"/>
          </w:tcPr>
          <w:p>
            <w:r/>
            <w:r>
              <w:rPr>
                <w:b w:val="0"/>
                <w:sz w:val="19"/>
              </w:rPr>
              <w:t>Application metrics should not be confused with gem5 proxy metrics</w:t>
            </w:r>
          </w:p>
        </w:tc>
        <w:tc>
          <w:tcPr>
            <w:tcW w:type="dxa" w:w="2520"/>
            <w:vAlign w:val="center"/>
          </w:tcPr>
          <w:p>
            <w:r/>
            <w:r>
              <w:rPr>
                <w:b w:val="0"/>
                <w:sz w:val="19"/>
              </w:rPr>
              <w:t>Keep application metrics only</w:t>
            </w:r>
          </w:p>
        </w:tc>
      </w:tr>
    </w:tbl>
    <w:p>
      <w:pPr>
        <w:pStyle w:val="Heading1"/>
      </w:pPr>
      <w:r>
        <w:t>6. Attention Experiment Contract</w:t>
      </w:r>
    </w:p>
    <w:p>
      <w:r>
        <w:t>This contract is where your teammate's gem5 and attention implementation details belong. One YAML file describes one concrete workload + simulated-hardware candidate. The design-space YAML separately declares what CHIA may vary.</w:t>
      </w:r>
    </w:p>
    <w:p>
      <w:pPr>
        <w:pStyle w:val="Heading2"/>
      </w:pPr>
      <w:r>
        <w:t>6.1 Team-grounded baseline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FCE4D6"/>
          </w:tcPr>
          <w:p>
            <w:r/>
            <w:r>
              <w:rPr>
                <w:b/>
                <w:sz w:val="19"/>
              </w:rPr>
              <w:t>Area</w:t>
            </w:r>
          </w:p>
        </w:tc>
        <w:tc>
          <w:tcPr>
            <w:tcW w:type="dxa" w:w="3360"/>
            <w:vAlign w:val="center"/>
            <w:shd w:fill="FCE4D6"/>
          </w:tcPr>
          <w:p>
            <w:r/>
            <w:r>
              <w:rPr>
                <w:b/>
                <w:sz w:val="19"/>
              </w:rPr>
              <w:t>Baseline</w:t>
            </w:r>
          </w:p>
        </w:tc>
        <w:tc>
          <w:tcPr>
            <w:tcW w:type="dxa" w:w="3360"/>
            <w:vAlign w:val="center"/>
            <w:shd w:fill="FCE4D6"/>
          </w:tcPr>
          <w:p>
            <w:r/>
            <w:r>
              <w:rPr>
                <w:b/>
                <w:sz w:val="19"/>
              </w:rPr>
              <w:t>Role</w:t>
            </w:r>
          </w:p>
        </w:tc>
      </w:tr>
      <w:tr>
        <w:trPr>
          <w:cantSplit/>
        </w:trPr>
        <w:tc>
          <w:tcPr>
            <w:tcW w:type="dxa" w:w="3360"/>
            <w:vAlign w:val="center"/>
          </w:tcPr>
          <w:p>
            <w:r/>
            <w:r>
              <w:rPr>
                <w:b/>
                <w:sz w:val="19"/>
              </w:rPr>
              <w:t>CPU</w:t>
            </w:r>
          </w:p>
        </w:tc>
        <w:tc>
          <w:tcPr>
            <w:tcW w:type="dxa" w:w="3360"/>
            <w:vAlign w:val="center"/>
          </w:tcPr>
          <w:p>
            <w:r/>
            <w:r>
              <w:rPr>
                <w:b w:val="0"/>
                <w:sz w:val="19"/>
              </w:rPr>
              <w:t>RiscvTimingSimpleCPU, 1 core, 1 GHz</w:t>
            </w:r>
          </w:p>
        </w:tc>
        <w:tc>
          <w:tcPr>
            <w:tcW w:type="dxa" w:w="3360"/>
            <w:vAlign w:val="center"/>
          </w:tcPr>
          <w:p>
            <w:r/>
            <w:r>
              <w:rPr>
                <w:b w:val="0"/>
                <w:sz w:val="19"/>
              </w:rPr>
              <w:t>Fixed initial baseline</w:t>
            </w:r>
          </w:p>
        </w:tc>
      </w:tr>
      <w:tr>
        <w:trPr>
          <w:cantSplit/>
        </w:trPr>
        <w:tc>
          <w:tcPr>
            <w:tcW w:type="dxa" w:w="3360"/>
            <w:vAlign w:val="center"/>
          </w:tcPr>
          <w:p>
            <w:r/>
            <w:r>
              <w:rPr>
                <w:b/>
                <w:sz w:val="19"/>
              </w:rPr>
              <w:t>L1 I-cache</w:t>
            </w:r>
          </w:p>
        </w:tc>
        <w:tc>
          <w:tcPr>
            <w:tcW w:type="dxa" w:w="3360"/>
            <w:vAlign w:val="center"/>
          </w:tcPr>
          <w:p>
            <w:r/>
            <w:r>
              <w:rPr>
                <w:b w:val="0"/>
                <w:sz w:val="19"/>
              </w:rPr>
              <w:t>16 KiB, 2-way, 2 cycles</w:t>
            </w:r>
          </w:p>
        </w:tc>
        <w:tc>
          <w:tcPr>
            <w:tcW w:type="dxa" w:w="3360"/>
            <w:vAlign w:val="center"/>
          </w:tcPr>
          <w:p>
            <w:r/>
            <w:r>
              <w:rPr>
                <w:b w:val="0"/>
                <w:sz w:val="19"/>
              </w:rPr>
              <w:t>Fixed control</w:t>
            </w:r>
          </w:p>
        </w:tc>
      </w:tr>
      <w:tr>
        <w:trPr>
          <w:cantSplit/>
        </w:trPr>
        <w:tc>
          <w:tcPr>
            <w:tcW w:type="dxa" w:w="3360"/>
            <w:vAlign w:val="center"/>
          </w:tcPr>
          <w:p>
            <w:r/>
            <w:r>
              <w:rPr>
                <w:b/>
                <w:sz w:val="19"/>
              </w:rPr>
              <w:t>L1 D-cache</w:t>
            </w:r>
          </w:p>
        </w:tc>
        <w:tc>
          <w:tcPr>
            <w:tcW w:type="dxa" w:w="3360"/>
            <w:vAlign w:val="center"/>
          </w:tcPr>
          <w:p>
            <w:r/>
            <w:r>
              <w:rPr>
                <w:b w:val="0"/>
                <w:sz w:val="19"/>
              </w:rPr>
              <w:t>16 KiB, 2-way, 2 cycles</w:t>
            </w:r>
          </w:p>
        </w:tc>
        <w:tc>
          <w:tcPr>
            <w:tcW w:type="dxa" w:w="3360"/>
            <w:vAlign w:val="center"/>
          </w:tcPr>
          <w:p>
            <w:r/>
            <w:r>
              <w:rPr>
                <w:b w:val="0"/>
                <w:sz w:val="19"/>
              </w:rPr>
              <w:t>16/32/64 KiB active size candidates</w:t>
            </w:r>
          </w:p>
        </w:tc>
      </w:tr>
      <w:tr>
        <w:trPr>
          <w:cantSplit/>
        </w:trPr>
        <w:tc>
          <w:tcPr>
            <w:tcW w:type="dxa" w:w="3360"/>
            <w:vAlign w:val="center"/>
          </w:tcPr>
          <w:p>
            <w:r/>
            <w:r>
              <w:rPr>
                <w:b/>
                <w:sz w:val="19"/>
              </w:rPr>
              <w:t>L2</w:t>
            </w:r>
          </w:p>
        </w:tc>
        <w:tc>
          <w:tcPr>
            <w:tcW w:type="dxa" w:w="3360"/>
            <w:vAlign w:val="center"/>
          </w:tcPr>
          <w:p>
            <w:r/>
            <w:r>
              <w:rPr>
                <w:b w:val="0"/>
                <w:sz w:val="19"/>
              </w:rPr>
              <w:t>256 KiB, 8-way, 20 cycles</w:t>
            </w:r>
          </w:p>
        </w:tc>
        <w:tc>
          <w:tcPr>
            <w:tcW w:type="dxa" w:w="3360"/>
            <w:vAlign w:val="center"/>
          </w:tcPr>
          <w:p>
            <w:r/>
            <w:r>
              <w:rPr>
                <w:b w:val="0"/>
                <w:sz w:val="19"/>
              </w:rPr>
              <w:t>256/512/1024 KiB active size candidates</w:t>
            </w:r>
          </w:p>
        </w:tc>
      </w:tr>
      <w:tr>
        <w:trPr>
          <w:cantSplit/>
        </w:trPr>
        <w:tc>
          <w:tcPr>
            <w:tcW w:type="dxa" w:w="3360"/>
            <w:vAlign w:val="center"/>
          </w:tcPr>
          <w:p>
            <w:r/>
            <w:r>
              <w:rPr>
                <w:b/>
                <w:sz w:val="19"/>
              </w:rPr>
              <w:t>Memory</w:t>
            </w:r>
          </w:p>
        </w:tc>
        <w:tc>
          <w:tcPr>
            <w:tcW w:type="dxa" w:w="3360"/>
            <w:vAlign w:val="center"/>
          </w:tcPr>
          <w:p>
            <w:r/>
            <w:r>
              <w:rPr>
                <w:b w:val="0"/>
                <w:sz w:val="19"/>
              </w:rPr>
              <w:t>DDR3_1600_8x8, 16 MiB, SE</w:t>
            </w:r>
          </w:p>
        </w:tc>
        <w:tc>
          <w:tcPr>
            <w:tcW w:type="dxa" w:w="3360"/>
            <w:vAlign w:val="center"/>
          </w:tcPr>
          <w:p>
            <w:r/>
            <w:r>
              <w:rPr>
                <w:b w:val="0"/>
                <w:sz w:val="19"/>
              </w:rPr>
              <w:t>Constraint/fixed environment</w:t>
            </w:r>
          </w:p>
        </w:tc>
      </w:tr>
      <w:tr>
        <w:trPr>
          <w:cantSplit/>
        </w:trPr>
        <w:tc>
          <w:tcPr>
            <w:tcW w:type="dxa" w:w="3360"/>
            <w:vAlign w:val="center"/>
          </w:tcPr>
          <w:p>
            <w:r/>
            <w:r>
              <w:rPr>
                <w:b/>
                <w:sz w:val="19"/>
              </w:rPr>
              <w:t>Attention</w:t>
            </w:r>
          </w:p>
        </w:tc>
        <w:tc>
          <w:tcPr>
            <w:tcW w:type="dxa" w:w="3360"/>
            <w:vAlign w:val="center"/>
          </w:tcPr>
          <w:p>
            <w:r/>
            <w:r>
              <w:rPr>
                <w:b w:val="0"/>
                <w:sz w:val="19"/>
              </w:rPr>
              <w:t>Context 512; Q heads 4; KV heads 2; head dim 32</w:t>
            </w:r>
          </w:p>
        </w:tc>
        <w:tc>
          <w:tcPr>
            <w:tcW w:type="dxa" w:w="3360"/>
            <w:vAlign w:val="center"/>
          </w:tcPr>
          <w:p>
            <w:r/>
            <w:r>
              <w:rPr>
                <w:b w:val="0"/>
                <w:sz w:val="19"/>
              </w:rPr>
              <w:t>Representative workload baseline</w:t>
            </w:r>
          </w:p>
        </w:tc>
      </w:tr>
      <w:tr>
        <w:trPr>
          <w:cantSplit/>
        </w:trPr>
        <w:tc>
          <w:tcPr>
            <w:tcW w:type="dxa" w:w="3360"/>
            <w:vAlign w:val="center"/>
          </w:tcPr>
          <w:p>
            <w:r/>
            <w:r>
              <w:rPr>
                <w:b/>
                <w:sz w:val="19"/>
              </w:rPr>
              <w:t>Software</w:t>
            </w:r>
          </w:p>
        </w:tc>
        <w:tc>
          <w:tcPr>
            <w:tcW w:type="dxa" w:w="3360"/>
            <w:vAlign w:val="center"/>
          </w:tcPr>
          <w:p>
            <w:r/>
            <w:r>
              <w:rPr>
                <w:b w:val="0"/>
                <w:sz w:val="19"/>
              </w:rPr>
              <w:t>AttentionKernelQuantizedKV, FP32, 1 thread</w:t>
            </w:r>
          </w:p>
        </w:tc>
        <w:tc>
          <w:tcPr>
            <w:tcW w:type="dxa" w:w="3360"/>
            <w:vAlign w:val="center"/>
          </w:tcPr>
          <w:p>
            <w:r/>
            <w:r>
              <w:rPr>
                <w:b w:val="0"/>
                <w:sz w:val="19"/>
              </w:rPr>
              <w:t>Current verified path</w:t>
            </w:r>
          </w:p>
        </w:tc>
      </w:tr>
      <w:tr>
        <w:trPr>
          <w:cantSplit/>
        </w:trPr>
        <w:tc>
          <w:tcPr>
            <w:tcW w:type="dxa" w:w="3360"/>
            <w:vAlign w:val="center"/>
          </w:tcPr>
          <w:p>
            <w:r/>
            <w:r>
              <w:rPr>
                <w:b/>
                <w:sz w:val="19"/>
              </w:rPr>
              <w:t>Measurement</w:t>
            </w:r>
          </w:p>
        </w:tc>
        <w:tc>
          <w:tcPr>
            <w:tcW w:type="dxa" w:w="3360"/>
            <w:vAlign w:val="center"/>
          </w:tcPr>
          <w:p>
            <w:r/>
            <w:r>
              <w:rPr>
                <w:b w:val="0"/>
                <w:sz w:val="19"/>
              </w:rPr>
              <w:t>4 repetitions, 0 warmup</w:t>
            </w:r>
          </w:p>
        </w:tc>
        <w:tc>
          <w:tcPr>
            <w:tcW w:type="dxa" w:w="3360"/>
            <w:vAlign w:val="center"/>
          </w:tcPr>
          <w:p>
            <w:r/>
            <w:r>
              <w:rPr>
                <w:b w:val="0"/>
                <w:sz w:val="19"/>
              </w:rPr>
              <w:t>Experiment method, not an optimization knob</w:t>
            </w:r>
          </w:p>
        </w:tc>
      </w:tr>
    </w:tbl>
    <w:p>
      <w:pPr>
        <w:pStyle w:val="Heading2"/>
      </w:pPr>
      <w:r>
        <w:t>6.2 Active, fixed, evaluation-axis, and future values</w:t>
      </w:r>
    </w:p>
    <w:p>
      <w:r>
        <w:t>The biggest improvement over the earlier schema is classification. A value being representable in JSON does not mean CHIA should search it today.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FFF2CC"/>
          </w:tcPr>
          <w:p>
            <w:r/>
            <w:r>
              <w:rPr>
                <w:b/>
                <w:sz w:val="19"/>
              </w:rPr>
              <w:t>Class</w:t>
            </w:r>
          </w:p>
        </w:tc>
        <w:tc>
          <w:tcPr>
            <w:tcW w:type="dxa" w:w="2520"/>
            <w:vAlign w:val="center"/>
            <w:shd w:fill="FFF2CC"/>
          </w:tcPr>
          <w:p>
            <w:r/>
            <w:r>
              <w:rPr>
                <w:b/>
                <w:sz w:val="19"/>
              </w:rPr>
              <w:t>Meaning</w:t>
            </w:r>
          </w:p>
        </w:tc>
        <w:tc>
          <w:tcPr>
            <w:tcW w:type="dxa" w:w="2520"/>
            <w:vAlign w:val="center"/>
            <w:shd w:fill="FFF2CC"/>
          </w:tcPr>
          <w:p>
            <w:r/>
            <w:r>
              <w:rPr>
                <w:b/>
                <w:sz w:val="19"/>
              </w:rPr>
              <w:t>Examples</w:t>
            </w:r>
          </w:p>
        </w:tc>
        <w:tc>
          <w:tcPr>
            <w:tcW w:type="dxa" w:w="2520"/>
            <w:vAlign w:val="center"/>
            <w:shd w:fill="FFF2CC"/>
          </w:tcPr>
          <w:p>
            <w:r/>
            <w:r>
              <w:rPr>
                <w:b/>
                <w:sz w:val="19"/>
              </w:rPr>
              <w:t>Why</w:t>
            </w:r>
          </w:p>
        </w:tc>
      </w:tr>
      <w:tr>
        <w:trPr>
          <w:cantSplit/>
        </w:trPr>
        <w:tc>
          <w:tcPr>
            <w:tcW w:type="dxa" w:w="2520"/>
            <w:vAlign w:val="center"/>
          </w:tcPr>
          <w:p>
            <w:r/>
            <w:r>
              <w:rPr>
                <w:b/>
                <w:sz w:val="19"/>
              </w:rPr>
              <w:t>Baseline</w:t>
            </w:r>
          </w:p>
        </w:tc>
        <w:tc>
          <w:tcPr>
            <w:tcW w:type="dxa" w:w="2520"/>
            <w:vAlign w:val="center"/>
          </w:tcPr>
          <w:p>
            <w:r/>
            <w:r>
              <w:rPr>
                <w:b w:val="0"/>
                <w:sz w:val="19"/>
              </w:rPr>
              <w:t>Reference configuration</w:t>
            </w:r>
          </w:p>
        </w:tc>
        <w:tc>
          <w:tcPr>
            <w:tcW w:type="dxa" w:w="2520"/>
            <w:vAlign w:val="center"/>
          </w:tcPr>
          <w:p>
            <w:r/>
            <w:r>
              <w:rPr>
                <w:b w:val="0"/>
                <w:sz w:val="19"/>
              </w:rPr>
              <w:t>L1D 16 KiB, L2 256 KiB, FP32</w:t>
            </w:r>
          </w:p>
        </w:tc>
        <w:tc>
          <w:tcPr>
            <w:tcW w:type="dxa" w:w="2520"/>
            <w:vAlign w:val="center"/>
          </w:tcPr>
          <w:p>
            <w:r/>
            <w:r>
              <w:rPr>
                <w:b w:val="0"/>
                <w:sz w:val="19"/>
              </w:rPr>
              <w:t>Needed for comparison</w:t>
            </w:r>
          </w:p>
        </w:tc>
      </w:tr>
      <w:tr>
        <w:trPr>
          <w:cantSplit/>
        </w:trPr>
        <w:tc>
          <w:tcPr>
            <w:tcW w:type="dxa" w:w="2520"/>
            <w:vAlign w:val="center"/>
          </w:tcPr>
          <w:p>
            <w:r/>
            <w:r>
              <w:rPr>
                <w:b/>
                <w:sz w:val="19"/>
              </w:rPr>
              <w:t>Active candidate</w:t>
            </w:r>
          </w:p>
        </w:tc>
        <w:tc>
          <w:tcPr>
            <w:tcW w:type="dxa" w:w="2520"/>
            <w:vAlign w:val="center"/>
          </w:tcPr>
          <w:p>
            <w:r/>
            <w:r>
              <w:rPr>
                <w:b w:val="0"/>
                <w:sz w:val="19"/>
              </w:rPr>
              <w:t>CHIA may vary now</w:t>
            </w:r>
          </w:p>
        </w:tc>
        <w:tc>
          <w:tcPr>
            <w:tcW w:type="dxa" w:w="2520"/>
            <w:vAlign w:val="center"/>
          </w:tcPr>
          <w:p>
            <w:r/>
            <w:r>
              <w:rPr>
                <w:b w:val="0"/>
                <w:sz w:val="19"/>
              </w:rPr>
              <w:t>L1D 16/32/64; L2 256/512/1024</w:t>
            </w:r>
          </w:p>
        </w:tc>
        <w:tc>
          <w:tcPr>
            <w:tcW w:type="dxa" w:w="2520"/>
            <w:vAlign w:val="center"/>
          </w:tcPr>
          <w:p>
            <w:r/>
            <w:r>
              <w:rPr>
                <w:b w:val="0"/>
                <w:sz w:val="19"/>
              </w:rPr>
              <w:t>Implemented and interpretable</w:t>
            </w:r>
          </w:p>
        </w:tc>
      </w:tr>
      <w:tr>
        <w:trPr>
          <w:cantSplit/>
        </w:trPr>
        <w:tc>
          <w:tcPr>
            <w:tcW w:type="dxa" w:w="2520"/>
            <w:vAlign w:val="center"/>
          </w:tcPr>
          <w:p>
            <w:r/>
            <w:r>
              <w:rPr>
                <w:b/>
                <w:sz w:val="19"/>
              </w:rPr>
              <w:t>Evaluation axis</w:t>
            </w:r>
          </w:p>
        </w:tc>
        <w:tc>
          <w:tcPr>
            <w:tcW w:type="dxa" w:w="2520"/>
            <w:vAlign w:val="center"/>
          </w:tcPr>
          <w:p>
            <w:r/>
            <w:r>
              <w:rPr>
                <w:b w:val="0"/>
                <w:sz w:val="19"/>
              </w:rPr>
              <w:t>Workload scale tested separately</w:t>
            </w:r>
          </w:p>
        </w:tc>
        <w:tc>
          <w:tcPr>
            <w:tcW w:type="dxa" w:w="2520"/>
            <w:vAlign w:val="center"/>
          </w:tcPr>
          <w:p>
            <w:r/>
            <w:r>
              <w:rPr>
                <w:b w:val="0"/>
                <w:sz w:val="19"/>
              </w:rPr>
              <w:t>Context 128/256/512</w:t>
            </w:r>
          </w:p>
        </w:tc>
        <w:tc>
          <w:tcPr>
            <w:tcW w:type="dxa" w:w="2520"/>
            <w:vAlign w:val="center"/>
          </w:tcPr>
          <w:p>
            <w:r/>
            <w:r>
              <w:rPr>
                <w:b w:val="0"/>
                <w:sz w:val="19"/>
              </w:rPr>
              <w:t>Avoids CHIA 'winning' by choosing the smallest problem</w:t>
            </w:r>
          </w:p>
        </w:tc>
      </w:tr>
      <w:tr>
        <w:trPr>
          <w:cantSplit/>
        </w:trPr>
        <w:tc>
          <w:tcPr>
            <w:tcW w:type="dxa" w:w="2520"/>
            <w:vAlign w:val="center"/>
          </w:tcPr>
          <w:p>
            <w:r/>
            <w:r>
              <w:rPr>
                <w:b/>
                <w:sz w:val="19"/>
              </w:rPr>
              <w:t>Fixed</w:t>
            </w:r>
          </w:p>
        </w:tc>
        <w:tc>
          <w:tcPr>
            <w:tcW w:type="dxa" w:w="2520"/>
            <w:vAlign w:val="center"/>
          </w:tcPr>
          <w:p>
            <w:r/>
            <w:r>
              <w:rPr>
                <w:b w:val="0"/>
                <w:sz w:val="19"/>
              </w:rPr>
              <w:t>Recorded but not varied</w:t>
            </w:r>
          </w:p>
        </w:tc>
        <w:tc>
          <w:tcPr>
            <w:tcW w:type="dxa" w:w="2520"/>
            <w:vAlign w:val="center"/>
          </w:tcPr>
          <w:p>
            <w:r/>
            <w:r>
              <w:rPr>
                <w:b w:val="0"/>
                <w:sz w:val="19"/>
              </w:rPr>
              <w:t>1 core, 1 GHz, 1 thread, L1I 16 KiB</w:t>
            </w:r>
          </w:p>
        </w:tc>
        <w:tc>
          <w:tcPr>
            <w:tcW w:type="dxa" w:w="2520"/>
            <w:vAlign w:val="center"/>
          </w:tcPr>
          <w:p>
            <w:r/>
            <w:r>
              <w:rPr>
                <w:b w:val="0"/>
                <w:sz w:val="19"/>
              </w:rPr>
              <w:t>Controls design-space size</w:t>
            </w:r>
          </w:p>
        </w:tc>
      </w:tr>
      <w:tr>
        <w:trPr>
          <w:cantSplit/>
        </w:trPr>
        <w:tc>
          <w:tcPr>
            <w:tcW w:type="dxa" w:w="2520"/>
            <w:vAlign w:val="center"/>
          </w:tcPr>
          <w:p>
            <w:r/>
            <w:r>
              <w:rPr>
                <w:b/>
                <w:sz w:val="19"/>
              </w:rPr>
              <w:t>Future</w:t>
            </w:r>
          </w:p>
        </w:tc>
        <w:tc>
          <w:tcPr>
            <w:tcW w:type="dxa" w:w="2520"/>
            <w:vAlign w:val="center"/>
          </w:tcPr>
          <w:p>
            <w:r/>
            <w:r>
              <w:rPr>
                <w:b w:val="0"/>
                <w:sz w:val="19"/>
              </w:rPr>
              <w:t>Interesting but gated</w:t>
            </w:r>
          </w:p>
        </w:tc>
        <w:tc>
          <w:tcPr>
            <w:tcW w:type="dxa" w:w="2520"/>
            <w:vAlign w:val="center"/>
          </w:tcPr>
          <w:p>
            <w:r/>
            <w:r>
              <w:rPr>
                <w:b w:val="0"/>
                <w:sz w:val="19"/>
              </w:rPr>
              <w:t>O3 CPU, Q8/Q4, block size, bandwidth</w:t>
            </w:r>
          </w:p>
        </w:tc>
        <w:tc>
          <w:tcPr>
            <w:tcW w:type="dxa" w:w="2520"/>
            <w:vAlign w:val="center"/>
          </w:tcPr>
          <w:p>
            <w:r/>
            <w:r>
              <w:rPr>
                <w:b w:val="0"/>
                <w:sz w:val="19"/>
              </w:rPr>
              <w:t>Prevents fake/unsupported knobs</w:t>
            </w:r>
          </w:p>
        </w:tc>
      </w:tr>
    </w:tbl>
    <w:p>
      <w:pPr>
        <w:pStyle w:val="Heading1"/>
      </w:pPr>
      <w:r>
        <w:t>7. Why There Are Two Attention Schemas</w:t>
      </w:r>
    </w:p>
    <w:p>
      <w:r>
        <w:t>`attention-experiment.schema.json` validates one concrete candidate. `attention-design-space.schema.json` validates the search-space declaration. This separation is important because CHIA needs to know both the candidate values and the legal set from which candidates can be generated.</w:t>
      </w:r>
    </w:p>
    <w:p>
      <w:pPr>
        <w:spacing w:before="60" w:after="120"/>
        <w:shd w:fill="F2F2F2"/>
      </w:pPr>
      <w:r>
        <w:rPr>
          <w:rFonts w:ascii="Consolas" w:hAnsi="Consolas"/>
          <w:sz w:val="17"/>
        </w:rPr>
        <w:t>design-space.yaml</w:t>
        <w:br/>
        <w:t xml:space="preserve">    └── L1D = [16, 32, 64]</w:t>
        <w:br/>
        <w:t xml:space="preserve">    └── L2  = [256, 512, 1024]</w:t>
        <w:br/>
        <w:t xml:space="preserve">             │</w:t>
        <w:br/>
        <w:t xml:space="preserve">             ▼</w:t>
        <w:br/>
        <w:t xml:space="preserve">      CHIA picks one pair</w:t>
        <w:br/>
        <w:t xml:space="preserve">             │</w:t>
        <w:br/>
        <w:t xml:space="preserve">             ▼</w:t>
        <w:br/>
        <w:t>baseline/candidate.attention.yaml</w:t>
        <w:br/>
        <w:t xml:space="preserve">    └── L1D = 32</w:t>
        <w:br/>
        <w:t xml:space="preserve">    └── L2  = 512</w:t>
      </w:r>
    </w:p>
    <w:p>
      <w:pPr>
        <w:pStyle w:val="Heading1"/>
      </w:pPr>
      <w:r>
        <w:t>8. Compute Policy Contract</w:t>
      </w:r>
    </w:p>
    <w:p>
      <w:r>
        <w:t>The compute policy is deliberately small in this redesign. It does not duplicate the experimental reasoning. It only contains machine-enforceable controls: allowed real backends, maximum parallelism, whether Gemini is allowed, and whether organizer burst is allowed.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DEBF7"/>
          </w:tcPr>
          <w:p>
            <w:r/>
            <w:r>
              <w:rPr>
                <w:b/>
                <w:sz w:val="19"/>
              </w:rPr>
              <w:t>Tier</w:t>
            </w:r>
          </w:p>
        </w:tc>
        <w:tc>
          <w:tcPr>
            <w:tcW w:type="dxa" w:w="2520"/>
            <w:vAlign w:val="center"/>
            <w:shd w:fill="DDEBF7"/>
          </w:tcPr>
          <w:p>
            <w:r/>
            <w:r>
              <w:rPr>
                <w:b/>
                <w:sz w:val="19"/>
              </w:rPr>
              <w:t>Backends</w:t>
            </w:r>
          </w:p>
        </w:tc>
        <w:tc>
          <w:tcPr>
            <w:tcW w:type="dxa" w:w="2520"/>
            <w:vAlign w:val="center"/>
            <w:shd w:fill="DDEBF7"/>
          </w:tcPr>
          <w:p>
            <w:r/>
            <w:r>
              <w:rPr>
                <w:b/>
                <w:sz w:val="19"/>
              </w:rPr>
              <w:t>Parallelism</w:t>
            </w:r>
          </w:p>
        </w:tc>
        <w:tc>
          <w:tcPr>
            <w:tcW w:type="dxa" w:w="2520"/>
            <w:vAlign w:val="center"/>
            <w:shd w:fill="DDEBF7"/>
          </w:tcPr>
          <w:p>
            <w:r/>
            <w:r>
              <w:rPr>
                <w:b/>
                <w:sz w:val="19"/>
              </w:rPr>
              <w:t>Intent</w:t>
            </w:r>
          </w:p>
        </w:tc>
      </w:tr>
      <w:tr>
        <w:trPr>
          <w:cantSplit/>
        </w:trPr>
        <w:tc>
          <w:tcPr>
            <w:tcW w:type="dxa" w:w="2520"/>
            <w:vAlign w:val="center"/>
          </w:tcPr>
          <w:p>
            <w:r/>
            <w:r>
              <w:rPr>
                <w:b/>
                <w:sz w:val="19"/>
              </w:rPr>
              <w:t>Dev</w:t>
            </w:r>
          </w:p>
        </w:tc>
        <w:tc>
          <w:tcPr>
            <w:tcW w:type="dxa" w:w="2520"/>
            <w:vAlign w:val="center"/>
          </w:tcPr>
          <w:p>
            <w:r/>
            <w:r>
              <w:rPr>
                <w:b w:val="0"/>
                <w:sz w:val="19"/>
              </w:rPr>
              <w:t>local, Contabo</w:t>
            </w:r>
          </w:p>
        </w:tc>
        <w:tc>
          <w:tcPr>
            <w:tcW w:type="dxa" w:w="2520"/>
            <w:vAlign w:val="center"/>
          </w:tcPr>
          <w:p>
            <w:r/>
            <w:r>
              <w:rPr>
                <w:b w:val="0"/>
                <w:sz w:val="19"/>
              </w:rPr>
              <w:t>1</w:t>
            </w:r>
          </w:p>
        </w:tc>
        <w:tc>
          <w:tcPr>
            <w:tcW w:type="dxa" w:w="2520"/>
            <w:vAlign w:val="center"/>
          </w:tcPr>
          <w:p>
            <w:r/>
            <w:r>
              <w:rPr>
                <w:b w:val="0"/>
                <w:sz w:val="19"/>
              </w:rPr>
              <w:t>Smoke tests and debugging; small real Gemini calls allowed</w:t>
            </w:r>
          </w:p>
        </w:tc>
      </w:tr>
      <w:tr>
        <w:trPr>
          <w:cantSplit/>
        </w:trPr>
        <w:tc>
          <w:tcPr>
            <w:tcW w:type="dxa" w:w="2520"/>
            <w:vAlign w:val="center"/>
          </w:tcPr>
          <w:p>
            <w:r/>
            <w:r>
              <w:rPr>
                <w:b/>
                <w:sz w:val="19"/>
              </w:rPr>
              <w:t>Integration</w:t>
            </w:r>
          </w:p>
        </w:tc>
        <w:tc>
          <w:tcPr>
            <w:tcW w:type="dxa" w:w="2520"/>
            <w:vAlign w:val="center"/>
          </w:tcPr>
          <w:p>
            <w:r/>
            <w:r>
              <w:rPr>
                <w:b w:val="0"/>
                <w:sz w:val="19"/>
              </w:rPr>
              <w:t>Contabo, dev cloud</w:t>
            </w:r>
          </w:p>
        </w:tc>
        <w:tc>
          <w:tcPr>
            <w:tcW w:type="dxa" w:w="2520"/>
            <w:vAlign w:val="center"/>
          </w:tcPr>
          <w:p>
            <w:r/>
            <w:r>
              <w:rPr>
                <w:b w:val="0"/>
                <w:sz w:val="19"/>
              </w:rPr>
              <w:t>2</w:t>
            </w:r>
          </w:p>
        </w:tc>
        <w:tc>
          <w:tcPr>
            <w:tcW w:type="dxa" w:w="2520"/>
            <w:vAlign w:val="center"/>
          </w:tcPr>
          <w:p>
            <w:r/>
            <w:r>
              <w:rPr>
                <w:b w:val="0"/>
                <w:sz w:val="19"/>
              </w:rPr>
              <w:t>Real end-to-end CHIA/Gemini/gem5 validation</w:t>
            </w:r>
          </w:p>
        </w:tc>
      </w:tr>
      <w:tr>
        <w:trPr>
          <w:cantSplit/>
        </w:trPr>
        <w:tc>
          <w:tcPr>
            <w:tcW w:type="dxa" w:w="2520"/>
            <w:vAlign w:val="center"/>
          </w:tcPr>
          <w:p>
            <w:r/>
            <w:r>
              <w:rPr>
                <w:b/>
                <w:sz w:val="19"/>
              </w:rPr>
              <w:t>Pilot</w:t>
            </w:r>
          </w:p>
        </w:tc>
        <w:tc>
          <w:tcPr>
            <w:tcW w:type="dxa" w:w="2520"/>
            <w:vAlign w:val="center"/>
          </w:tcPr>
          <w:p>
            <w:r/>
            <w:r>
              <w:rPr>
                <w:b w:val="0"/>
                <w:sz w:val="19"/>
              </w:rPr>
              <w:t>Contabo, dev cloud</w:t>
            </w:r>
          </w:p>
        </w:tc>
        <w:tc>
          <w:tcPr>
            <w:tcW w:type="dxa" w:w="2520"/>
            <w:vAlign w:val="center"/>
          </w:tcPr>
          <w:p>
            <w:r/>
            <w:r>
              <w:rPr>
                <w:b w:val="0"/>
                <w:sz w:val="19"/>
              </w:rPr>
              <w:t>4</w:t>
            </w:r>
          </w:p>
        </w:tc>
        <w:tc>
          <w:tcPr>
            <w:tcW w:type="dxa" w:w="2520"/>
            <w:vAlign w:val="center"/>
          </w:tcPr>
          <w:p>
            <w:r/>
            <w:r>
              <w:rPr>
                <w:b w:val="0"/>
                <w:sz w:val="19"/>
              </w:rPr>
              <w:t>Measure runtime/cost/failure rate; validate methodology</w:t>
            </w:r>
          </w:p>
        </w:tc>
      </w:tr>
      <w:tr>
        <w:trPr>
          <w:cantSplit/>
        </w:trPr>
        <w:tc>
          <w:tcPr>
            <w:tcW w:type="dxa" w:w="2520"/>
            <w:vAlign w:val="center"/>
          </w:tcPr>
          <w:p>
            <w:r/>
            <w:r>
              <w:rPr>
                <w:b/>
                <w:sz w:val="19"/>
              </w:rPr>
              <w:t>Final</w:t>
            </w:r>
          </w:p>
        </w:tc>
        <w:tc>
          <w:tcPr>
            <w:tcW w:type="dxa" w:w="2520"/>
            <w:vAlign w:val="center"/>
          </w:tcPr>
          <w:p>
            <w:r/>
            <w:r>
              <w:rPr>
                <w:b w:val="0"/>
                <w:sz w:val="19"/>
              </w:rPr>
              <w:t>organizer burst</w:t>
            </w:r>
          </w:p>
        </w:tc>
        <w:tc>
          <w:tcPr>
            <w:tcW w:type="dxa" w:w="2520"/>
            <w:vAlign w:val="center"/>
          </w:tcPr>
          <w:p>
            <w:r/>
            <w:r>
              <w:rPr>
                <w:b w:val="0"/>
                <w:sz w:val="19"/>
              </w:rPr>
              <w:t>32 (policy cap)</w:t>
            </w:r>
          </w:p>
        </w:tc>
        <w:tc>
          <w:tcPr>
            <w:tcW w:type="dxa" w:w="2520"/>
            <w:vAlign w:val="center"/>
          </w:tcPr>
          <w:p>
            <w:r/>
            <w:r>
              <w:rPr>
                <w:b w:val="0"/>
                <w:sz w:val="19"/>
              </w:rPr>
              <w:t>Frozen final campaign</w:t>
            </w:r>
          </w:p>
        </w:tc>
      </w:tr>
    </w:tbl>
    <w:p>
      <w:r>
        <w:t>The numeric parallelism caps are policy defaults, not scientific truths. They should be revised after pilot measurements and after the organizer resources are understood.</w:t>
      </w:r>
    </w:p>
    <w:p>
      <w:pPr>
        <w:pStyle w:val="Heading1"/>
      </w:pPr>
      <w:r>
        <w:t>9. Run Record Contract</w:t>
      </w:r>
    </w:p>
    <w:p>
      <w:r>
        <w:t>The run record is the evidence contract. It stores what actually happened rather than what the configuration requested. It uses the metrics your teammate has already verified in the current gem5 path.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EADCF8"/>
          </w:tcPr>
          <w:p>
            <w:r/>
            <w:r>
              <w:rPr>
                <w:b/>
                <w:sz w:val="19"/>
              </w:rPr>
              <w:t>Group</w:t>
            </w:r>
          </w:p>
        </w:tc>
        <w:tc>
          <w:tcPr>
            <w:tcW w:type="dxa" w:w="3360"/>
            <w:vAlign w:val="center"/>
            <w:shd w:fill="EADCF8"/>
          </w:tcPr>
          <w:p>
            <w:r/>
            <w:r>
              <w:rPr>
                <w:b/>
                <w:sz w:val="19"/>
              </w:rPr>
              <w:t>Recorded fields</w:t>
            </w:r>
          </w:p>
        </w:tc>
        <w:tc>
          <w:tcPr>
            <w:tcW w:type="dxa" w:w="3360"/>
            <w:vAlign w:val="center"/>
            <w:shd w:fill="EADCF8"/>
          </w:tcPr>
          <w:p>
            <w:r/>
            <w:r>
              <w:rPr>
                <w:b/>
                <w:sz w:val="19"/>
              </w:rPr>
              <w:t>Reason</w:t>
            </w:r>
          </w:p>
        </w:tc>
      </w:tr>
      <w:tr>
        <w:trPr>
          <w:cantSplit/>
        </w:trPr>
        <w:tc>
          <w:tcPr>
            <w:tcW w:type="dxa" w:w="3360"/>
            <w:vAlign w:val="center"/>
          </w:tcPr>
          <w:p>
            <w:r/>
            <w:r>
              <w:rPr>
                <w:b/>
                <w:sz w:val="19"/>
              </w:rPr>
              <w:t>Performance</w:t>
            </w:r>
          </w:p>
        </w:tc>
        <w:tc>
          <w:tcPr>
            <w:tcW w:type="dxa" w:w="3360"/>
            <w:vAlign w:val="center"/>
          </w:tcPr>
          <w:p>
            <w:r/>
            <w:r>
              <w:rPr>
                <w:b w:val="0"/>
                <w:sz w:val="19"/>
              </w:rPr>
              <w:t>cycles, instructions, CPI, IPC, simTicks, simSeconds</w:t>
            </w:r>
          </w:p>
        </w:tc>
        <w:tc>
          <w:tcPr>
            <w:tcW w:type="dxa" w:w="3360"/>
            <w:vAlign w:val="center"/>
          </w:tcPr>
          <w:p>
            <w:r/>
            <w:r>
              <w:rPr>
                <w:b w:val="0"/>
                <w:sz w:val="19"/>
              </w:rPr>
              <w:t>Architectural/simulated evidence</w:t>
            </w:r>
          </w:p>
        </w:tc>
      </w:tr>
      <w:tr>
        <w:trPr>
          <w:cantSplit/>
        </w:trPr>
        <w:tc>
          <w:tcPr>
            <w:tcW w:type="dxa" w:w="3360"/>
            <w:vAlign w:val="center"/>
          </w:tcPr>
          <w:p>
            <w:r/>
            <w:r>
              <w:rPr>
                <w:b/>
                <w:sz w:val="19"/>
              </w:rPr>
              <w:t>Cache</w:t>
            </w:r>
          </w:p>
        </w:tc>
        <w:tc>
          <w:tcPr>
            <w:tcW w:type="dxa" w:w="3360"/>
            <w:vAlign w:val="center"/>
          </w:tcPr>
          <w:p>
            <w:r/>
            <w:r>
              <w:rPr>
                <w:b w:val="0"/>
                <w:sz w:val="19"/>
              </w:rPr>
              <w:t>L1I miss rate, L1D miss rate, L2 miss rate</w:t>
            </w:r>
          </w:p>
        </w:tc>
        <w:tc>
          <w:tcPr>
            <w:tcW w:type="dxa" w:w="3360"/>
            <w:vAlign w:val="center"/>
          </w:tcPr>
          <w:p>
            <w:r/>
            <w:r>
              <w:rPr>
                <w:b w:val="0"/>
                <w:sz w:val="19"/>
              </w:rPr>
              <w:t>Explains memory-hierarchy behavior</w:t>
            </w:r>
          </w:p>
        </w:tc>
      </w:tr>
      <w:tr>
        <w:trPr>
          <w:cantSplit/>
        </w:trPr>
        <w:tc>
          <w:tcPr>
            <w:tcW w:type="dxa" w:w="3360"/>
            <w:vAlign w:val="center"/>
          </w:tcPr>
          <w:p>
            <w:r/>
            <w:r>
              <w:rPr>
                <w:b/>
                <w:sz w:val="19"/>
              </w:rPr>
              <w:t>Correctness</w:t>
            </w:r>
          </w:p>
        </w:tc>
        <w:tc>
          <w:tcPr>
            <w:tcW w:type="dxa" w:w="3360"/>
            <w:vAlign w:val="center"/>
          </w:tcPr>
          <w:p>
            <w:r/>
            <w:r>
              <w:rPr>
                <w:b w:val="0"/>
                <w:sz w:val="19"/>
              </w:rPr>
              <w:t>checksum, PASS/FAIL</w:t>
            </w:r>
          </w:p>
        </w:tc>
        <w:tc>
          <w:tcPr>
            <w:tcW w:type="dxa" w:w="3360"/>
            <w:vAlign w:val="center"/>
          </w:tcPr>
          <w:p>
            <w:r/>
            <w:r>
              <w:rPr>
                <w:b w:val="0"/>
                <w:sz w:val="19"/>
              </w:rPr>
              <w:t>Prevents optimizing an incorrect kernel</w:t>
            </w:r>
          </w:p>
        </w:tc>
      </w:tr>
      <w:tr>
        <w:trPr>
          <w:cantSplit/>
        </w:trPr>
        <w:tc>
          <w:tcPr>
            <w:tcW w:type="dxa" w:w="3360"/>
            <w:vAlign w:val="center"/>
          </w:tcPr>
          <w:p>
            <w:r/>
            <w:r>
              <w:rPr>
                <w:b/>
                <w:sz w:val="19"/>
              </w:rPr>
              <w:t>Execution</w:t>
            </w:r>
          </w:p>
        </w:tc>
        <w:tc>
          <w:tcPr>
            <w:tcW w:type="dxa" w:w="3360"/>
            <w:vAlign w:val="center"/>
          </w:tcPr>
          <w:p>
            <w:r/>
            <w:r>
              <w:rPr>
                <w:b w:val="0"/>
                <w:sz w:val="19"/>
              </w:rPr>
              <w:t>tier, backend, worker, hostSeconds, attempt</w:t>
            </w:r>
          </w:p>
        </w:tc>
        <w:tc>
          <w:tcPr>
            <w:tcW w:type="dxa" w:w="3360"/>
            <w:vAlign w:val="center"/>
          </w:tcPr>
          <w:p>
            <w:r/>
            <w:r>
              <w:rPr>
                <w:b w:val="0"/>
                <w:sz w:val="19"/>
              </w:rPr>
              <w:t>Real compute accounting and failure analysis</w:t>
            </w:r>
          </w:p>
        </w:tc>
      </w:tr>
      <w:tr>
        <w:trPr>
          <w:cantSplit/>
        </w:trPr>
        <w:tc>
          <w:tcPr>
            <w:tcW w:type="dxa" w:w="3360"/>
            <w:vAlign w:val="center"/>
          </w:tcPr>
          <w:p>
            <w:r/>
            <w:r>
              <w:rPr>
                <w:b/>
                <w:sz w:val="19"/>
              </w:rPr>
              <w:t>Gemini usage</w:t>
            </w:r>
          </w:p>
        </w:tc>
        <w:tc>
          <w:tcPr>
            <w:tcW w:type="dxa" w:w="3360"/>
            <w:vAlign w:val="center"/>
          </w:tcPr>
          <w:p>
            <w:r/>
            <w:r>
              <w:rPr>
                <w:b w:val="0"/>
                <w:sz w:val="19"/>
              </w:rPr>
              <w:t>calls, input/output tokens, estimated cost</w:t>
            </w:r>
          </w:p>
        </w:tc>
        <w:tc>
          <w:tcPr>
            <w:tcW w:type="dxa" w:w="3360"/>
            <w:vAlign w:val="center"/>
          </w:tcPr>
          <w:p>
            <w:r/>
            <w:r>
              <w:rPr>
                <w:b w:val="0"/>
                <w:sz w:val="19"/>
              </w:rPr>
              <w:t>Budget metering</w:t>
            </w:r>
          </w:p>
        </w:tc>
      </w:tr>
      <w:tr>
        <w:trPr>
          <w:cantSplit/>
        </w:trPr>
        <w:tc>
          <w:tcPr>
            <w:tcW w:type="dxa" w:w="3360"/>
            <w:vAlign w:val="center"/>
          </w:tcPr>
          <w:p>
            <w:r/>
            <w:r>
              <w:rPr>
                <w:b/>
                <w:sz w:val="19"/>
              </w:rPr>
              <w:t>Provenance</w:t>
            </w:r>
          </w:p>
        </w:tc>
        <w:tc>
          <w:tcPr>
            <w:tcW w:type="dxa" w:w="3360"/>
            <w:vAlign w:val="center"/>
          </w:tcPr>
          <w:p>
            <w:r/>
            <w:r>
              <w:rPr>
                <w:b w:val="0"/>
                <w:sz w:val="19"/>
              </w:rPr>
              <w:t>Git, CHIA, gem5, kernel, compiler, policy, seed</w:t>
            </w:r>
          </w:p>
        </w:tc>
        <w:tc>
          <w:tcPr>
            <w:tcW w:type="dxa" w:w="3360"/>
            <w:vAlign w:val="center"/>
          </w:tcPr>
          <w:p>
            <w:r/>
            <w:r>
              <w:rPr>
                <w:b w:val="0"/>
                <w:sz w:val="19"/>
              </w:rPr>
              <w:t>Reproducibility</w:t>
            </w:r>
          </w:p>
        </w:tc>
      </w:tr>
    </w:tbl>
    <w:p>
      <w:pPr>
        <w:pStyle w:val="Heading1"/>
      </w:pPr>
      <w:r>
        <w:t>10. Planned Metrics Stay Out Until Verified</w:t>
      </w:r>
    </w:p>
    <w:p>
      <w:r>
        <w:t>Maximum absolute error, MSE, NaN/Infinity detection, memory-bandwidth utilization, bytes transferred and average memory-access latency are documented as future metrics, but are not required in the run record yet. This avoids confusing 'not implemented' with 'the measurement failed'.</w:t>
      </w:r>
    </w:p>
    <w:p>
      <w:pPr>
        <w:pStyle w:val="Heading1"/>
      </w:pPr>
      <w:r>
        <w:t>11. Validation Workflow</w:t>
      </w:r>
    </w:p>
    <w:p>
      <w:r>
        <w:t>The package includes one validator that checks every shipped YAML against the matching JSON Schema and then runs a few semantic checks.</w:t>
      </w:r>
    </w:p>
    <w:p>
      <w:pPr>
        <w:spacing w:before="60" w:after="120"/>
        <w:shd w:fill="F2F2F2"/>
      </w:pPr>
      <w:r>
        <w:rPr>
          <w:rFonts w:ascii="Consolas" w:hAnsi="Consolas"/>
          <w:sz w:val="17"/>
        </w:rPr>
        <w:t>python -m venv .venv</w:t>
        <w:br/>
        <w:t>.venv\Scripts\activate</w:t>
        <w:br/>
        <w:t>pip install -r requirements-dev.txt</w:t>
        <w:br/>
        <w:t>python scripts\validate_all.py</w:t>
      </w:r>
    </w:p>
    <w:p>
      <w:r>
        <w:t>Semantic checks currently enforce final-only organizer burst, threads &lt;= cores in the attention baseline, no planned KV formats in the active search space, and no context length above 512 in the current evaluation axis.</w:t>
      </w:r>
    </w:p>
    <w:p>
      <w:pPr>
        <w:pStyle w:val="Heading1"/>
      </w:pPr>
      <w:r>
        <w:t>12. Recommended Git Migration</w:t>
      </w:r>
    </w:p>
    <w:p>
      <w:r>
        <w:t>Do not immediately delete the existing `config-schema/` and `compute-policy-v0.2/` folders. Add the clean package on a new feature branch, review it with the team, and only then deprecate/remove the older layout in a second commit.</w:t>
      </w:r>
    </w:p>
    <w:p>
      <w:pPr>
        <w:spacing w:before="60" w:after="120"/>
        <w:shd w:fill="F2F2F2"/>
      </w:pPr>
      <w:r>
        <w:rPr>
          <w:rFonts w:ascii="Consolas" w:hAnsi="Consolas"/>
          <w:sz w:val="17"/>
        </w:rPr>
        <w:t>git switch feat/config-schema</w:t>
        <w:br/>
        <w:t>git pull --ff-only origin feat/config-schema</w:t>
        <w:br/>
        <w:t>git switch -c feat/experiment-contracts-v0.2</w:t>
        <w:br/>
        <w:br/>
        <w:t>git add chia-experiment-contracts-v0.2/</w:t>
        <w:br/>
        <w:t>git commit -m "Add clean v0.2 experiment contracts architecture"</w:t>
        <w:br/>
        <w:t>git push -u origin feat/experiment-contracts-v0.2</w:t>
      </w:r>
    </w:p>
    <w:p>
      <w:pPr>
        <w:pStyle w:val="Heading1"/>
      </w:pPr>
      <w:r>
        <w:t>13. Why This Architecture Is Better</w:t>
      </w:r>
    </w:p>
    <w:p>
      <w:pPr>
        <w:pStyle w:val="ListBullet"/>
      </w:pPr>
      <w:r>
        <w:t>Single responsibility: every contract has one job.</w:t>
      </w:r>
    </w:p>
    <w:p>
      <w:pPr>
        <w:pStyle w:val="ListBullet"/>
      </w:pPr>
      <w:r>
        <w:t>Less duplication: application, simulator, execution policy and evidence no longer overlap.</w:t>
      </w:r>
    </w:p>
    <w:p>
      <w:pPr>
        <w:pStyle w:val="ListBullet"/>
      </w:pPr>
      <w:r>
        <w:t>Easier team ownership: AI/Tutor work and gem5/attention work can evolve independently.</w:t>
      </w:r>
    </w:p>
    <w:p>
      <w:pPr>
        <w:pStyle w:val="ListBullet"/>
      </w:pPr>
      <w:r>
        <w:t>Safer CHIA automation: the agent sees an explicit active design space instead of every imaginable knob.</w:t>
      </w:r>
    </w:p>
    <w:p>
      <w:pPr>
        <w:pStyle w:val="ListBullet"/>
      </w:pPr>
      <w:r>
        <w:t>Better research rigor: baseline, active candidates, workload axes, fixed controls and future knobs are explicitly separated.</w:t>
      </w:r>
    </w:p>
    <w:p>
      <w:pPr>
        <w:pStyle w:val="ListBullet"/>
      </w:pPr>
      <w:r>
        <w:t>Cleaner reviews: each folder carries its schema, example/config and README.</w:t>
      </w:r>
    </w:p>
    <w:p>
      <w:pPr>
        <w:pStyle w:val="ListBullet"/>
      </w:pPr>
      <w:r>
        <w:t>Better reproducibility: run records contain the exact execution evidence and provenance.</w:t>
      </w:r>
    </w:p>
    <w:p>
      <w:pPr>
        <w:pStyle w:val="Heading1"/>
      </w:pPr>
      <w:r>
        <w:t>14. Open Questions Before Freezing v0.2</w:t>
      </w:r>
    </w:p>
    <w:p>
      <w:pPr>
        <w:pStyle w:val="ListBullet"/>
      </w:pPr>
      <w:r>
        <w:t>Exact Tutor-to-attention mapping once the target model/runtime is fixed.</w:t>
      </w:r>
    </w:p>
    <w:p>
      <w:pPr>
        <w:pStyle w:val="ListBullet"/>
      </w:pPr>
      <w:r>
        <w:t>When FP16/Q8/Q4 become verified in AttentionKernelQuantizedKV.</w:t>
      </w:r>
    </w:p>
    <w:p>
      <w:pPr>
        <w:pStyle w:val="ListBullet"/>
      </w:pPr>
      <w:r>
        <w:t>When RiscvO3CPU is configured well enough to become an active CPU candidate.</w:t>
      </w:r>
    </w:p>
    <w:p>
      <w:pPr>
        <w:pStyle w:val="ListBullet"/>
      </w:pPr>
      <w:r>
        <w:t>Whether cache associativity should enter the first CHIA search or remain fixed.</w:t>
      </w:r>
    </w:p>
    <w:p>
      <w:pPr>
        <w:pStyle w:val="ListBullet"/>
      </w:pPr>
      <w:r>
        <w:t>How final organizer-burst parallelism should be capped after pilot measurements.</w:t>
      </w:r>
    </w:p>
    <w:p>
      <w:pPr>
        <w:pStyle w:val="ListBullet"/>
      </w:pPr>
      <w:r>
        <w:t>Exact tool/version identifiers to store in provenance.</w:t>
      </w:r>
    </w:p>
    <w:p/>
    <w:p>
      <w:pPr>
        <w:jc w:val="center"/>
      </w:pPr>
      <w:r>
        <w:rPr>
          <w:b/>
        </w:rPr>
        <w:t>Recommended status: use this package as the proposed clean v0.2 contract architecture; review before deleting the current folders.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