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8820" w:type="dxa"/>
        <w:jc w:val="center"/>
        <w:tblLook w:val="0000" w:firstRow="0" w:lastRow="0" w:firstColumn="0" w:lastColumn="0" w:noHBand="0" w:noVBand="0"/>
      </w:tblPr>
      <w:tblGrid>
        <w:gridCol w:w="923"/>
        <w:gridCol w:w="3219"/>
        <w:gridCol w:w="913"/>
        <w:gridCol w:w="3666"/>
        <w:gridCol w:w="99"/>
      </w:tblGrid>
      <w:tr w:rsidR="00EA6673" w:rsidRPr="00B55E88" w14:paraId="1001E1B2" w14:textId="77777777" w:rsidTr="00D92439">
        <w:trPr>
          <w:gridAfter w:val="1"/>
          <w:wAfter w:w="99" w:type="dxa"/>
          <w:trHeight w:hRule="exact" w:val="418"/>
          <w:jc w:val="center"/>
        </w:trPr>
        <w:tc>
          <w:tcPr>
            <w:tcW w:w="8721" w:type="dxa"/>
            <w:gridSpan w:val="4"/>
          </w:tcPr>
          <w:p w14:paraId="1FC2D213" w14:textId="77777777" w:rsidR="00EA6673" w:rsidRPr="00B55E88" w:rsidRDefault="00EA6673" w:rsidP="00911168">
            <w:pPr>
              <w:pStyle w:val="a3"/>
              <w:jc w:val="center"/>
              <w:rPr>
                <w:rFonts w:ascii="Tahoma" w:hAnsi="Tahoma" w:cs="Tahoma"/>
                <w:color w:val="000080"/>
                <w:rtl/>
              </w:rPr>
            </w:pPr>
            <w:bookmarkStart w:id="0" w:name="LastJudge"/>
            <w:r w:rsidRPr="00B55E88">
              <w:rPr>
                <w:rFonts w:ascii="Tahoma" w:hAnsi="Tahoma" w:cs="Tahoma"/>
                <w:b/>
                <w:bCs/>
                <w:color w:val="000080"/>
                <w:rtl/>
              </w:rPr>
              <w:t>בית משפט השלום בירושלים</w:t>
            </w:r>
          </w:p>
        </w:tc>
      </w:tr>
      <w:tr w:rsidR="00EA6673" w:rsidRPr="00B55E88" w14:paraId="6C94639B" w14:textId="77777777" w:rsidTr="00D92439">
        <w:trPr>
          <w:gridAfter w:val="1"/>
          <w:wAfter w:w="99" w:type="dxa"/>
          <w:trHeight w:val="337"/>
          <w:jc w:val="center"/>
        </w:trPr>
        <w:tc>
          <w:tcPr>
            <w:tcW w:w="5055" w:type="dxa"/>
            <w:gridSpan w:val="3"/>
          </w:tcPr>
          <w:p w14:paraId="333C2562" w14:textId="77777777" w:rsidR="00EA6673" w:rsidRPr="00B55E88" w:rsidRDefault="00EA6673" w:rsidP="00911168">
            <w:pPr>
              <w:rPr>
                <w:rFonts w:ascii="David" w:hAnsi="David"/>
                <w:b/>
                <w:bCs/>
                <w:sz w:val="28"/>
                <w:szCs w:val="28"/>
                <w:rtl/>
              </w:rPr>
            </w:pPr>
            <w:r w:rsidRPr="00B55E88">
              <w:rPr>
                <w:rFonts w:ascii="David" w:hAnsi="David"/>
                <w:b/>
                <w:bCs/>
                <w:sz w:val="28"/>
                <w:szCs w:val="28"/>
                <w:rtl/>
              </w:rPr>
              <w:t>ת"פ 30884-10-21 מדינת ישראל נ' איתן</w:t>
            </w:r>
          </w:p>
          <w:p w14:paraId="2572F187" w14:textId="77777777" w:rsidR="00EA6673" w:rsidRPr="00B55E88" w:rsidRDefault="00EA6673" w:rsidP="00911168">
            <w:pPr>
              <w:pStyle w:val="a3"/>
              <w:rPr>
                <w:rFonts w:cs="FrankRuehl"/>
                <w:sz w:val="28"/>
                <w:szCs w:val="28"/>
                <w:rtl/>
              </w:rPr>
            </w:pPr>
          </w:p>
        </w:tc>
        <w:tc>
          <w:tcPr>
            <w:tcW w:w="3666" w:type="dxa"/>
          </w:tcPr>
          <w:p w14:paraId="45A8821D" w14:textId="77777777" w:rsidR="00EA6673" w:rsidRPr="00B55E88" w:rsidRDefault="00EA6673" w:rsidP="00911168">
            <w:pPr>
              <w:pStyle w:val="a3"/>
              <w:jc w:val="right"/>
              <w:rPr>
                <w:rFonts w:cs="FrankRuehl"/>
                <w:sz w:val="28"/>
                <w:szCs w:val="28"/>
                <w:rtl/>
              </w:rPr>
            </w:pPr>
          </w:p>
        </w:tc>
      </w:tr>
      <w:tr w:rsidR="00EA6673" w:rsidRPr="00B55E88" w14:paraId="582A8607" w14:textId="77777777" w:rsidTr="00D924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95"/>
          <w:jc w:val="center"/>
        </w:trPr>
        <w:tc>
          <w:tcPr>
            <w:tcW w:w="923" w:type="dxa"/>
            <w:tcBorders>
              <w:top w:val="nil"/>
              <w:left w:val="nil"/>
              <w:bottom w:val="nil"/>
              <w:right w:val="nil"/>
            </w:tcBorders>
          </w:tcPr>
          <w:p w14:paraId="13BE1FAE" w14:textId="77777777" w:rsidR="00EA6673" w:rsidRPr="00B55E88" w:rsidRDefault="00EA6673" w:rsidP="00EA6673">
            <w:pPr>
              <w:spacing w:line="360" w:lineRule="auto"/>
              <w:jc w:val="both"/>
              <w:rPr>
                <w:rFonts w:ascii="David" w:hAnsi="David"/>
                <w:b/>
                <w:bCs/>
                <w:sz w:val="26"/>
                <w:szCs w:val="26"/>
              </w:rPr>
            </w:pPr>
            <w:r w:rsidRPr="00B55E88">
              <w:rPr>
                <w:rFonts w:hint="cs"/>
                <w:rtl/>
              </w:rPr>
              <w:t xml:space="preserve"> </w:t>
            </w:r>
            <w:r w:rsidRPr="00B55E88">
              <w:rPr>
                <w:rFonts w:ascii="David" w:hAnsi="David" w:hint="cs"/>
                <w:b/>
                <w:bCs/>
                <w:sz w:val="26"/>
                <w:szCs w:val="26"/>
                <w:rtl/>
              </w:rPr>
              <w:t>ל</w:t>
            </w:r>
            <w:r w:rsidRPr="00B55E88">
              <w:rPr>
                <w:rFonts w:ascii="David" w:hAnsi="David"/>
                <w:b/>
                <w:bCs/>
                <w:sz w:val="26"/>
                <w:szCs w:val="26"/>
                <w:rtl/>
              </w:rPr>
              <w:t xml:space="preserve">פני </w:t>
            </w:r>
          </w:p>
        </w:tc>
        <w:tc>
          <w:tcPr>
            <w:tcW w:w="7897" w:type="dxa"/>
            <w:gridSpan w:val="4"/>
            <w:tcBorders>
              <w:top w:val="nil"/>
              <w:left w:val="nil"/>
              <w:bottom w:val="nil"/>
              <w:right w:val="nil"/>
            </w:tcBorders>
          </w:tcPr>
          <w:p w14:paraId="7FD21F1D" w14:textId="77777777" w:rsidR="00EA6673" w:rsidRPr="00B55E88" w:rsidRDefault="00EA6673" w:rsidP="00EA6673">
            <w:pPr>
              <w:spacing w:line="360" w:lineRule="auto"/>
              <w:rPr>
                <w:rFonts w:ascii="David" w:hAnsi="David"/>
                <w:b/>
                <w:bCs/>
                <w:sz w:val="26"/>
                <w:szCs w:val="26"/>
                <w:rtl/>
              </w:rPr>
            </w:pPr>
            <w:r w:rsidRPr="00B55E88">
              <w:rPr>
                <w:rFonts w:ascii="David" w:hAnsi="David"/>
                <w:b/>
                <w:bCs/>
                <w:sz w:val="26"/>
                <w:szCs w:val="26"/>
                <w:rtl/>
              </w:rPr>
              <w:t>כבוד השופט  דוד שאול גבאי ריכטר</w:t>
            </w:r>
          </w:p>
          <w:p w14:paraId="3B00919F" w14:textId="77777777" w:rsidR="00EA6673" w:rsidRPr="00B55E88" w:rsidRDefault="00EA6673" w:rsidP="00EA6673">
            <w:pPr>
              <w:spacing w:line="360" w:lineRule="auto"/>
              <w:rPr>
                <w:rFonts w:ascii="David" w:hAnsi="David"/>
                <w:b/>
                <w:bCs/>
                <w:sz w:val="26"/>
                <w:szCs w:val="26"/>
                <w:rtl/>
              </w:rPr>
            </w:pPr>
          </w:p>
          <w:p w14:paraId="1FDF64CB" w14:textId="77777777" w:rsidR="00EA6673" w:rsidRPr="00B55E88" w:rsidRDefault="00EA6673" w:rsidP="00EA6673">
            <w:pPr>
              <w:spacing w:line="360" w:lineRule="auto"/>
              <w:jc w:val="both"/>
              <w:rPr>
                <w:rFonts w:ascii="David" w:hAnsi="David"/>
                <w:b/>
                <w:bCs/>
                <w:sz w:val="26"/>
                <w:szCs w:val="26"/>
              </w:rPr>
            </w:pPr>
          </w:p>
        </w:tc>
      </w:tr>
      <w:tr w:rsidR="00EA6673" w:rsidRPr="00B55E88" w14:paraId="0ADBA288" w14:textId="77777777" w:rsidTr="00D924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55"/>
          <w:jc w:val="center"/>
        </w:trPr>
        <w:tc>
          <w:tcPr>
            <w:tcW w:w="923" w:type="dxa"/>
            <w:tcBorders>
              <w:top w:val="nil"/>
              <w:left w:val="nil"/>
              <w:bottom w:val="nil"/>
              <w:right w:val="nil"/>
            </w:tcBorders>
          </w:tcPr>
          <w:p w14:paraId="7264A2EA" w14:textId="77777777" w:rsidR="00EA6673" w:rsidRPr="00B55E88" w:rsidRDefault="00EA6673" w:rsidP="00EA6673">
            <w:pPr>
              <w:spacing w:line="360" w:lineRule="auto"/>
              <w:jc w:val="both"/>
              <w:rPr>
                <w:rFonts w:ascii="David" w:hAnsi="David"/>
                <w:b/>
                <w:bCs/>
                <w:sz w:val="26"/>
                <w:szCs w:val="26"/>
              </w:rPr>
            </w:pPr>
            <w:bookmarkStart w:id="1" w:name="FirstAppellant"/>
            <w:bookmarkStart w:id="2" w:name="FirstLawyer"/>
            <w:r w:rsidRPr="00B55E88">
              <w:rPr>
                <w:rFonts w:ascii="David" w:hAnsi="David"/>
                <w:b/>
                <w:bCs/>
                <w:sz w:val="26"/>
                <w:szCs w:val="26"/>
                <w:rtl/>
              </w:rPr>
              <w:t>בעניין:</w:t>
            </w:r>
          </w:p>
        </w:tc>
        <w:tc>
          <w:tcPr>
            <w:tcW w:w="3219" w:type="dxa"/>
            <w:tcBorders>
              <w:top w:val="nil"/>
              <w:left w:val="nil"/>
              <w:bottom w:val="nil"/>
              <w:right w:val="nil"/>
            </w:tcBorders>
          </w:tcPr>
          <w:p w14:paraId="19CAEC30" w14:textId="77777777" w:rsidR="00EA6673" w:rsidRPr="00B55E88" w:rsidRDefault="00EA6673" w:rsidP="00EA6673">
            <w:pPr>
              <w:suppressLineNumbers/>
              <w:spacing w:line="360" w:lineRule="auto"/>
              <w:rPr>
                <w:b/>
                <w:bCs/>
                <w:sz w:val="26"/>
                <w:szCs w:val="26"/>
              </w:rPr>
            </w:pPr>
            <w:r w:rsidRPr="00B55E88">
              <w:rPr>
                <w:rFonts w:ascii="Arial" w:hAnsi="Arial" w:hint="cs"/>
                <w:b/>
                <w:bCs/>
                <w:sz w:val="26"/>
                <w:szCs w:val="26"/>
                <w:rtl/>
              </w:rPr>
              <w:t>ה</w:t>
            </w:r>
            <w:r w:rsidRPr="00B55E88">
              <w:rPr>
                <w:rFonts w:ascii="Arial" w:hAnsi="Arial"/>
                <w:b/>
                <w:bCs/>
                <w:sz w:val="26"/>
                <w:szCs w:val="26"/>
                <w:rtl/>
              </w:rPr>
              <w:t>מאשימה</w:t>
            </w:r>
          </w:p>
          <w:p w14:paraId="18D3A69C" w14:textId="77777777" w:rsidR="00EA6673" w:rsidRPr="00B55E88" w:rsidRDefault="00EA6673" w:rsidP="00EA6673">
            <w:pPr>
              <w:spacing w:line="360" w:lineRule="auto"/>
              <w:rPr>
                <w:rFonts w:ascii="David" w:hAnsi="David"/>
                <w:b/>
                <w:bCs/>
                <w:sz w:val="26"/>
                <w:szCs w:val="26"/>
              </w:rPr>
            </w:pPr>
          </w:p>
        </w:tc>
        <w:tc>
          <w:tcPr>
            <w:tcW w:w="4678" w:type="dxa"/>
            <w:gridSpan w:val="3"/>
            <w:tcBorders>
              <w:top w:val="nil"/>
              <w:left w:val="nil"/>
              <w:bottom w:val="nil"/>
              <w:right w:val="nil"/>
            </w:tcBorders>
            <w:vAlign w:val="center"/>
          </w:tcPr>
          <w:p w14:paraId="0AAB78DB" w14:textId="77777777" w:rsidR="00EA6673" w:rsidRPr="00B55E88" w:rsidRDefault="00EA6673" w:rsidP="00EA6673">
            <w:pPr>
              <w:suppressLineNumbers/>
              <w:spacing w:line="360" w:lineRule="auto"/>
              <w:rPr>
                <w:rFonts w:ascii="Arial" w:hAnsi="Arial"/>
                <w:b/>
                <w:bCs/>
                <w:sz w:val="26"/>
                <w:szCs w:val="26"/>
                <w:rtl/>
              </w:rPr>
            </w:pPr>
            <w:r w:rsidRPr="00B55E88">
              <w:rPr>
                <w:rFonts w:ascii="Arial" w:hAnsi="Arial"/>
                <w:b/>
                <w:bCs/>
                <w:sz w:val="26"/>
                <w:szCs w:val="26"/>
                <w:rtl/>
              </w:rPr>
              <w:t>מדינת ישראל</w:t>
            </w:r>
            <w:r w:rsidRPr="00B55E88">
              <w:rPr>
                <w:rFonts w:ascii="Arial" w:hAnsi="Arial" w:hint="cs"/>
                <w:b/>
                <w:bCs/>
                <w:sz w:val="26"/>
                <w:szCs w:val="26"/>
                <w:rtl/>
              </w:rPr>
              <w:t xml:space="preserve"> </w:t>
            </w:r>
          </w:p>
          <w:p w14:paraId="6F48164A" w14:textId="77777777" w:rsidR="00EA6673" w:rsidRPr="00B55E88" w:rsidRDefault="00EA6673" w:rsidP="00EA6673">
            <w:pPr>
              <w:suppressLineNumbers/>
              <w:spacing w:line="360" w:lineRule="auto"/>
              <w:rPr>
                <w:rFonts w:ascii="Arial" w:hAnsi="Arial"/>
                <w:b/>
                <w:bCs/>
                <w:sz w:val="26"/>
                <w:szCs w:val="26"/>
                <w:rtl/>
              </w:rPr>
            </w:pPr>
            <w:r w:rsidRPr="00B55E88">
              <w:rPr>
                <w:rFonts w:ascii="Arial" w:hAnsi="Arial"/>
                <w:b/>
                <w:bCs/>
                <w:sz w:val="26"/>
                <w:szCs w:val="26"/>
                <w:rtl/>
              </w:rPr>
              <w:t xml:space="preserve">ע"י ב"כ </w:t>
            </w:r>
            <w:r w:rsidRPr="00B55E88">
              <w:rPr>
                <w:rFonts w:ascii="Arial" w:hAnsi="Arial" w:hint="cs"/>
                <w:b/>
                <w:bCs/>
                <w:sz w:val="26"/>
                <w:szCs w:val="26"/>
                <w:rtl/>
              </w:rPr>
              <w:t>מתמחה פנחס סרי לוי</w:t>
            </w:r>
          </w:p>
          <w:p w14:paraId="3B8BFF95" w14:textId="77777777" w:rsidR="00EA6673" w:rsidRPr="00B55E88" w:rsidRDefault="00EA6673" w:rsidP="00EA6673">
            <w:pPr>
              <w:suppressLineNumbers/>
              <w:spacing w:line="360" w:lineRule="auto"/>
              <w:rPr>
                <w:b/>
                <w:bCs/>
                <w:sz w:val="26"/>
                <w:szCs w:val="26"/>
              </w:rPr>
            </w:pPr>
            <w:r w:rsidRPr="00B55E88">
              <w:rPr>
                <w:rFonts w:hint="cs"/>
                <w:b/>
                <w:bCs/>
                <w:sz w:val="26"/>
                <w:szCs w:val="26"/>
                <w:rtl/>
              </w:rPr>
              <w:t>מטעם תביעות ירושלים</w:t>
            </w:r>
          </w:p>
          <w:p w14:paraId="04D8C3C9" w14:textId="77777777" w:rsidR="00EA6673" w:rsidRPr="00B55E88" w:rsidRDefault="00EA6673" w:rsidP="00EA6673">
            <w:pPr>
              <w:spacing w:line="360" w:lineRule="auto"/>
              <w:rPr>
                <w:rFonts w:ascii="David" w:hAnsi="David"/>
                <w:b/>
                <w:bCs/>
                <w:sz w:val="26"/>
                <w:szCs w:val="26"/>
              </w:rPr>
            </w:pPr>
          </w:p>
        </w:tc>
      </w:tr>
      <w:bookmarkEnd w:id="1"/>
      <w:bookmarkEnd w:id="2"/>
      <w:tr w:rsidR="00EA6673" w:rsidRPr="00B55E88" w14:paraId="615CD547" w14:textId="77777777" w:rsidTr="00D924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55"/>
          <w:jc w:val="center"/>
        </w:trPr>
        <w:tc>
          <w:tcPr>
            <w:tcW w:w="923" w:type="dxa"/>
            <w:tcBorders>
              <w:top w:val="nil"/>
              <w:left w:val="nil"/>
              <w:bottom w:val="nil"/>
              <w:right w:val="nil"/>
            </w:tcBorders>
          </w:tcPr>
          <w:p w14:paraId="26F6EAD6" w14:textId="77777777" w:rsidR="00EA6673" w:rsidRPr="00B55E88" w:rsidRDefault="00EA6673" w:rsidP="00EA6673">
            <w:pPr>
              <w:spacing w:line="360" w:lineRule="auto"/>
              <w:jc w:val="both"/>
              <w:rPr>
                <w:rFonts w:ascii="David" w:hAnsi="David"/>
                <w:b/>
                <w:bCs/>
                <w:sz w:val="26"/>
                <w:szCs w:val="26"/>
                <w:rtl/>
              </w:rPr>
            </w:pPr>
          </w:p>
        </w:tc>
        <w:tc>
          <w:tcPr>
            <w:tcW w:w="7897" w:type="dxa"/>
            <w:gridSpan w:val="4"/>
            <w:tcBorders>
              <w:top w:val="nil"/>
              <w:left w:val="nil"/>
              <w:bottom w:val="nil"/>
              <w:right w:val="nil"/>
            </w:tcBorders>
          </w:tcPr>
          <w:p w14:paraId="699BECC1" w14:textId="77777777" w:rsidR="00EA6673" w:rsidRPr="00B55E88" w:rsidRDefault="00EA6673" w:rsidP="00EA6673">
            <w:pPr>
              <w:spacing w:line="360" w:lineRule="auto"/>
              <w:jc w:val="center"/>
              <w:rPr>
                <w:rFonts w:ascii="David" w:hAnsi="David"/>
                <w:b/>
                <w:bCs/>
                <w:sz w:val="26"/>
                <w:szCs w:val="26"/>
                <w:rtl/>
              </w:rPr>
            </w:pPr>
          </w:p>
          <w:p w14:paraId="1DD6A03A" w14:textId="77777777" w:rsidR="00EA6673" w:rsidRPr="00B55E88" w:rsidRDefault="00EA6673" w:rsidP="00EA6673">
            <w:pPr>
              <w:spacing w:line="360" w:lineRule="auto"/>
              <w:jc w:val="center"/>
              <w:rPr>
                <w:rFonts w:ascii="David" w:hAnsi="David"/>
                <w:b/>
                <w:bCs/>
                <w:sz w:val="26"/>
                <w:szCs w:val="26"/>
                <w:rtl/>
              </w:rPr>
            </w:pPr>
            <w:r w:rsidRPr="00B55E88">
              <w:rPr>
                <w:rFonts w:ascii="David" w:hAnsi="David"/>
                <w:b/>
                <w:bCs/>
                <w:sz w:val="26"/>
                <w:szCs w:val="26"/>
                <w:rtl/>
              </w:rPr>
              <w:t>נגד</w:t>
            </w:r>
          </w:p>
          <w:p w14:paraId="4DCD8B10" w14:textId="77777777" w:rsidR="00EA6673" w:rsidRPr="00B55E88" w:rsidRDefault="00EA6673" w:rsidP="00EA6673">
            <w:pPr>
              <w:spacing w:line="360" w:lineRule="auto"/>
              <w:jc w:val="both"/>
              <w:rPr>
                <w:rFonts w:ascii="David" w:hAnsi="David"/>
                <w:b/>
                <w:bCs/>
                <w:sz w:val="26"/>
                <w:szCs w:val="26"/>
              </w:rPr>
            </w:pPr>
          </w:p>
        </w:tc>
      </w:tr>
      <w:tr w:rsidR="00EA6673" w:rsidRPr="00B55E88" w14:paraId="5C070533" w14:textId="77777777" w:rsidTr="00D924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55"/>
          <w:jc w:val="center"/>
        </w:trPr>
        <w:tc>
          <w:tcPr>
            <w:tcW w:w="923" w:type="dxa"/>
            <w:tcBorders>
              <w:top w:val="nil"/>
              <w:left w:val="nil"/>
              <w:bottom w:val="nil"/>
              <w:right w:val="nil"/>
            </w:tcBorders>
          </w:tcPr>
          <w:p w14:paraId="416EF749" w14:textId="77777777" w:rsidR="00EA6673" w:rsidRPr="00B55E88" w:rsidRDefault="00EA6673" w:rsidP="00EA6673">
            <w:pPr>
              <w:spacing w:line="360" w:lineRule="auto"/>
              <w:rPr>
                <w:rFonts w:ascii="David" w:hAnsi="David"/>
                <w:b/>
                <w:bCs/>
                <w:sz w:val="26"/>
                <w:szCs w:val="26"/>
                <w:rtl/>
              </w:rPr>
            </w:pPr>
          </w:p>
        </w:tc>
        <w:tc>
          <w:tcPr>
            <w:tcW w:w="3219" w:type="dxa"/>
            <w:tcBorders>
              <w:top w:val="nil"/>
              <w:left w:val="nil"/>
              <w:bottom w:val="nil"/>
              <w:right w:val="nil"/>
            </w:tcBorders>
          </w:tcPr>
          <w:p w14:paraId="591173F9" w14:textId="77777777" w:rsidR="00EA6673" w:rsidRPr="00B55E88" w:rsidRDefault="00EA6673" w:rsidP="00EA6673">
            <w:pPr>
              <w:spacing w:line="360" w:lineRule="auto"/>
              <w:rPr>
                <w:rFonts w:ascii="Arial" w:hAnsi="Arial"/>
                <w:b/>
                <w:bCs/>
                <w:sz w:val="26"/>
                <w:szCs w:val="26"/>
                <w:rtl/>
              </w:rPr>
            </w:pPr>
            <w:r w:rsidRPr="00B55E88">
              <w:rPr>
                <w:rFonts w:ascii="Arial" w:hAnsi="Arial"/>
                <w:b/>
                <w:bCs/>
                <w:sz w:val="26"/>
                <w:szCs w:val="26"/>
                <w:rtl/>
              </w:rPr>
              <w:t>הנאשם</w:t>
            </w:r>
          </w:p>
        </w:tc>
        <w:tc>
          <w:tcPr>
            <w:tcW w:w="4678" w:type="dxa"/>
            <w:gridSpan w:val="3"/>
            <w:tcBorders>
              <w:top w:val="nil"/>
              <w:left w:val="nil"/>
              <w:bottom w:val="nil"/>
              <w:right w:val="nil"/>
            </w:tcBorders>
            <w:vAlign w:val="center"/>
          </w:tcPr>
          <w:p w14:paraId="0D9B0A1A" w14:textId="77777777" w:rsidR="00EA6673" w:rsidRPr="00B55E88" w:rsidRDefault="00EA6673" w:rsidP="00EA6673">
            <w:pPr>
              <w:suppressLineNumbers/>
              <w:spacing w:line="360" w:lineRule="auto"/>
              <w:rPr>
                <w:rFonts w:ascii="Arial" w:hAnsi="Arial"/>
                <w:b/>
                <w:bCs/>
                <w:sz w:val="26"/>
                <w:szCs w:val="26"/>
                <w:rtl/>
              </w:rPr>
            </w:pPr>
            <w:r w:rsidRPr="00B55E88">
              <w:rPr>
                <w:rFonts w:ascii="Arial" w:hAnsi="Arial"/>
                <w:b/>
                <w:bCs/>
                <w:sz w:val="26"/>
                <w:szCs w:val="26"/>
                <w:rtl/>
              </w:rPr>
              <w:t>נאור חי איתן (אחר/נוסף)</w:t>
            </w:r>
            <w:r w:rsidRPr="00B55E88">
              <w:rPr>
                <w:rFonts w:ascii="Arial" w:hAnsi="Arial" w:hint="cs"/>
                <w:b/>
                <w:bCs/>
                <w:sz w:val="26"/>
                <w:szCs w:val="26"/>
                <w:rtl/>
              </w:rPr>
              <w:t xml:space="preserve"> </w:t>
            </w:r>
          </w:p>
          <w:p w14:paraId="0FDF377A" w14:textId="77777777" w:rsidR="00EA6673" w:rsidRPr="00B55E88" w:rsidRDefault="00EA6673" w:rsidP="00EA6673">
            <w:pPr>
              <w:suppressLineNumbers/>
              <w:spacing w:line="360" w:lineRule="auto"/>
              <w:rPr>
                <w:b/>
                <w:bCs/>
                <w:sz w:val="26"/>
                <w:szCs w:val="26"/>
              </w:rPr>
            </w:pPr>
            <w:r w:rsidRPr="00B55E88">
              <w:rPr>
                <w:rFonts w:ascii="Arial" w:hAnsi="Arial"/>
                <w:b/>
                <w:bCs/>
                <w:sz w:val="26"/>
                <w:szCs w:val="26"/>
                <w:rtl/>
              </w:rPr>
              <w:t>ע"י ב"כ עוה"ד</w:t>
            </w:r>
            <w:r w:rsidRPr="00B55E88">
              <w:rPr>
                <w:rFonts w:ascii="Arial" w:hAnsi="Arial" w:hint="cs"/>
                <w:b/>
                <w:bCs/>
                <w:sz w:val="26"/>
                <w:szCs w:val="26"/>
                <w:rtl/>
              </w:rPr>
              <w:t xml:space="preserve"> שי נודל</w:t>
            </w:r>
          </w:p>
          <w:p w14:paraId="0160075C" w14:textId="77777777" w:rsidR="00EA6673" w:rsidRPr="00B55E88" w:rsidRDefault="00EA6673" w:rsidP="00EA6673">
            <w:pPr>
              <w:spacing w:line="360" w:lineRule="auto"/>
              <w:rPr>
                <w:rFonts w:ascii="David" w:hAnsi="David"/>
                <w:b/>
                <w:bCs/>
                <w:sz w:val="26"/>
                <w:szCs w:val="26"/>
              </w:rPr>
            </w:pPr>
          </w:p>
        </w:tc>
      </w:tr>
    </w:tbl>
    <w:p w14:paraId="145F58E3" w14:textId="77777777" w:rsidR="00B55E88" w:rsidRPr="00B55E88" w:rsidRDefault="00B55E88" w:rsidP="00B55E88">
      <w:pPr>
        <w:spacing w:before="120" w:after="120" w:line="240" w:lineRule="exact"/>
        <w:ind w:left="283" w:hanging="283"/>
        <w:jc w:val="both"/>
        <w:rPr>
          <w:rFonts w:ascii="FrankRuehl" w:hAnsi="FrankRuehl" w:cs="FrankRuehl"/>
          <w:rtl/>
        </w:rPr>
      </w:pPr>
    </w:p>
    <w:p w14:paraId="28E1B5DD" w14:textId="77777777" w:rsidR="00B55E88" w:rsidRPr="00B55E88" w:rsidRDefault="00B55E88" w:rsidP="00B55E88">
      <w:pPr>
        <w:rPr>
          <w:sz w:val="26"/>
          <w:szCs w:val="26"/>
          <w:rtl/>
        </w:rPr>
      </w:pPr>
    </w:p>
    <w:p w14:paraId="760A9801" w14:textId="77777777" w:rsidR="00D92439" w:rsidRPr="00D92439" w:rsidRDefault="00D92439" w:rsidP="00D92439">
      <w:pPr>
        <w:spacing w:before="120" w:after="120" w:line="240" w:lineRule="exact"/>
        <w:ind w:left="283" w:hanging="283"/>
        <w:jc w:val="both"/>
        <w:rPr>
          <w:rFonts w:ascii="FrankRuehl" w:hAnsi="FrankRuehl" w:cs="FrankRuehl"/>
          <w:rtl/>
        </w:rPr>
      </w:pPr>
      <w:bookmarkStart w:id="3" w:name="LawTable"/>
      <w:bookmarkEnd w:id="3"/>
    </w:p>
    <w:p w14:paraId="0F764B76" w14:textId="77777777" w:rsidR="00D92439" w:rsidRPr="00D92439" w:rsidRDefault="00D92439" w:rsidP="00D92439">
      <w:pPr>
        <w:spacing w:before="120" w:after="120" w:line="240" w:lineRule="exact"/>
        <w:ind w:left="283" w:hanging="283"/>
        <w:jc w:val="both"/>
        <w:rPr>
          <w:rFonts w:ascii="FrankRuehl" w:hAnsi="FrankRuehl" w:cs="FrankRuehl"/>
          <w:rtl/>
        </w:rPr>
      </w:pPr>
      <w:r w:rsidRPr="00D92439">
        <w:rPr>
          <w:rFonts w:ascii="FrankRuehl" w:hAnsi="FrankRuehl" w:cs="FrankRuehl"/>
          <w:rtl/>
        </w:rPr>
        <w:t xml:space="preserve">חקיקה שאוזכרה: </w:t>
      </w:r>
    </w:p>
    <w:p w14:paraId="4839B353" w14:textId="77777777" w:rsidR="00D92439" w:rsidRPr="00D92439" w:rsidRDefault="00D92439" w:rsidP="00D92439">
      <w:pPr>
        <w:spacing w:before="120" w:after="120" w:line="240" w:lineRule="exact"/>
        <w:ind w:left="283" w:hanging="283"/>
        <w:jc w:val="both"/>
        <w:rPr>
          <w:rFonts w:ascii="FrankRuehl" w:hAnsi="FrankRuehl" w:cs="FrankRuehl"/>
          <w:color w:val="0000FF"/>
          <w:rtl/>
        </w:rPr>
      </w:pPr>
      <w:hyperlink r:id="rId7" w:history="1">
        <w:r w:rsidRPr="00D92439">
          <w:rPr>
            <w:rStyle w:val="Hyperlink"/>
            <w:rFonts w:ascii="FrankRuehl" w:hAnsi="FrankRuehl" w:cs="FrankRuehl"/>
            <w:u w:val="none"/>
            <w:rtl/>
          </w:rPr>
          <w:t>פקודת הסמים המסוכנים [נוסח חדש], תשל"ג-1973</w:t>
        </w:r>
      </w:hyperlink>
      <w:r w:rsidRPr="00D92439">
        <w:rPr>
          <w:rFonts w:ascii="FrankRuehl" w:hAnsi="FrankRuehl" w:cs="FrankRuehl"/>
          <w:color w:val="0000FF"/>
          <w:rtl/>
        </w:rPr>
        <w:t xml:space="preserve">: סע'  </w:t>
      </w:r>
      <w:hyperlink r:id="rId8" w:history="1">
        <w:r w:rsidRPr="00D92439">
          <w:rPr>
            <w:rStyle w:val="Hyperlink"/>
            <w:rFonts w:ascii="FrankRuehl" w:hAnsi="FrankRuehl" w:cs="FrankRuehl"/>
            <w:u w:val="none"/>
          </w:rPr>
          <w:t>7</w:t>
        </w:r>
      </w:hyperlink>
      <w:r w:rsidRPr="00D92439">
        <w:rPr>
          <w:rFonts w:ascii="FrankRuehl" w:hAnsi="FrankRuehl" w:cs="FrankRuehl"/>
          <w:color w:val="0000FF"/>
          <w:rtl/>
        </w:rPr>
        <w:t xml:space="preserve">(א)(ג), </w:t>
      </w:r>
      <w:hyperlink r:id="rId9" w:history="1">
        <w:r w:rsidRPr="00D92439">
          <w:rPr>
            <w:rStyle w:val="Hyperlink"/>
            <w:rFonts w:ascii="FrankRuehl" w:hAnsi="FrankRuehl" w:cs="FrankRuehl"/>
            <w:u w:val="none"/>
          </w:rPr>
          <w:t>13</w:t>
        </w:r>
      </w:hyperlink>
      <w:r w:rsidRPr="00D92439">
        <w:rPr>
          <w:rFonts w:ascii="FrankRuehl" w:hAnsi="FrankRuehl" w:cs="FrankRuehl"/>
          <w:color w:val="0000FF"/>
          <w:rtl/>
        </w:rPr>
        <w:t xml:space="preserve">, </w:t>
      </w:r>
      <w:hyperlink r:id="rId10" w:history="1">
        <w:r w:rsidRPr="00D92439">
          <w:rPr>
            <w:rStyle w:val="Hyperlink"/>
            <w:rFonts w:ascii="FrankRuehl" w:hAnsi="FrankRuehl" w:cs="FrankRuehl"/>
            <w:u w:val="none"/>
          </w:rPr>
          <w:t>19</w:t>
        </w:r>
        <w:r w:rsidRPr="00D92439">
          <w:rPr>
            <w:rStyle w:val="Hyperlink"/>
            <w:rFonts w:ascii="FrankRuehl" w:hAnsi="FrankRuehl" w:cs="FrankRuehl"/>
            <w:u w:val="none"/>
            <w:rtl/>
          </w:rPr>
          <w:t>א</w:t>
        </w:r>
      </w:hyperlink>
    </w:p>
    <w:p w14:paraId="68A15F9A" w14:textId="77777777" w:rsidR="00EA6673" w:rsidRDefault="00EA6673" w:rsidP="00D92439">
      <w:pPr>
        <w:rPr>
          <w:rFonts w:hint="cs"/>
          <w:sz w:val="26"/>
          <w:szCs w:val="26"/>
          <w:rtl/>
        </w:rPr>
      </w:pPr>
      <w:bookmarkStart w:id="4" w:name="LawTable_End"/>
      <w:bookmarkEnd w:id="4"/>
    </w:p>
    <w:p w14:paraId="11DD78BB" w14:textId="77777777" w:rsidR="00D92439" w:rsidRDefault="00D92439" w:rsidP="00D92439">
      <w:pPr>
        <w:rPr>
          <w:rFonts w:hint="cs"/>
          <w:sz w:val="26"/>
          <w:szCs w:val="26"/>
          <w:rtl/>
        </w:rPr>
      </w:pPr>
    </w:p>
    <w:p w14:paraId="786D52FB" w14:textId="77777777" w:rsidR="00D92439" w:rsidRPr="00D92439" w:rsidRDefault="00D92439" w:rsidP="00D92439">
      <w:pPr>
        <w:rPr>
          <w:rFonts w:hint="cs"/>
          <w:sz w:val="26"/>
          <w:szCs w:val="26"/>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EA6673" w14:paraId="62BA4EC7" w14:textId="77777777" w:rsidTr="00EA6673">
        <w:trPr>
          <w:trHeight w:val="355"/>
          <w:jc w:val="center"/>
        </w:trPr>
        <w:tc>
          <w:tcPr>
            <w:tcW w:w="8820" w:type="dxa"/>
            <w:tcBorders>
              <w:top w:val="nil"/>
              <w:left w:val="nil"/>
              <w:bottom w:val="nil"/>
              <w:right w:val="nil"/>
            </w:tcBorders>
          </w:tcPr>
          <w:p w14:paraId="1515581A" w14:textId="77777777" w:rsidR="00B55E88" w:rsidRPr="00B55E88" w:rsidRDefault="00B55E88" w:rsidP="00B55E88">
            <w:pPr>
              <w:jc w:val="center"/>
              <w:rPr>
                <w:rFonts w:ascii="David" w:hAnsi="David"/>
                <w:b/>
                <w:bCs/>
                <w:sz w:val="32"/>
                <w:szCs w:val="32"/>
                <w:u w:val="single"/>
                <w:rtl/>
              </w:rPr>
            </w:pPr>
            <w:bookmarkStart w:id="5" w:name="PsakDin" w:colFirst="0" w:colLast="0"/>
            <w:bookmarkEnd w:id="0"/>
            <w:r w:rsidRPr="00B55E88">
              <w:rPr>
                <w:rFonts w:ascii="David" w:hAnsi="David"/>
                <w:b/>
                <w:bCs/>
                <w:sz w:val="32"/>
                <w:szCs w:val="32"/>
                <w:u w:val="single"/>
                <w:rtl/>
              </w:rPr>
              <w:t>גזר דין</w:t>
            </w:r>
          </w:p>
          <w:p w14:paraId="6EE1AD17" w14:textId="77777777" w:rsidR="00EA6673" w:rsidRPr="00B55E88" w:rsidRDefault="00EA6673" w:rsidP="00B55E88">
            <w:pPr>
              <w:jc w:val="center"/>
              <w:rPr>
                <w:rFonts w:ascii="David" w:hAnsi="David"/>
                <w:bCs/>
                <w:sz w:val="32"/>
                <w:szCs w:val="32"/>
                <w:u w:val="single"/>
                <w:rtl/>
              </w:rPr>
            </w:pPr>
          </w:p>
        </w:tc>
      </w:tr>
      <w:bookmarkEnd w:id="5"/>
    </w:tbl>
    <w:p w14:paraId="206D1936" w14:textId="77777777" w:rsidR="00EA6673" w:rsidRPr="000F2247" w:rsidRDefault="00EA6673" w:rsidP="00EA6673">
      <w:pPr>
        <w:rPr>
          <w:rFonts w:ascii="Arial" w:hAnsi="Arial"/>
          <w:b/>
          <w:bCs/>
          <w:sz w:val="26"/>
          <w:szCs w:val="26"/>
          <w:rtl/>
        </w:rPr>
      </w:pPr>
    </w:p>
    <w:p w14:paraId="146CFC32" w14:textId="77777777" w:rsidR="00EA6673" w:rsidRPr="000F2247" w:rsidRDefault="00EA6673" w:rsidP="00EA6673">
      <w:pPr>
        <w:rPr>
          <w:rFonts w:ascii="Arial" w:hAnsi="Arial"/>
          <w:b/>
          <w:bCs/>
          <w:sz w:val="26"/>
          <w:szCs w:val="26"/>
          <w:rtl/>
        </w:rPr>
      </w:pPr>
    </w:p>
    <w:p w14:paraId="3413B9E5" w14:textId="77777777" w:rsidR="00EA6673" w:rsidRDefault="00EA6673" w:rsidP="00EA6673">
      <w:pPr>
        <w:spacing w:after="160" w:line="252" w:lineRule="auto"/>
        <w:rPr>
          <w:rFonts w:ascii="David" w:hAnsi="David"/>
          <w:b/>
          <w:bCs/>
          <w:sz w:val="26"/>
          <w:szCs w:val="26"/>
          <w:u w:val="single"/>
        </w:rPr>
      </w:pPr>
      <w:r>
        <w:rPr>
          <w:rFonts w:ascii="David" w:hAnsi="David"/>
          <w:b/>
          <w:bCs/>
          <w:sz w:val="26"/>
          <w:szCs w:val="26"/>
          <w:u w:val="single"/>
          <w:rtl/>
        </w:rPr>
        <w:t>כתב האישום</w:t>
      </w:r>
      <w:r>
        <w:rPr>
          <w:rFonts w:ascii="David" w:hAnsi="David" w:hint="cs"/>
          <w:b/>
          <w:bCs/>
          <w:sz w:val="26"/>
          <w:szCs w:val="26"/>
          <w:u w:val="single"/>
          <w:rtl/>
        </w:rPr>
        <w:t xml:space="preserve"> בו הודה הנאשם</w:t>
      </w:r>
    </w:p>
    <w:p w14:paraId="73CF54B7" w14:textId="77777777" w:rsidR="00EA6673" w:rsidRDefault="00EA6673" w:rsidP="00EA6673">
      <w:pPr>
        <w:pStyle w:val="a9"/>
        <w:numPr>
          <w:ilvl w:val="0"/>
          <w:numId w:val="2"/>
        </w:numPr>
        <w:spacing w:after="160" w:line="360" w:lineRule="auto"/>
        <w:jc w:val="both"/>
        <w:rPr>
          <w:rFonts w:ascii="David" w:hAnsi="David"/>
          <w:sz w:val="26"/>
          <w:szCs w:val="26"/>
        </w:rPr>
      </w:pPr>
      <w:bookmarkStart w:id="6" w:name="ABSTRACT_START"/>
      <w:bookmarkEnd w:id="6"/>
      <w:r>
        <w:rPr>
          <w:rFonts w:ascii="David" w:hAnsi="David"/>
          <w:sz w:val="26"/>
          <w:szCs w:val="26"/>
          <w:rtl/>
        </w:rPr>
        <w:t>הנאשם הורשע על פי הודאתו ב</w:t>
      </w:r>
      <w:r>
        <w:rPr>
          <w:rFonts w:ascii="David" w:hAnsi="David" w:hint="cs"/>
          <w:sz w:val="26"/>
          <w:szCs w:val="26"/>
          <w:rtl/>
        </w:rPr>
        <w:t xml:space="preserve">ביצוע </w:t>
      </w:r>
      <w:r w:rsidRPr="00FA7D57">
        <w:rPr>
          <w:rFonts w:ascii="David" w:hAnsi="David" w:hint="cs"/>
          <w:b/>
          <w:bCs/>
          <w:sz w:val="26"/>
          <w:szCs w:val="26"/>
          <w:rtl/>
        </w:rPr>
        <w:t>שלוש עבירות סחר בסמים מסוכנים</w:t>
      </w:r>
      <w:r>
        <w:rPr>
          <w:rFonts w:ascii="David" w:hAnsi="David" w:hint="cs"/>
          <w:sz w:val="26"/>
          <w:szCs w:val="26"/>
          <w:rtl/>
        </w:rPr>
        <w:t xml:space="preserve">, לפי </w:t>
      </w:r>
      <w:hyperlink r:id="rId11" w:history="1">
        <w:r w:rsidR="00D92439" w:rsidRPr="00D92439">
          <w:rPr>
            <w:rStyle w:val="Hyperlink"/>
            <w:rFonts w:ascii="David" w:hAnsi="David" w:hint="eastAsia"/>
            <w:color w:val="0000FF"/>
            <w:sz w:val="26"/>
            <w:szCs w:val="26"/>
            <w:rtl/>
          </w:rPr>
          <w:t>סעיפים</w:t>
        </w:r>
        <w:r w:rsidR="00D92439" w:rsidRPr="00D92439">
          <w:rPr>
            <w:rStyle w:val="Hyperlink"/>
            <w:rFonts w:ascii="David" w:hAnsi="David"/>
            <w:color w:val="0000FF"/>
            <w:sz w:val="26"/>
            <w:szCs w:val="26"/>
            <w:rtl/>
          </w:rPr>
          <w:t xml:space="preserve"> 13</w:t>
        </w:r>
      </w:hyperlink>
      <w:r>
        <w:rPr>
          <w:rFonts w:ascii="David" w:hAnsi="David" w:hint="cs"/>
          <w:sz w:val="26"/>
          <w:szCs w:val="26"/>
          <w:rtl/>
        </w:rPr>
        <w:t xml:space="preserve"> ו-</w:t>
      </w:r>
      <w:hyperlink r:id="rId12" w:history="1">
        <w:r w:rsidR="00D92439" w:rsidRPr="00D92439">
          <w:rPr>
            <w:rStyle w:val="Hyperlink"/>
            <w:rFonts w:ascii="David" w:hAnsi="David"/>
            <w:color w:val="0000FF"/>
            <w:sz w:val="26"/>
            <w:szCs w:val="26"/>
            <w:rtl/>
          </w:rPr>
          <w:t>19א</w:t>
        </w:r>
      </w:hyperlink>
      <w:r>
        <w:rPr>
          <w:rFonts w:ascii="David" w:hAnsi="David" w:hint="cs"/>
          <w:sz w:val="26"/>
          <w:szCs w:val="26"/>
          <w:rtl/>
        </w:rPr>
        <w:t xml:space="preserve"> ל</w:t>
      </w:r>
      <w:hyperlink r:id="rId13" w:history="1">
        <w:r w:rsidR="00B55E88" w:rsidRPr="00B55E88">
          <w:rPr>
            <w:rFonts w:ascii="David" w:hAnsi="David"/>
            <w:color w:val="0000FF"/>
            <w:sz w:val="26"/>
            <w:szCs w:val="26"/>
            <w:u w:val="single"/>
            <w:rtl/>
          </w:rPr>
          <w:t>פקודת הסמים המסוכנים</w:t>
        </w:r>
      </w:hyperlink>
      <w:r>
        <w:rPr>
          <w:rFonts w:ascii="David" w:hAnsi="David" w:hint="cs"/>
          <w:sz w:val="26"/>
          <w:szCs w:val="26"/>
          <w:rtl/>
        </w:rPr>
        <w:t xml:space="preserve"> ובעבירה של </w:t>
      </w:r>
      <w:r w:rsidRPr="00FA7D57">
        <w:rPr>
          <w:rFonts w:ascii="David" w:hAnsi="David" w:hint="cs"/>
          <w:b/>
          <w:bCs/>
          <w:sz w:val="26"/>
          <w:szCs w:val="26"/>
          <w:rtl/>
        </w:rPr>
        <w:t>החזקת סם שלא לצריכה עצמית</w:t>
      </w:r>
      <w:r>
        <w:rPr>
          <w:rFonts w:ascii="David" w:hAnsi="David" w:hint="cs"/>
          <w:sz w:val="26"/>
          <w:szCs w:val="26"/>
          <w:rtl/>
        </w:rPr>
        <w:t xml:space="preserve">, לפי </w:t>
      </w:r>
      <w:hyperlink r:id="rId14" w:history="1">
        <w:r w:rsidR="00D92439" w:rsidRPr="00D92439">
          <w:rPr>
            <w:rStyle w:val="Hyperlink"/>
            <w:rFonts w:ascii="David" w:hAnsi="David" w:hint="eastAsia"/>
            <w:color w:val="0000FF"/>
            <w:sz w:val="26"/>
            <w:szCs w:val="26"/>
            <w:rtl/>
          </w:rPr>
          <w:t>סעיפים</w:t>
        </w:r>
        <w:r w:rsidR="00D92439" w:rsidRPr="00D92439">
          <w:rPr>
            <w:rStyle w:val="Hyperlink"/>
            <w:rFonts w:ascii="David" w:hAnsi="David"/>
            <w:color w:val="0000FF"/>
            <w:sz w:val="26"/>
            <w:szCs w:val="26"/>
            <w:rtl/>
          </w:rPr>
          <w:t xml:space="preserve"> 7(א)(ג)</w:t>
        </w:r>
      </w:hyperlink>
      <w:r>
        <w:rPr>
          <w:rFonts w:ascii="David" w:hAnsi="David" w:hint="cs"/>
          <w:sz w:val="26"/>
          <w:szCs w:val="26"/>
          <w:rtl/>
        </w:rPr>
        <w:t xml:space="preserve"> רישא לפקודת הסמים.</w:t>
      </w:r>
      <w:bookmarkStart w:id="7" w:name="ABSTRACT_END"/>
      <w:bookmarkEnd w:id="7"/>
    </w:p>
    <w:p w14:paraId="73F1D81A" w14:textId="77777777" w:rsidR="00EA6673" w:rsidRDefault="00EA6673" w:rsidP="00EA6673">
      <w:pPr>
        <w:pStyle w:val="a9"/>
        <w:numPr>
          <w:ilvl w:val="0"/>
          <w:numId w:val="2"/>
        </w:numPr>
        <w:spacing w:after="160" w:line="360" w:lineRule="auto"/>
        <w:jc w:val="both"/>
        <w:rPr>
          <w:rFonts w:ascii="David" w:hAnsi="David"/>
          <w:sz w:val="26"/>
          <w:szCs w:val="26"/>
        </w:rPr>
      </w:pPr>
      <w:r>
        <w:rPr>
          <w:rFonts w:ascii="David" w:hAnsi="David" w:hint="cs"/>
          <w:sz w:val="26"/>
          <w:szCs w:val="26"/>
          <w:rtl/>
        </w:rPr>
        <w:t xml:space="preserve">מכתב האישום עולה, כי בתאריכים 12.9.2021, 13.9.2021 ו-3.10.2021 סחר הנאשם בקנביס מול שלושה שוטרים סמויים שונים. בשתי העסקאות הראשונות תואמו עם הנאשם טלפונית ובמסגרתן מכר בכל אחת מהן לשני השוטרים קנביס במשקל כ-10 גרם </w:t>
      </w:r>
      <w:r>
        <w:rPr>
          <w:rFonts w:ascii="David" w:hAnsi="David" w:hint="cs"/>
          <w:sz w:val="26"/>
          <w:szCs w:val="26"/>
          <w:rtl/>
        </w:rPr>
        <w:lastRenderedPageBreak/>
        <w:t xml:space="preserve">תמורת 600 ₪ בכל פעם. בעסקה השלישית  מכר הנאשם לשוטר שלישי 100 גרם קנביס תמורת 3,400 ₪ ובהזדמנות זו נתפס בכף ונעצר כשבחזקתו גם סם קנביס במשקל 2.98 גרם. </w:t>
      </w:r>
    </w:p>
    <w:p w14:paraId="1FFC65BE" w14:textId="77777777" w:rsidR="00EA6673" w:rsidRPr="00D8208C" w:rsidRDefault="00EA6673" w:rsidP="00EA6673">
      <w:pPr>
        <w:spacing w:after="160" w:line="360" w:lineRule="auto"/>
        <w:jc w:val="both"/>
        <w:rPr>
          <w:rFonts w:ascii="David" w:hAnsi="David"/>
          <w:b/>
          <w:bCs/>
          <w:sz w:val="26"/>
          <w:szCs w:val="26"/>
          <w:u w:val="single"/>
        </w:rPr>
      </w:pPr>
    </w:p>
    <w:p w14:paraId="30D7ED16" w14:textId="77777777" w:rsidR="00EA6673" w:rsidRDefault="00EA6673" w:rsidP="00EA6673">
      <w:pPr>
        <w:spacing w:after="160" w:line="360" w:lineRule="auto"/>
        <w:jc w:val="both"/>
        <w:rPr>
          <w:rFonts w:ascii="David" w:hAnsi="David"/>
          <w:b/>
          <w:bCs/>
          <w:sz w:val="26"/>
          <w:szCs w:val="26"/>
          <w:u w:val="single"/>
          <w:rtl/>
        </w:rPr>
      </w:pPr>
    </w:p>
    <w:p w14:paraId="66AF2E45" w14:textId="77777777" w:rsidR="00EA6673" w:rsidRDefault="00EA6673" w:rsidP="00EA6673">
      <w:pPr>
        <w:spacing w:after="160" w:line="360" w:lineRule="auto"/>
        <w:jc w:val="both"/>
        <w:rPr>
          <w:rFonts w:ascii="David" w:hAnsi="David"/>
          <w:b/>
          <w:bCs/>
          <w:sz w:val="26"/>
          <w:szCs w:val="26"/>
          <w:u w:val="single"/>
          <w:rtl/>
        </w:rPr>
      </w:pPr>
    </w:p>
    <w:p w14:paraId="698EFFA1" w14:textId="77777777" w:rsidR="00EA6673" w:rsidRDefault="00EA6673" w:rsidP="00EA6673">
      <w:pPr>
        <w:spacing w:after="160" w:line="360" w:lineRule="auto"/>
        <w:jc w:val="both"/>
        <w:rPr>
          <w:rFonts w:ascii="David" w:hAnsi="David"/>
          <w:b/>
          <w:bCs/>
          <w:sz w:val="26"/>
          <w:szCs w:val="26"/>
          <w:u w:val="single"/>
        </w:rPr>
      </w:pPr>
      <w:r>
        <w:rPr>
          <w:rFonts w:ascii="David" w:hAnsi="David"/>
          <w:b/>
          <w:bCs/>
          <w:sz w:val="26"/>
          <w:szCs w:val="26"/>
          <w:u w:val="single"/>
          <w:rtl/>
        </w:rPr>
        <w:t>מהלך הדיון</w:t>
      </w:r>
    </w:p>
    <w:p w14:paraId="2DF1B947" w14:textId="77777777" w:rsidR="00EA6673" w:rsidRDefault="00EA6673" w:rsidP="00EA6673">
      <w:pPr>
        <w:pStyle w:val="a9"/>
        <w:numPr>
          <w:ilvl w:val="0"/>
          <w:numId w:val="2"/>
        </w:numPr>
        <w:spacing w:after="160" w:line="360" w:lineRule="auto"/>
        <w:jc w:val="both"/>
        <w:rPr>
          <w:rFonts w:ascii="David" w:hAnsi="David"/>
          <w:sz w:val="26"/>
          <w:szCs w:val="26"/>
        </w:rPr>
      </w:pPr>
      <w:r>
        <w:rPr>
          <w:rFonts w:ascii="David" w:hAnsi="David" w:hint="cs"/>
          <w:sz w:val="26"/>
          <w:szCs w:val="26"/>
          <w:rtl/>
        </w:rPr>
        <w:t xml:space="preserve">הנאשם נעצר ביום 3.10.2021, וכתב האישום עם בקשה למעצר תום הליכים הוגשו ביום 13.10.2021. לאחר שהוזמן בעניינו תסקיר מעצר, שוחרר הנאשם למעצר בית מלא ביום 20.12.2021. לאחר מכן הוקלו התנאים מעת לעת. </w:t>
      </w:r>
    </w:p>
    <w:p w14:paraId="2D5DA0F3" w14:textId="77777777" w:rsidR="00EA6673" w:rsidRDefault="00EA6673" w:rsidP="00EA6673">
      <w:pPr>
        <w:spacing w:after="160" w:line="360" w:lineRule="auto"/>
        <w:jc w:val="both"/>
        <w:rPr>
          <w:rFonts w:ascii="David" w:hAnsi="David"/>
          <w:b/>
          <w:bCs/>
          <w:sz w:val="26"/>
          <w:szCs w:val="26"/>
          <w:u w:val="single"/>
        </w:rPr>
      </w:pPr>
    </w:p>
    <w:p w14:paraId="7BF4610A" w14:textId="77777777" w:rsidR="00EA6673" w:rsidRDefault="00EA6673" w:rsidP="00EA6673">
      <w:pPr>
        <w:spacing w:after="160" w:line="360" w:lineRule="auto"/>
        <w:jc w:val="both"/>
        <w:rPr>
          <w:rFonts w:ascii="David" w:hAnsi="David"/>
          <w:b/>
          <w:bCs/>
          <w:sz w:val="26"/>
          <w:szCs w:val="26"/>
          <w:u w:val="single"/>
        </w:rPr>
      </w:pPr>
      <w:r>
        <w:rPr>
          <w:rFonts w:ascii="David" w:hAnsi="David"/>
          <w:b/>
          <w:bCs/>
          <w:sz w:val="26"/>
          <w:szCs w:val="26"/>
          <w:u w:val="single"/>
          <w:rtl/>
        </w:rPr>
        <w:t>תסקיר</w:t>
      </w:r>
      <w:r>
        <w:rPr>
          <w:rFonts w:ascii="David" w:hAnsi="David" w:hint="cs"/>
          <w:b/>
          <w:bCs/>
          <w:sz w:val="26"/>
          <w:szCs w:val="26"/>
          <w:u w:val="single"/>
          <w:rtl/>
        </w:rPr>
        <w:t>י</w:t>
      </w:r>
      <w:r>
        <w:rPr>
          <w:rFonts w:ascii="David" w:hAnsi="David"/>
          <w:b/>
          <w:bCs/>
          <w:sz w:val="26"/>
          <w:szCs w:val="26"/>
          <w:u w:val="single"/>
          <w:rtl/>
        </w:rPr>
        <w:t xml:space="preserve"> שירות המבחן</w:t>
      </w:r>
    </w:p>
    <w:p w14:paraId="693BC9DF" w14:textId="77777777" w:rsidR="00EA6673" w:rsidRDefault="00EA6673" w:rsidP="00EA6673">
      <w:pPr>
        <w:pStyle w:val="a9"/>
        <w:numPr>
          <w:ilvl w:val="0"/>
          <w:numId w:val="2"/>
        </w:numPr>
        <w:spacing w:after="160" w:line="360" w:lineRule="auto"/>
        <w:jc w:val="both"/>
        <w:rPr>
          <w:rFonts w:ascii="David" w:hAnsi="David"/>
          <w:sz w:val="26"/>
          <w:szCs w:val="26"/>
        </w:rPr>
      </w:pPr>
      <w:r>
        <w:rPr>
          <w:rFonts w:ascii="David" w:hAnsi="David" w:hint="cs"/>
          <w:sz w:val="26"/>
          <w:szCs w:val="26"/>
          <w:rtl/>
        </w:rPr>
        <w:t xml:space="preserve">בעניינו של הנאשם הוגשו שני תסקירים לעונש, ממרץ 2023 ומינואר 2024. מהתסקירים עולה כי הנאשם כבן 34, רווק, כיום עובד וסועד את אמו שחלתה בסרטן. אביו נפטר ממחלה כשהיה בגיל עשרה וחוויות אלו השפיעו עליו. ילדותו היתה מורכבת ומאתגרת והוא התדרדר לביצוע עבירות, בין היתר על רקע חשיפה לסמים כבר מגיל העשרה, ואף לסמים קשים. בשל מעורבותו בפלילים הנאשם לא גויס לצה"ל. יחד עם זאת לאורך השנים שמר על יציבות תעסוקתית. הנאשם טופל במסגרת תיק זה הן ביחידה להתמכרויות בטיפולים פרטניים והן במסגרת טיפול קבוצתי שלא הושלם. בנוסף הנאשם מסר בדיקות שתן, שלמעט שתיים, היו כולן נקיות משרידי סמים. שירות המבחן התרשם מדפוסי ניתוק קשר של הנאשם עם התהליך הטיפולי בעת שחש משבר, בעיקר על רקע כלכלי וחברתי. עם זאת הנאשם גילה כוחות ותובנות וברמה ההצהרתית טען, כי מעוניין בהמשך הטיפול. עוד צוין בתסקירים, כי הנאשם פועל כיום להסדרת חובותיו, שחלקם צבר בשוק האפור, וזאת במסגרת הליך חדלות פירעון. בסופו של יום, בשל מורכבות נסיבותיו של הנאשם ומאפייניו, לא בא שירות המבחן בהמלצה טיפולית, והמליץ על הטלת מאסר בעבודות שירות תוך הימנעות מהטלת מאסר בפועל, שלדבריו, עלול לדרדר את הנאשם. </w:t>
      </w:r>
    </w:p>
    <w:p w14:paraId="35BC58FD" w14:textId="77777777" w:rsidR="00EA6673" w:rsidRDefault="00EA6673" w:rsidP="00EA6673">
      <w:pPr>
        <w:spacing w:after="160" w:line="360" w:lineRule="auto"/>
        <w:jc w:val="both"/>
        <w:rPr>
          <w:rFonts w:ascii="David" w:hAnsi="David"/>
          <w:b/>
          <w:bCs/>
          <w:sz w:val="26"/>
          <w:szCs w:val="26"/>
          <w:u w:val="single"/>
        </w:rPr>
      </w:pPr>
    </w:p>
    <w:p w14:paraId="15AEA7BF" w14:textId="77777777" w:rsidR="00EA6673" w:rsidRDefault="00EA6673" w:rsidP="00EA6673">
      <w:pPr>
        <w:spacing w:after="160" w:line="360" w:lineRule="auto"/>
        <w:jc w:val="both"/>
        <w:rPr>
          <w:rFonts w:ascii="David" w:hAnsi="David"/>
          <w:b/>
          <w:bCs/>
          <w:sz w:val="26"/>
          <w:szCs w:val="26"/>
          <w:u w:val="single"/>
          <w:rtl/>
        </w:rPr>
      </w:pPr>
      <w:r>
        <w:rPr>
          <w:rFonts w:ascii="David" w:hAnsi="David"/>
          <w:b/>
          <w:bCs/>
          <w:sz w:val="26"/>
          <w:szCs w:val="26"/>
          <w:u w:val="single"/>
          <w:rtl/>
        </w:rPr>
        <w:lastRenderedPageBreak/>
        <w:t>חוות הדעת של הממונה על עבודות השירות</w:t>
      </w:r>
    </w:p>
    <w:p w14:paraId="686608F3" w14:textId="77777777" w:rsidR="00EA6673" w:rsidRDefault="00EA6673" w:rsidP="00EA6673">
      <w:pPr>
        <w:pStyle w:val="a9"/>
        <w:numPr>
          <w:ilvl w:val="0"/>
          <w:numId w:val="2"/>
        </w:numPr>
        <w:spacing w:after="160" w:line="360" w:lineRule="auto"/>
        <w:jc w:val="both"/>
        <w:rPr>
          <w:rFonts w:ascii="David" w:hAnsi="David"/>
          <w:sz w:val="26"/>
          <w:szCs w:val="26"/>
          <w:rtl/>
        </w:rPr>
      </w:pPr>
      <w:r>
        <w:rPr>
          <w:rFonts w:ascii="David" w:hAnsi="David"/>
          <w:sz w:val="26"/>
          <w:szCs w:val="26"/>
          <w:rtl/>
        </w:rPr>
        <w:t xml:space="preserve">הממונה הגיש חוות דעת על אודות כשירות הנאשם לבצע מאסר בעבודות שירות. מחוות הדעת עולה, כי </w:t>
      </w:r>
      <w:r>
        <w:rPr>
          <w:rFonts w:ascii="David" w:hAnsi="David" w:hint="cs"/>
          <w:sz w:val="26"/>
          <w:szCs w:val="26"/>
          <w:rtl/>
        </w:rPr>
        <w:t>הנאשם נמצא כשיר לבצע עבודות שירות ב"מפעל חיים ירושלים" החל מיום 1.4.24.</w:t>
      </w:r>
    </w:p>
    <w:p w14:paraId="2D7245D1" w14:textId="77777777" w:rsidR="00EA6673" w:rsidRDefault="00EA6673" w:rsidP="00EA6673">
      <w:pPr>
        <w:spacing w:after="160" w:line="360" w:lineRule="auto"/>
        <w:jc w:val="both"/>
        <w:rPr>
          <w:rFonts w:ascii="David" w:hAnsi="David"/>
          <w:sz w:val="26"/>
          <w:szCs w:val="26"/>
          <w:rtl/>
        </w:rPr>
      </w:pPr>
    </w:p>
    <w:p w14:paraId="13ED4037" w14:textId="77777777" w:rsidR="00EA6673" w:rsidRDefault="00EA6673" w:rsidP="00EA6673">
      <w:pPr>
        <w:spacing w:after="160" w:line="360" w:lineRule="auto"/>
        <w:jc w:val="both"/>
        <w:rPr>
          <w:rFonts w:ascii="David" w:hAnsi="David"/>
          <w:sz w:val="26"/>
          <w:szCs w:val="26"/>
          <w:rtl/>
        </w:rPr>
      </w:pPr>
    </w:p>
    <w:p w14:paraId="0FC536EE" w14:textId="77777777" w:rsidR="00EA6673" w:rsidRDefault="00EA6673" w:rsidP="00EA6673">
      <w:pPr>
        <w:spacing w:after="160" w:line="360" w:lineRule="auto"/>
        <w:jc w:val="both"/>
        <w:rPr>
          <w:rFonts w:ascii="David" w:hAnsi="David"/>
          <w:b/>
          <w:bCs/>
          <w:sz w:val="26"/>
          <w:szCs w:val="26"/>
          <w:u w:val="single"/>
          <w:rtl/>
        </w:rPr>
      </w:pPr>
      <w:r>
        <w:rPr>
          <w:rFonts w:ascii="David" w:hAnsi="David" w:hint="cs"/>
          <w:b/>
          <w:bCs/>
          <w:sz w:val="26"/>
          <w:szCs w:val="26"/>
          <w:u w:val="single"/>
          <w:rtl/>
        </w:rPr>
        <w:t>ראיות לעונש</w:t>
      </w:r>
    </w:p>
    <w:p w14:paraId="1BD8FDBD" w14:textId="77777777" w:rsidR="00EA6673" w:rsidRDefault="00EA6673" w:rsidP="00EA6673">
      <w:pPr>
        <w:pStyle w:val="a9"/>
        <w:numPr>
          <w:ilvl w:val="0"/>
          <w:numId w:val="2"/>
        </w:numPr>
        <w:spacing w:after="160" w:line="360" w:lineRule="auto"/>
        <w:jc w:val="both"/>
        <w:rPr>
          <w:rFonts w:ascii="David" w:hAnsi="David"/>
          <w:sz w:val="26"/>
          <w:szCs w:val="26"/>
        </w:rPr>
      </w:pPr>
      <w:r w:rsidRPr="00D01580">
        <w:rPr>
          <w:rFonts w:ascii="David" w:hAnsi="David" w:hint="cs"/>
          <w:b/>
          <w:bCs/>
          <w:sz w:val="26"/>
          <w:szCs w:val="26"/>
          <w:rtl/>
        </w:rPr>
        <w:t>רישום פלילי</w:t>
      </w:r>
      <w:r>
        <w:rPr>
          <w:rFonts w:ascii="David" w:hAnsi="David" w:hint="cs"/>
          <w:sz w:val="26"/>
          <w:szCs w:val="26"/>
          <w:rtl/>
        </w:rPr>
        <w:t xml:space="preserve"> - </w:t>
      </w:r>
      <w:r w:rsidRPr="00FA01E6">
        <w:rPr>
          <w:rFonts w:ascii="David" w:hAnsi="David" w:hint="cs"/>
          <w:sz w:val="26"/>
          <w:szCs w:val="26"/>
          <w:rtl/>
        </w:rPr>
        <w:t>לנאשם 4 הרשעות קודמות, הראשונה עוד מהיותו נער בשנת 2004 בגין עבירות אלימות בגינן הוטלו עליו מאסר מותנה, קנס ופיצוי. הרשעותיו האחרות בעבירות סמים, והוא ריצה עונשים של עבודות שירות. הרשעתו האחרונה משנת 2012 בגין עבירת סמים משנת 2011.</w:t>
      </w:r>
    </w:p>
    <w:p w14:paraId="6E8AF4C1" w14:textId="77777777" w:rsidR="00EA6673" w:rsidRDefault="00EA6673" w:rsidP="00EA6673">
      <w:pPr>
        <w:pStyle w:val="a9"/>
        <w:spacing w:after="160" w:line="360" w:lineRule="auto"/>
        <w:ind w:left="360"/>
        <w:jc w:val="both"/>
        <w:rPr>
          <w:rFonts w:ascii="David" w:hAnsi="David"/>
          <w:sz w:val="26"/>
          <w:szCs w:val="26"/>
        </w:rPr>
      </w:pPr>
    </w:p>
    <w:p w14:paraId="63DC79AF" w14:textId="77777777" w:rsidR="00EA6673" w:rsidRPr="00D01580" w:rsidRDefault="00EA6673" w:rsidP="00EA6673">
      <w:pPr>
        <w:pStyle w:val="a9"/>
        <w:numPr>
          <w:ilvl w:val="0"/>
          <w:numId w:val="2"/>
        </w:numPr>
        <w:spacing w:after="160" w:line="360" w:lineRule="auto"/>
        <w:jc w:val="both"/>
        <w:rPr>
          <w:rFonts w:ascii="David" w:hAnsi="David"/>
          <w:b/>
          <w:bCs/>
          <w:sz w:val="26"/>
          <w:szCs w:val="26"/>
          <w:rtl/>
        </w:rPr>
      </w:pPr>
      <w:r w:rsidRPr="00D01580">
        <w:rPr>
          <w:rFonts w:ascii="David" w:hAnsi="David" w:hint="cs"/>
          <w:b/>
          <w:bCs/>
          <w:sz w:val="26"/>
          <w:szCs w:val="26"/>
          <w:rtl/>
        </w:rPr>
        <w:t xml:space="preserve">מטעם הנאשם </w:t>
      </w:r>
      <w:r w:rsidRPr="00D01580">
        <w:rPr>
          <w:rFonts w:ascii="David" w:hAnsi="David" w:hint="cs"/>
          <w:sz w:val="26"/>
          <w:szCs w:val="26"/>
          <w:rtl/>
        </w:rPr>
        <w:t xml:space="preserve">הוגשו מסמכים המעידים על מחלת אמו, לה מאחל בית המשפט רפואה שלמה והחלמה מהירה. עוד עולה מהמסמכים כי הנאשם סועד את אמו ועושה זאת בתדירות </w:t>
      </w:r>
      <w:r>
        <w:rPr>
          <w:rFonts w:ascii="David" w:hAnsi="David" w:hint="cs"/>
          <w:sz w:val="26"/>
          <w:szCs w:val="26"/>
          <w:rtl/>
        </w:rPr>
        <w:t>יומיומית</w:t>
      </w:r>
      <w:r w:rsidRPr="00D01580">
        <w:rPr>
          <w:rFonts w:ascii="David" w:hAnsi="David" w:hint="cs"/>
          <w:sz w:val="26"/>
          <w:szCs w:val="26"/>
          <w:rtl/>
        </w:rPr>
        <w:t>.</w:t>
      </w:r>
      <w:r>
        <w:rPr>
          <w:rFonts w:ascii="David" w:hAnsi="David" w:hint="cs"/>
          <w:b/>
          <w:bCs/>
          <w:sz w:val="26"/>
          <w:szCs w:val="26"/>
          <w:rtl/>
        </w:rPr>
        <w:t xml:space="preserve"> </w:t>
      </w:r>
    </w:p>
    <w:p w14:paraId="1C352C3B" w14:textId="77777777" w:rsidR="00EA6673" w:rsidRDefault="00EA6673" w:rsidP="00EA6673">
      <w:pPr>
        <w:spacing w:after="160" w:line="360" w:lineRule="auto"/>
        <w:jc w:val="both"/>
        <w:rPr>
          <w:rFonts w:ascii="David" w:hAnsi="David"/>
          <w:b/>
          <w:bCs/>
          <w:sz w:val="26"/>
          <w:szCs w:val="26"/>
          <w:u w:val="single"/>
          <w:rtl/>
        </w:rPr>
      </w:pPr>
    </w:p>
    <w:p w14:paraId="3EEE9E5D" w14:textId="77777777" w:rsidR="00EA6673" w:rsidRDefault="00EA6673" w:rsidP="00EA6673">
      <w:pPr>
        <w:spacing w:after="160" w:line="360" w:lineRule="auto"/>
        <w:jc w:val="both"/>
        <w:rPr>
          <w:rFonts w:ascii="David" w:hAnsi="David"/>
          <w:b/>
          <w:bCs/>
          <w:sz w:val="26"/>
          <w:szCs w:val="26"/>
          <w:u w:val="single"/>
        </w:rPr>
      </w:pPr>
      <w:r>
        <w:rPr>
          <w:rFonts w:ascii="David" w:hAnsi="David"/>
          <w:b/>
          <w:bCs/>
          <w:sz w:val="26"/>
          <w:szCs w:val="26"/>
          <w:u w:val="single"/>
          <w:rtl/>
        </w:rPr>
        <w:t>טיעונים לעונש</w:t>
      </w:r>
    </w:p>
    <w:p w14:paraId="633E21D6" w14:textId="77777777" w:rsidR="00EA6673" w:rsidRDefault="00EA6673" w:rsidP="00EA6673">
      <w:pPr>
        <w:pStyle w:val="a9"/>
        <w:numPr>
          <w:ilvl w:val="0"/>
          <w:numId w:val="2"/>
        </w:numPr>
        <w:spacing w:after="160" w:line="360" w:lineRule="auto"/>
        <w:jc w:val="both"/>
        <w:rPr>
          <w:rFonts w:ascii="David" w:hAnsi="David"/>
          <w:b/>
          <w:bCs/>
          <w:sz w:val="26"/>
          <w:szCs w:val="26"/>
          <w:u w:val="single"/>
          <w:rtl/>
        </w:rPr>
      </w:pPr>
      <w:r>
        <w:rPr>
          <w:rFonts w:ascii="David" w:hAnsi="David"/>
          <w:sz w:val="26"/>
          <w:szCs w:val="26"/>
          <w:rtl/>
        </w:rPr>
        <w:t xml:space="preserve">הצדדים לא הגיעו להסכמה עונשית.  מחד גיסא, ב"כ המאשימה </w:t>
      </w:r>
      <w:r>
        <w:rPr>
          <w:rFonts w:ascii="David" w:hAnsi="David" w:hint="cs"/>
          <w:sz w:val="26"/>
          <w:szCs w:val="26"/>
          <w:rtl/>
        </w:rPr>
        <w:t>עתר לשני מתחמים שבין 4 ל-12 חודשי מאסר לכלל עבירות הסחר ולעבירת ההחזקה שלא לצריכה עצמית ועתר להטיל ע</w:t>
      </w:r>
      <w:r w:rsidRPr="00D01580">
        <w:rPr>
          <w:rFonts w:ascii="David" w:hAnsi="David" w:hint="cs"/>
          <w:sz w:val="26"/>
          <w:szCs w:val="26"/>
          <w:rtl/>
        </w:rPr>
        <w:t>ל הנאשם עבודות שירות בהיקף 8 חודשים וענישה נלווית. מאידך גיסא, ביקש הסניגור</w:t>
      </w:r>
      <w:r w:rsidRPr="00D01580">
        <w:rPr>
          <w:rFonts w:ascii="David" w:hAnsi="David"/>
          <w:sz w:val="26"/>
          <w:szCs w:val="26"/>
          <w:rtl/>
        </w:rPr>
        <w:t xml:space="preserve"> </w:t>
      </w:r>
      <w:r w:rsidRPr="00D01580">
        <w:rPr>
          <w:rFonts w:ascii="David" w:hAnsi="David" w:hint="cs"/>
          <w:sz w:val="26"/>
          <w:szCs w:val="26"/>
          <w:rtl/>
        </w:rPr>
        <w:t>להסתפק בתקופה קצרה יותר של מאסר בעבודות שירות נוכח מכלול הנסיבות שתוארו</w:t>
      </w:r>
      <w:r>
        <w:rPr>
          <w:rFonts w:ascii="David" w:hAnsi="David" w:hint="cs"/>
          <w:sz w:val="26"/>
          <w:szCs w:val="26"/>
          <w:rtl/>
        </w:rPr>
        <w:t xml:space="preserve"> על ידו תוך הפניה לפסיקה</w:t>
      </w:r>
      <w:r w:rsidRPr="00D01580">
        <w:rPr>
          <w:rFonts w:ascii="David" w:hAnsi="David" w:hint="cs"/>
          <w:sz w:val="26"/>
          <w:szCs w:val="26"/>
          <w:rtl/>
        </w:rPr>
        <w:t>.</w:t>
      </w:r>
    </w:p>
    <w:p w14:paraId="61A4F697" w14:textId="77777777" w:rsidR="00EA6673" w:rsidRDefault="00EA6673" w:rsidP="00EA6673">
      <w:pPr>
        <w:spacing w:after="160" w:line="360" w:lineRule="auto"/>
        <w:jc w:val="both"/>
        <w:rPr>
          <w:rFonts w:ascii="David" w:hAnsi="David"/>
          <w:b/>
          <w:bCs/>
          <w:sz w:val="26"/>
          <w:szCs w:val="26"/>
          <w:u w:val="single"/>
          <w:rtl/>
        </w:rPr>
      </w:pPr>
    </w:p>
    <w:p w14:paraId="1094F59F" w14:textId="77777777" w:rsidR="00EA6673" w:rsidRDefault="00EA6673" w:rsidP="00EA6673">
      <w:pPr>
        <w:spacing w:after="160" w:line="360" w:lineRule="auto"/>
        <w:jc w:val="both"/>
        <w:rPr>
          <w:rFonts w:ascii="David" w:hAnsi="David"/>
          <w:b/>
          <w:bCs/>
          <w:sz w:val="26"/>
          <w:szCs w:val="26"/>
          <w:u w:val="single"/>
          <w:rtl/>
        </w:rPr>
      </w:pPr>
      <w:r>
        <w:rPr>
          <w:rFonts w:ascii="David" w:hAnsi="David"/>
          <w:b/>
          <w:bCs/>
          <w:sz w:val="26"/>
          <w:szCs w:val="26"/>
          <w:u w:val="single"/>
          <w:rtl/>
        </w:rPr>
        <w:t>קביעת מתחם הענישה</w:t>
      </w:r>
    </w:p>
    <w:p w14:paraId="3D9F846B" w14:textId="77777777" w:rsidR="00EA6673" w:rsidRDefault="00EA6673" w:rsidP="00EA6673">
      <w:pPr>
        <w:pStyle w:val="a9"/>
        <w:numPr>
          <w:ilvl w:val="0"/>
          <w:numId w:val="2"/>
        </w:numPr>
        <w:spacing w:after="160" w:line="360" w:lineRule="auto"/>
        <w:jc w:val="both"/>
        <w:rPr>
          <w:rFonts w:ascii="David" w:hAnsi="David"/>
          <w:b/>
          <w:bCs/>
          <w:sz w:val="26"/>
          <w:szCs w:val="26"/>
          <w:u w:val="single"/>
          <w:rtl/>
        </w:rPr>
      </w:pPr>
      <w:r>
        <w:rPr>
          <w:rFonts w:ascii="David" w:hAnsi="David"/>
          <w:sz w:val="26"/>
          <w:szCs w:val="26"/>
          <w:rtl/>
        </w:rPr>
        <w:t xml:space="preserve">מתחם הענישה צריך להתייחס לעקרון ההלימה, הנוגע ליחס לערך החברתי המוגן, מידת הפגיעה בו, נסיבות ביצוע העבירה ומידת אשמו של הנאשם, ומדיניות הענישה. </w:t>
      </w:r>
    </w:p>
    <w:p w14:paraId="2BA7C46E" w14:textId="77777777" w:rsidR="00EA6673" w:rsidRDefault="00EA6673" w:rsidP="00EA6673">
      <w:pPr>
        <w:spacing w:after="160" w:line="360" w:lineRule="auto"/>
        <w:jc w:val="both"/>
        <w:rPr>
          <w:rFonts w:ascii="David" w:hAnsi="David"/>
          <w:b/>
          <w:bCs/>
          <w:sz w:val="26"/>
          <w:szCs w:val="26"/>
          <w:u w:val="single"/>
          <w:rtl/>
        </w:rPr>
      </w:pPr>
    </w:p>
    <w:p w14:paraId="5E277558" w14:textId="77777777" w:rsidR="00EA6673" w:rsidRDefault="00EA6673" w:rsidP="00EA6673">
      <w:pPr>
        <w:pStyle w:val="a9"/>
        <w:numPr>
          <w:ilvl w:val="0"/>
          <w:numId w:val="2"/>
        </w:numPr>
        <w:spacing w:after="160" w:line="360" w:lineRule="auto"/>
        <w:jc w:val="both"/>
        <w:rPr>
          <w:rFonts w:ascii="David" w:hAnsi="David"/>
          <w:sz w:val="26"/>
          <w:szCs w:val="26"/>
          <w:rtl/>
        </w:rPr>
      </w:pPr>
      <w:r>
        <w:rPr>
          <w:rFonts w:ascii="David" w:hAnsi="David"/>
          <w:b/>
          <w:bCs/>
          <w:sz w:val="26"/>
          <w:szCs w:val="26"/>
          <w:rtl/>
        </w:rPr>
        <w:lastRenderedPageBreak/>
        <w:t xml:space="preserve">אשר לערך המוגן, </w:t>
      </w:r>
      <w:r>
        <w:rPr>
          <w:rFonts w:ascii="David" w:hAnsi="David"/>
          <w:sz w:val="26"/>
          <w:szCs w:val="26"/>
          <w:rtl/>
        </w:rPr>
        <w:t xml:space="preserve">העבירות אותן עבר הנאשם פוגעות בערך המוגן של </w:t>
      </w:r>
      <w:r>
        <w:rPr>
          <w:rFonts w:ascii="David" w:hAnsi="David" w:hint="cs"/>
          <w:sz w:val="26"/>
          <w:szCs w:val="26"/>
          <w:rtl/>
        </w:rPr>
        <w:t xml:space="preserve">שלום הציבור, בריאותו וביטחונו. סחר בסמים מסוכנים, גם אם הם "קלים" פסול, ובעיקר מסוכן, שכן הוא מחטיא את הציבור ומוביל להכנסת אנשים נוספים למעגל הסמים. ראו בהקשר זה: </w:t>
      </w:r>
      <w:hyperlink r:id="rId15" w:history="1">
        <w:r w:rsidR="00B55E88" w:rsidRPr="00B55E88">
          <w:rPr>
            <w:rFonts w:ascii="David" w:hAnsi="David"/>
            <w:color w:val="0000FF"/>
            <w:sz w:val="26"/>
            <w:szCs w:val="26"/>
            <w:u w:val="single"/>
            <w:rtl/>
          </w:rPr>
          <w:t>רע"פ 4894/21</w:t>
        </w:r>
      </w:hyperlink>
      <w:r>
        <w:rPr>
          <w:rFonts w:ascii="David" w:hAnsi="David" w:hint="cs"/>
          <w:sz w:val="26"/>
          <w:szCs w:val="26"/>
          <w:rtl/>
        </w:rPr>
        <w:t xml:space="preserve"> </w:t>
      </w:r>
      <w:r w:rsidRPr="00B715C9">
        <w:rPr>
          <w:rFonts w:ascii="David" w:hAnsi="David" w:hint="cs"/>
          <w:b/>
          <w:bCs/>
          <w:sz w:val="26"/>
          <w:szCs w:val="26"/>
          <w:rtl/>
        </w:rPr>
        <w:t>אלטוחי נ' מ"י</w:t>
      </w:r>
      <w:r>
        <w:rPr>
          <w:rFonts w:ascii="David" w:hAnsi="David" w:hint="cs"/>
          <w:sz w:val="26"/>
          <w:szCs w:val="26"/>
          <w:rtl/>
        </w:rPr>
        <w:t xml:space="preserve"> (מיום 18.7.2021) בפסקה 8.  בנסיבות העבירות שבוצעו, מידת הפגיעה בערכים המוגנים בינונית-נמוכה.</w:t>
      </w:r>
    </w:p>
    <w:p w14:paraId="2ACD9274" w14:textId="77777777" w:rsidR="00EA6673" w:rsidRDefault="00EA6673" w:rsidP="00EA6673">
      <w:pPr>
        <w:pStyle w:val="a9"/>
        <w:rPr>
          <w:rFonts w:ascii="David" w:hAnsi="David"/>
          <w:sz w:val="26"/>
          <w:szCs w:val="26"/>
          <w:rtl/>
        </w:rPr>
      </w:pPr>
    </w:p>
    <w:p w14:paraId="2B782BAE" w14:textId="77777777" w:rsidR="00EA6673" w:rsidRDefault="00EA6673" w:rsidP="00EA6673">
      <w:pPr>
        <w:spacing w:after="160" w:line="360" w:lineRule="auto"/>
        <w:jc w:val="both"/>
        <w:rPr>
          <w:rFonts w:ascii="David" w:hAnsi="David"/>
          <w:sz w:val="26"/>
          <w:szCs w:val="26"/>
          <w:rtl/>
        </w:rPr>
      </w:pPr>
    </w:p>
    <w:p w14:paraId="3C308D40" w14:textId="77777777" w:rsidR="00EA6673" w:rsidRDefault="00EA6673" w:rsidP="00EA6673">
      <w:pPr>
        <w:pStyle w:val="a9"/>
        <w:numPr>
          <w:ilvl w:val="0"/>
          <w:numId w:val="2"/>
        </w:numPr>
        <w:spacing w:after="160" w:line="360" w:lineRule="auto"/>
        <w:jc w:val="both"/>
        <w:rPr>
          <w:rFonts w:ascii="David" w:hAnsi="David"/>
          <w:sz w:val="26"/>
          <w:szCs w:val="26"/>
        </w:rPr>
      </w:pPr>
      <w:r>
        <w:rPr>
          <w:rFonts w:ascii="David" w:hAnsi="David"/>
          <w:b/>
          <w:bCs/>
          <w:sz w:val="26"/>
          <w:szCs w:val="26"/>
          <w:rtl/>
        </w:rPr>
        <w:t>אשר לנסיבות הקשורות בביצוע העבירה</w:t>
      </w:r>
      <w:r>
        <w:rPr>
          <w:rFonts w:ascii="David" w:hAnsi="David"/>
          <w:sz w:val="26"/>
          <w:szCs w:val="26"/>
          <w:rtl/>
        </w:rPr>
        <w:t>, בין הנסיבות הקשורות בביצוע העבירה יש לשקול את אלה, לעניין קביעת המתחם:</w:t>
      </w:r>
      <w:r>
        <w:rPr>
          <w:rFonts w:ascii="David" w:hAnsi="David" w:hint="cs"/>
          <w:sz w:val="26"/>
          <w:szCs w:val="26"/>
          <w:rtl/>
        </w:rPr>
        <w:t xml:space="preserve"> מדובר בעבירות מתכוננות שבוצעו באופן "מקצועי" מתוך מניע כלכלי. הנאשם תכנן למכור את הסמים לכל דורש, ואך במזל ה"קליינטים" היו שוטרים במסווה, כך שמידת הנזק שנגרמה בפועל נמוכה, אם כי הנאשם היה אדיש לאפשרות שלקוחותיו יהיו אנשים תמימים שעלולים להינזק באופן משמעותי מצריכת הסמים. אמנם מדובר ב"סם קל" אך אין מדובר בכמויות זניחות בכל עסקה. הנאשם אחראי באופן מלא למעשיו. </w:t>
      </w:r>
    </w:p>
    <w:p w14:paraId="2DA79E54" w14:textId="77777777" w:rsidR="00EA6673" w:rsidRPr="00B715C9" w:rsidRDefault="00EA6673" w:rsidP="00EA6673">
      <w:pPr>
        <w:pStyle w:val="a9"/>
        <w:spacing w:after="160" w:line="360" w:lineRule="auto"/>
        <w:ind w:left="360"/>
        <w:jc w:val="both"/>
        <w:rPr>
          <w:rFonts w:ascii="David" w:hAnsi="David"/>
          <w:sz w:val="26"/>
          <w:szCs w:val="26"/>
        </w:rPr>
      </w:pPr>
    </w:p>
    <w:p w14:paraId="1271BA56" w14:textId="77777777" w:rsidR="00EA6673" w:rsidRDefault="00EA6673" w:rsidP="00EA6673">
      <w:pPr>
        <w:pStyle w:val="a9"/>
        <w:numPr>
          <w:ilvl w:val="0"/>
          <w:numId w:val="2"/>
        </w:numPr>
        <w:spacing w:after="160" w:line="360" w:lineRule="auto"/>
        <w:jc w:val="both"/>
        <w:rPr>
          <w:rFonts w:ascii="David" w:hAnsi="David"/>
          <w:sz w:val="26"/>
          <w:szCs w:val="26"/>
          <w:rtl/>
        </w:rPr>
      </w:pPr>
      <w:r>
        <w:rPr>
          <w:rFonts w:ascii="David" w:hAnsi="David"/>
          <w:b/>
          <w:bCs/>
          <w:sz w:val="26"/>
          <w:szCs w:val="26"/>
          <w:rtl/>
        </w:rPr>
        <w:t xml:space="preserve">אשר למדיניות הענישה הנוהגת, </w:t>
      </w:r>
      <w:r>
        <w:rPr>
          <w:rFonts w:ascii="David" w:hAnsi="David"/>
          <w:sz w:val="26"/>
          <w:szCs w:val="26"/>
          <w:rtl/>
        </w:rPr>
        <w:t xml:space="preserve">סקירת הפסיקה בנסיבות דומות מלמדת על טווח עונשי </w:t>
      </w:r>
      <w:r>
        <w:rPr>
          <w:rFonts w:ascii="David" w:hAnsi="David" w:hint="cs"/>
          <w:sz w:val="26"/>
          <w:szCs w:val="26"/>
          <w:rtl/>
        </w:rPr>
        <w:t xml:space="preserve">שבין של"ץ (במקרי חריגה מהמתחם מטעמי שיקום) ועד מאסר בפועל. "דרך המלך" היא מאסר בעבודות שירות. </w:t>
      </w:r>
    </w:p>
    <w:p w14:paraId="30062319" w14:textId="77777777" w:rsidR="00EA6673" w:rsidRPr="00C17CF6" w:rsidRDefault="00B55E88" w:rsidP="00EA6673">
      <w:pPr>
        <w:pStyle w:val="a9"/>
        <w:numPr>
          <w:ilvl w:val="0"/>
          <w:numId w:val="4"/>
        </w:numPr>
        <w:spacing w:after="160" w:line="360" w:lineRule="auto"/>
        <w:jc w:val="both"/>
        <w:rPr>
          <w:rFonts w:ascii="David" w:hAnsi="David"/>
          <w:sz w:val="26"/>
          <w:szCs w:val="26"/>
          <w:rtl/>
        </w:rPr>
      </w:pPr>
      <w:hyperlink r:id="rId16" w:history="1">
        <w:r w:rsidRPr="00B55E88">
          <w:rPr>
            <w:rFonts w:ascii="David" w:hAnsi="David"/>
            <w:color w:val="0000FF"/>
            <w:sz w:val="26"/>
            <w:szCs w:val="26"/>
            <w:u w:val="single"/>
            <w:rtl/>
          </w:rPr>
          <w:t>רע"פ 4894/21</w:t>
        </w:r>
      </w:hyperlink>
      <w:r w:rsidR="00EA6673" w:rsidRPr="00C17CF6">
        <w:rPr>
          <w:rFonts w:ascii="David" w:hAnsi="David" w:hint="cs"/>
          <w:sz w:val="26"/>
          <w:szCs w:val="26"/>
          <w:rtl/>
        </w:rPr>
        <w:t xml:space="preserve"> </w:t>
      </w:r>
      <w:r w:rsidR="00EA6673" w:rsidRPr="00C17CF6">
        <w:rPr>
          <w:rFonts w:ascii="David" w:hAnsi="David" w:hint="cs"/>
          <w:b/>
          <w:bCs/>
          <w:sz w:val="26"/>
          <w:szCs w:val="26"/>
          <w:rtl/>
        </w:rPr>
        <w:t>אלטוחי נ' מ"י</w:t>
      </w:r>
      <w:r w:rsidR="00EA6673" w:rsidRPr="00C17CF6">
        <w:rPr>
          <w:rFonts w:ascii="David" w:hAnsi="David" w:hint="cs"/>
          <w:sz w:val="26"/>
          <w:szCs w:val="26"/>
          <w:rtl/>
        </w:rPr>
        <w:t xml:space="preserve"> (מיום 18.7.2021) </w:t>
      </w:r>
      <w:r w:rsidR="00EA6673" w:rsidRPr="00C17CF6">
        <w:rPr>
          <w:rFonts w:ascii="David" w:hAnsi="David"/>
          <w:sz w:val="26"/>
          <w:szCs w:val="26"/>
          <w:rtl/>
        </w:rPr>
        <w:t>–</w:t>
      </w:r>
      <w:r w:rsidR="00EA6673" w:rsidRPr="00C17CF6">
        <w:rPr>
          <w:rFonts w:ascii="David" w:hAnsi="David" w:hint="cs"/>
          <w:sz w:val="26"/>
          <w:szCs w:val="26"/>
          <w:rtl/>
        </w:rPr>
        <w:t xml:space="preserve"> נסיבות חמורות ממקרנו של סחר ב-12 פלטות חשיש (כק"ג), בהן אושרה עמדת המאשימה שהגבילה עצמה ל-13 חודשי מאסר ואושר עונש של שנת מאסר.</w:t>
      </w:r>
    </w:p>
    <w:p w14:paraId="767D5636" w14:textId="77777777" w:rsidR="00EA6673" w:rsidRPr="00C17CF6" w:rsidRDefault="00B55E88" w:rsidP="00EA6673">
      <w:pPr>
        <w:pStyle w:val="a9"/>
        <w:numPr>
          <w:ilvl w:val="0"/>
          <w:numId w:val="4"/>
        </w:numPr>
        <w:spacing w:after="160" w:line="360" w:lineRule="auto"/>
        <w:jc w:val="both"/>
        <w:rPr>
          <w:rFonts w:ascii="David" w:hAnsi="David"/>
          <w:sz w:val="26"/>
          <w:szCs w:val="26"/>
          <w:rtl/>
        </w:rPr>
      </w:pPr>
      <w:hyperlink r:id="rId17" w:history="1">
        <w:r w:rsidRPr="00B55E88">
          <w:rPr>
            <w:rFonts w:ascii="David" w:hAnsi="David"/>
            <w:color w:val="0000FF"/>
            <w:sz w:val="26"/>
            <w:szCs w:val="26"/>
            <w:u w:val="single"/>
            <w:rtl/>
          </w:rPr>
          <w:t>רע"פ 6401/18</w:t>
        </w:r>
      </w:hyperlink>
      <w:r w:rsidR="00EA6673" w:rsidRPr="00C17CF6">
        <w:rPr>
          <w:rFonts w:ascii="David" w:hAnsi="David" w:hint="cs"/>
          <w:sz w:val="26"/>
          <w:szCs w:val="26"/>
          <w:rtl/>
        </w:rPr>
        <w:t xml:space="preserve"> </w:t>
      </w:r>
      <w:r w:rsidR="00EA6673" w:rsidRPr="00C17CF6">
        <w:rPr>
          <w:rFonts w:ascii="David" w:hAnsi="David" w:hint="cs"/>
          <w:b/>
          <w:bCs/>
          <w:sz w:val="26"/>
          <w:szCs w:val="26"/>
          <w:rtl/>
        </w:rPr>
        <w:t>ספיר נ' מ"י</w:t>
      </w:r>
      <w:r w:rsidR="00EA6673" w:rsidRPr="00C17CF6">
        <w:rPr>
          <w:rFonts w:ascii="David" w:hAnsi="David" w:hint="cs"/>
          <w:sz w:val="26"/>
          <w:szCs w:val="26"/>
          <w:rtl/>
        </w:rPr>
        <w:t xml:space="preserve"> (מיום 17.9.2018) </w:t>
      </w:r>
      <w:r w:rsidR="00EA6673" w:rsidRPr="00C17CF6">
        <w:rPr>
          <w:rFonts w:ascii="David" w:hAnsi="David"/>
          <w:sz w:val="26"/>
          <w:szCs w:val="26"/>
          <w:rtl/>
        </w:rPr>
        <w:t>–</w:t>
      </w:r>
      <w:r w:rsidR="00EA6673" w:rsidRPr="00C17CF6">
        <w:rPr>
          <w:rFonts w:ascii="David" w:hAnsi="David" w:hint="cs"/>
          <w:sz w:val="26"/>
          <w:szCs w:val="26"/>
          <w:rtl/>
        </w:rPr>
        <w:t xml:space="preserve"> מקרה חמור ממקרנו של ריבוי מעשי סחר בקנביס בהיקפים נרחבים. אושר מתחם שבין 16 ל-36 חודשי מאסר ועונש של שנת מאסר.</w:t>
      </w:r>
    </w:p>
    <w:p w14:paraId="4161578B" w14:textId="77777777" w:rsidR="00EA6673" w:rsidRPr="00C17CF6" w:rsidRDefault="00EA6673" w:rsidP="00EA6673">
      <w:pPr>
        <w:pStyle w:val="a9"/>
        <w:numPr>
          <w:ilvl w:val="0"/>
          <w:numId w:val="4"/>
        </w:numPr>
        <w:spacing w:after="160" w:line="360" w:lineRule="auto"/>
        <w:jc w:val="both"/>
        <w:rPr>
          <w:rFonts w:ascii="David" w:hAnsi="David"/>
          <w:sz w:val="26"/>
          <w:szCs w:val="26"/>
          <w:rtl/>
        </w:rPr>
      </w:pPr>
      <w:r w:rsidRPr="00C17CF6">
        <w:rPr>
          <w:rFonts w:ascii="David" w:hAnsi="David" w:hint="cs"/>
          <w:sz w:val="26"/>
          <w:szCs w:val="26"/>
          <w:rtl/>
        </w:rPr>
        <w:t xml:space="preserve">עפ"ג (ירושלים) 13953-06-19 </w:t>
      </w:r>
      <w:r w:rsidRPr="00C17CF6">
        <w:rPr>
          <w:rFonts w:ascii="David" w:hAnsi="David" w:hint="cs"/>
          <w:b/>
          <w:bCs/>
          <w:sz w:val="26"/>
          <w:szCs w:val="26"/>
          <w:rtl/>
        </w:rPr>
        <w:t>מדינה נ' מ"י</w:t>
      </w:r>
      <w:r w:rsidRPr="00C17CF6">
        <w:rPr>
          <w:rFonts w:ascii="David" w:hAnsi="David" w:hint="cs"/>
          <w:sz w:val="26"/>
          <w:szCs w:val="26"/>
          <w:rtl/>
        </w:rPr>
        <w:t xml:space="preserve"> (מיום 14.6.2020) </w:t>
      </w:r>
      <w:r w:rsidRPr="00C17CF6">
        <w:rPr>
          <w:rFonts w:ascii="David" w:hAnsi="David"/>
          <w:sz w:val="26"/>
          <w:szCs w:val="26"/>
          <w:rtl/>
        </w:rPr>
        <w:t>–</w:t>
      </w:r>
      <w:r w:rsidRPr="00C17CF6">
        <w:rPr>
          <w:rFonts w:ascii="David" w:hAnsi="David" w:hint="cs"/>
          <w:sz w:val="26"/>
          <w:szCs w:val="26"/>
          <w:rtl/>
        </w:rPr>
        <w:t xml:space="preserve"> על נאשם נגזרו 8 חודשי עבודות שירות על-ידי בנסיבות של ריבוי עבירות סחר בקנביס וצבירת רווחים כספיים משמעותיים. בית המשפט המחוזי דחה את ערעור הנאשם.</w:t>
      </w:r>
    </w:p>
    <w:p w14:paraId="4E684823" w14:textId="77777777" w:rsidR="00EA6673" w:rsidRPr="00C17CF6" w:rsidRDefault="00EA6673" w:rsidP="00EA6673">
      <w:pPr>
        <w:pStyle w:val="a9"/>
        <w:numPr>
          <w:ilvl w:val="0"/>
          <w:numId w:val="4"/>
        </w:numPr>
        <w:spacing w:after="160" w:line="360" w:lineRule="auto"/>
        <w:jc w:val="both"/>
        <w:rPr>
          <w:rFonts w:ascii="David" w:hAnsi="David"/>
          <w:sz w:val="26"/>
          <w:szCs w:val="26"/>
          <w:rtl/>
        </w:rPr>
      </w:pPr>
      <w:r w:rsidRPr="00C17CF6">
        <w:rPr>
          <w:rFonts w:ascii="David" w:hAnsi="David" w:hint="cs"/>
          <w:sz w:val="26"/>
          <w:szCs w:val="26"/>
          <w:rtl/>
        </w:rPr>
        <w:t xml:space="preserve">עפ"ג (ירושלים) 11045-09-18 </w:t>
      </w:r>
      <w:r w:rsidRPr="00C17CF6">
        <w:rPr>
          <w:rFonts w:ascii="David" w:hAnsi="David" w:hint="cs"/>
          <w:b/>
          <w:bCs/>
          <w:sz w:val="26"/>
          <w:szCs w:val="26"/>
          <w:rtl/>
        </w:rPr>
        <w:t>פלוני נ' מ"י</w:t>
      </w:r>
      <w:r w:rsidRPr="00C17CF6">
        <w:rPr>
          <w:rFonts w:ascii="David" w:hAnsi="David" w:hint="cs"/>
          <w:sz w:val="26"/>
          <w:szCs w:val="26"/>
          <w:rtl/>
        </w:rPr>
        <w:t xml:space="preserve"> (מיום 3.3.2019) </w:t>
      </w:r>
      <w:r w:rsidRPr="00C17CF6">
        <w:rPr>
          <w:rFonts w:ascii="David" w:hAnsi="David"/>
          <w:sz w:val="26"/>
          <w:szCs w:val="26"/>
          <w:rtl/>
        </w:rPr>
        <w:t>–</w:t>
      </w:r>
      <w:r w:rsidRPr="00C17CF6">
        <w:rPr>
          <w:rFonts w:ascii="David" w:hAnsi="David" w:hint="cs"/>
          <w:sz w:val="26"/>
          <w:szCs w:val="26"/>
          <w:rtl/>
        </w:rPr>
        <w:t xml:space="preserve"> בית המשפט המחוזי ביטל הרשעת נאשם שהורשע בעסקאות בקנביס בכמויות גדולות בהרבה ממקרנו, והסתפק בשל"ץ בהיקף 380 שעות וענישה נוספת.</w:t>
      </w:r>
    </w:p>
    <w:p w14:paraId="11A43BFD" w14:textId="77777777" w:rsidR="00EA6673" w:rsidRDefault="00EA6673" w:rsidP="00EA6673">
      <w:pPr>
        <w:spacing w:after="160" w:line="360" w:lineRule="auto"/>
        <w:jc w:val="both"/>
        <w:rPr>
          <w:rFonts w:ascii="David" w:hAnsi="David"/>
          <w:sz w:val="26"/>
          <w:szCs w:val="26"/>
          <w:rtl/>
        </w:rPr>
      </w:pPr>
    </w:p>
    <w:p w14:paraId="649E0125" w14:textId="77777777" w:rsidR="00EA6673" w:rsidRDefault="00EA6673" w:rsidP="00EA6673">
      <w:pPr>
        <w:pStyle w:val="a9"/>
        <w:numPr>
          <w:ilvl w:val="0"/>
          <w:numId w:val="2"/>
        </w:numPr>
        <w:spacing w:after="160" w:line="360" w:lineRule="auto"/>
        <w:jc w:val="both"/>
        <w:rPr>
          <w:rFonts w:ascii="David" w:hAnsi="David"/>
          <w:sz w:val="26"/>
          <w:szCs w:val="26"/>
        </w:rPr>
      </w:pPr>
      <w:r>
        <w:rPr>
          <w:rFonts w:ascii="David" w:hAnsi="David"/>
          <w:b/>
          <w:bCs/>
          <w:sz w:val="26"/>
          <w:szCs w:val="26"/>
          <w:rtl/>
        </w:rPr>
        <w:lastRenderedPageBreak/>
        <w:t>מתחם הענישה</w:t>
      </w:r>
      <w:r>
        <w:rPr>
          <w:rFonts w:ascii="David" w:hAnsi="David"/>
          <w:sz w:val="26"/>
          <w:szCs w:val="26"/>
          <w:rtl/>
        </w:rPr>
        <w:t xml:space="preserve"> – לפיכך, מתחם הענישה צריך לעמוד על </w:t>
      </w:r>
      <w:r>
        <w:rPr>
          <w:rFonts w:ascii="David" w:hAnsi="David" w:hint="cs"/>
          <w:sz w:val="26"/>
          <w:szCs w:val="26"/>
          <w:rtl/>
        </w:rPr>
        <w:t xml:space="preserve">4 חודשי מאסר ועד לשנת מאסר, כאשר מדובר במתחם אחד למכלול העבירות נוכח שיטת הפעולה והמועדים הסמוכים המבססים קיום קשר הדוק בין המעשים. </w:t>
      </w:r>
    </w:p>
    <w:p w14:paraId="1C9ED70A" w14:textId="77777777" w:rsidR="00EA6673" w:rsidRDefault="00EA6673" w:rsidP="00EA6673">
      <w:pPr>
        <w:spacing w:after="160" w:line="360" w:lineRule="auto"/>
        <w:jc w:val="both"/>
        <w:rPr>
          <w:rFonts w:ascii="David" w:hAnsi="David"/>
          <w:b/>
          <w:bCs/>
          <w:sz w:val="26"/>
          <w:szCs w:val="26"/>
          <w:rtl/>
        </w:rPr>
      </w:pPr>
    </w:p>
    <w:p w14:paraId="14AC5202" w14:textId="77777777" w:rsidR="00EA6673" w:rsidRDefault="00EA6673" w:rsidP="00EA6673">
      <w:pPr>
        <w:spacing w:after="160" w:line="360" w:lineRule="auto"/>
        <w:jc w:val="both"/>
        <w:rPr>
          <w:rFonts w:ascii="David" w:hAnsi="David"/>
          <w:b/>
          <w:bCs/>
          <w:sz w:val="26"/>
          <w:szCs w:val="26"/>
          <w:rtl/>
        </w:rPr>
      </w:pPr>
    </w:p>
    <w:p w14:paraId="31D2D31F" w14:textId="77777777" w:rsidR="00EA6673" w:rsidRDefault="00EA6673" w:rsidP="00EA6673">
      <w:pPr>
        <w:spacing w:after="160" w:line="360" w:lineRule="auto"/>
        <w:jc w:val="both"/>
        <w:rPr>
          <w:rFonts w:ascii="David" w:hAnsi="David"/>
          <w:b/>
          <w:bCs/>
          <w:sz w:val="26"/>
          <w:szCs w:val="26"/>
          <w:u w:val="single"/>
          <w:rtl/>
        </w:rPr>
      </w:pPr>
      <w:r>
        <w:rPr>
          <w:rFonts w:ascii="David" w:hAnsi="David"/>
          <w:b/>
          <w:bCs/>
          <w:sz w:val="26"/>
          <w:szCs w:val="26"/>
          <w:u w:val="single"/>
          <w:rtl/>
        </w:rPr>
        <w:t xml:space="preserve">נסיבות שאינן קשורות בביצוע העבירה </w:t>
      </w:r>
      <w:r>
        <w:rPr>
          <w:rFonts w:ascii="David" w:hAnsi="David" w:hint="cs"/>
          <w:b/>
          <w:bCs/>
          <w:sz w:val="26"/>
          <w:szCs w:val="26"/>
          <w:u w:val="single"/>
          <w:rtl/>
        </w:rPr>
        <w:t>והמיקום במתחם</w:t>
      </w:r>
    </w:p>
    <w:p w14:paraId="7FFA0F2B" w14:textId="77777777" w:rsidR="00EA6673" w:rsidRDefault="00EA6673" w:rsidP="00EA6673">
      <w:pPr>
        <w:pStyle w:val="a9"/>
        <w:numPr>
          <w:ilvl w:val="0"/>
          <w:numId w:val="2"/>
        </w:numPr>
        <w:spacing w:after="160" w:line="360" w:lineRule="auto"/>
        <w:jc w:val="both"/>
        <w:rPr>
          <w:rFonts w:ascii="David" w:hAnsi="David"/>
          <w:sz w:val="26"/>
          <w:szCs w:val="26"/>
          <w:rtl/>
        </w:rPr>
      </w:pPr>
      <w:r>
        <w:rPr>
          <w:rFonts w:ascii="David" w:hAnsi="David"/>
          <w:sz w:val="26"/>
          <w:szCs w:val="26"/>
          <w:rtl/>
        </w:rPr>
        <w:t>ניתן  לתת משקל לנסיבות הבאות שאינן קשורות בביצוע העבירה, במסגרת גזירת העונש בתוך המתחם:</w:t>
      </w:r>
      <w:r>
        <w:rPr>
          <w:rFonts w:ascii="David" w:hAnsi="David" w:hint="cs"/>
          <w:sz w:val="26"/>
          <w:szCs w:val="26"/>
          <w:rtl/>
        </w:rPr>
        <w:t xml:space="preserve"> מצד אחד ולקולה, הודאת הנאשם במיוחס לו, היעדר הפרה של תנאי השחרור לאורך תקופה ומידה מסוימת של שיתוף פעולה עם שירות המבחן. כמו כן אזקוף לזכותו את מגמת ההתייצבות במצבו, ואת התמודדותו הלא פשוטה עם נסיבות חייו, וכיום עם מחלת אמו. מצד שני ולחומרה, העובדה ששיתוף הפעולה עם שירות המבחן ידע ניתוקים רבים, נמצאו בדיקות חיוביות לקנביס ועברו הפלילי של הנאשם. במכלול הנסיבות סברתי שיש למקם את הנאשם עד לאמצע המתחם.</w:t>
      </w:r>
    </w:p>
    <w:p w14:paraId="3724ECB1" w14:textId="77777777" w:rsidR="00EA6673" w:rsidRDefault="00EA6673" w:rsidP="00EA6673">
      <w:pPr>
        <w:spacing w:after="160" w:line="360" w:lineRule="auto"/>
        <w:jc w:val="both"/>
        <w:rPr>
          <w:rFonts w:ascii="David" w:hAnsi="David"/>
          <w:b/>
          <w:bCs/>
          <w:sz w:val="26"/>
          <w:szCs w:val="26"/>
          <w:u w:val="single"/>
          <w:rtl/>
        </w:rPr>
      </w:pPr>
    </w:p>
    <w:p w14:paraId="1E9916BF" w14:textId="77777777" w:rsidR="00EA6673" w:rsidRDefault="00EA6673" w:rsidP="00EA6673">
      <w:pPr>
        <w:spacing w:after="160" w:line="360" w:lineRule="auto"/>
        <w:jc w:val="both"/>
        <w:rPr>
          <w:rFonts w:ascii="David" w:hAnsi="David"/>
          <w:b/>
          <w:bCs/>
          <w:sz w:val="26"/>
          <w:szCs w:val="26"/>
          <w:u w:val="single"/>
          <w:rtl/>
        </w:rPr>
      </w:pPr>
      <w:r>
        <w:rPr>
          <w:rFonts w:ascii="David" w:hAnsi="David"/>
          <w:b/>
          <w:bCs/>
          <w:sz w:val="26"/>
          <w:szCs w:val="26"/>
          <w:u w:val="single"/>
          <w:rtl/>
        </w:rPr>
        <w:t>גזירת הדין</w:t>
      </w:r>
    </w:p>
    <w:p w14:paraId="720A6C0F" w14:textId="77777777" w:rsidR="00EA6673" w:rsidRDefault="00EA6673" w:rsidP="00EA6673">
      <w:pPr>
        <w:pStyle w:val="a9"/>
        <w:numPr>
          <w:ilvl w:val="0"/>
          <w:numId w:val="2"/>
        </w:numPr>
        <w:spacing w:after="160" w:line="360" w:lineRule="auto"/>
        <w:jc w:val="both"/>
        <w:rPr>
          <w:rFonts w:ascii="David" w:hAnsi="David"/>
          <w:sz w:val="26"/>
          <w:szCs w:val="26"/>
          <w:rtl/>
        </w:rPr>
      </w:pPr>
      <w:r>
        <w:rPr>
          <w:rFonts w:ascii="David" w:hAnsi="David"/>
          <w:sz w:val="26"/>
          <w:szCs w:val="26"/>
          <w:rtl/>
        </w:rPr>
        <w:t>לפיכך, אני מחליט לגזור על הנאשם את העונשים הבאים:</w:t>
      </w:r>
    </w:p>
    <w:p w14:paraId="14E07104" w14:textId="77777777" w:rsidR="00EA6673" w:rsidRDefault="00EA6673" w:rsidP="00EA6673">
      <w:pPr>
        <w:numPr>
          <w:ilvl w:val="0"/>
          <w:numId w:val="1"/>
        </w:numPr>
        <w:spacing w:after="160" w:line="360" w:lineRule="auto"/>
        <w:contextualSpacing/>
        <w:jc w:val="both"/>
        <w:rPr>
          <w:rFonts w:ascii="David" w:hAnsi="David"/>
          <w:sz w:val="26"/>
          <w:szCs w:val="26"/>
          <w:rtl/>
        </w:rPr>
      </w:pPr>
      <w:r w:rsidRPr="0024314C">
        <w:rPr>
          <w:rFonts w:ascii="David" w:hAnsi="David" w:hint="cs"/>
          <w:b/>
          <w:bCs/>
          <w:sz w:val="26"/>
          <w:szCs w:val="26"/>
          <w:rtl/>
        </w:rPr>
        <w:t xml:space="preserve">5 </w:t>
      </w:r>
      <w:r w:rsidRPr="0024314C">
        <w:rPr>
          <w:rFonts w:ascii="David" w:hAnsi="David"/>
          <w:b/>
          <w:bCs/>
          <w:sz w:val="26"/>
          <w:szCs w:val="26"/>
          <w:rtl/>
        </w:rPr>
        <w:t>חודשי מאסר, אשר ירוצו בעבודות שירות ב</w:t>
      </w:r>
      <w:r w:rsidRPr="0024314C">
        <w:rPr>
          <w:rFonts w:ascii="David" w:hAnsi="David" w:hint="cs"/>
          <w:b/>
          <w:bCs/>
          <w:sz w:val="26"/>
          <w:szCs w:val="26"/>
          <w:rtl/>
        </w:rPr>
        <w:t>מפעל חיים בירושלים</w:t>
      </w:r>
      <w:r w:rsidRPr="0024314C">
        <w:rPr>
          <w:rFonts w:ascii="David" w:hAnsi="David"/>
          <w:b/>
          <w:bCs/>
          <w:sz w:val="26"/>
          <w:szCs w:val="26"/>
          <w:rtl/>
        </w:rPr>
        <w:t>, וזאת על פי חוות דעת הממונה על עבודות השירות</w:t>
      </w:r>
      <w:r w:rsidRPr="0024314C">
        <w:rPr>
          <w:rFonts w:ascii="David" w:hAnsi="David" w:hint="cs"/>
          <w:b/>
          <w:bCs/>
          <w:sz w:val="26"/>
          <w:szCs w:val="26"/>
          <w:rtl/>
        </w:rPr>
        <w:t xml:space="preserve"> בניכוי ימי מעצרו בתיק זה ע"פ חישוב שב"ס שיכריע</w:t>
      </w:r>
      <w:r>
        <w:rPr>
          <w:rFonts w:ascii="David" w:hAnsi="David"/>
          <w:sz w:val="26"/>
          <w:szCs w:val="26"/>
          <w:rtl/>
        </w:rPr>
        <w:t xml:space="preserve">. על הנאשם להתייצב ביום </w:t>
      </w:r>
      <w:r>
        <w:rPr>
          <w:rFonts w:ascii="David" w:hAnsi="David" w:hint="cs"/>
          <w:sz w:val="26"/>
          <w:szCs w:val="26"/>
          <w:rtl/>
        </w:rPr>
        <w:t>1.4.2024</w:t>
      </w:r>
      <w:r>
        <w:rPr>
          <w:rFonts w:ascii="David" w:hAnsi="David"/>
          <w:sz w:val="26"/>
          <w:szCs w:val="26"/>
          <w:rtl/>
        </w:rPr>
        <w:t xml:space="preserve"> עד לשעה 08:00 במשרד הממונה על עבודות שירות בבאר שבע לתחילת ריצוי עונשו. מובהר בזה כי הפרת הוראות הממונה ואי עמידה בכללים הנוגעים לריצוי עבודות השירות עלולים להביא להפקעת העבודות ולהמרת העונש בעונש מאסר של ממש;</w:t>
      </w:r>
    </w:p>
    <w:p w14:paraId="015C59C8" w14:textId="77777777" w:rsidR="00EA6673" w:rsidRDefault="00EA6673" w:rsidP="00EA6673">
      <w:pPr>
        <w:numPr>
          <w:ilvl w:val="0"/>
          <w:numId w:val="1"/>
        </w:numPr>
        <w:spacing w:after="160" w:line="360" w:lineRule="auto"/>
        <w:contextualSpacing/>
        <w:jc w:val="both"/>
        <w:rPr>
          <w:rFonts w:ascii="David" w:hAnsi="David"/>
          <w:sz w:val="26"/>
          <w:szCs w:val="26"/>
          <w:rtl/>
        </w:rPr>
      </w:pPr>
      <w:r>
        <w:rPr>
          <w:rFonts w:ascii="David" w:hAnsi="David" w:hint="cs"/>
          <w:sz w:val="26"/>
          <w:szCs w:val="26"/>
          <w:rtl/>
        </w:rPr>
        <w:t xml:space="preserve">7 </w:t>
      </w:r>
      <w:r>
        <w:rPr>
          <w:rFonts w:ascii="David" w:hAnsi="David"/>
          <w:sz w:val="26"/>
          <w:szCs w:val="26"/>
          <w:rtl/>
        </w:rPr>
        <w:t xml:space="preserve">חודשי מאסר על-תנאי, שלא יעבור הנאשם בתוך </w:t>
      </w:r>
      <w:r>
        <w:rPr>
          <w:rFonts w:ascii="David" w:hAnsi="David" w:hint="cs"/>
          <w:sz w:val="26"/>
          <w:szCs w:val="26"/>
          <w:rtl/>
        </w:rPr>
        <w:t xml:space="preserve">3 </w:t>
      </w:r>
      <w:r>
        <w:rPr>
          <w:rFonts w:ascii="David" w:hAnsi="David"/>
          <w:sz w:val="26"/>
          <w:szCs w:val="26"/>
          <w:rtl/>
        </w:rPr>
        <w:t xml:space="preserve">שנים מסיום עבודות השירות כל </w:t>
      </w:r>
      <w:r>
        <w:rPr>
          <w:rFonts w:ascii="David" w:hAnsi="David" w:hint="cs"/>
          <w:sz w:val="26"/>
          <w:szCs w:val="26"/>
          <w:rtl/>
        </w:rPr>
        <w:t>עבירת סמים מסוג פשע</w:t>
      </w:r>
      <w:r>
        <w:rPr>
          <w:rFonts w:ascii="David" w:hAnsi="David"/>
          <w:sz w:val="26"/>
          <w:szCs w:val="26"/>
          <w:rtl/>
        </w:rPr>
        <w:t>;</w:t>
      </w:r>
    </w:p>
    <w:p w14:paraId="4EED1164" w14:textId="77777777" w:rsidR="00EA6673" w:rsidRDefault="00EA6673" w:rsidP="00EA6673">
      <w:pPr>
        <w:numPr>
          <w:ilvl w:val="0"/>
          <w:numId w:val="1"/>
        </w:numPr>
        <w:spacing w:after="160" w:line="360" w:lineRule="auto"/>
        <w:contextualSpacing/>
        <w:jc w:val="both"/>
        <w:rPr>
          <w:rFonts w:ascii="David" w:hAnsi="David"/>
          <w:sz w:val="26"/>
          <w:szCs w:val="26"/>
          <w:rtl/>
        </w:rPr>
      </w:pPr>
      <w:r>
        <w:rPr>
          <w:rFonts w:ascii="David" w:hAnsi="David"/>
          <w:sz w:val="26"/>
          <w:szCs w:val="26"/>
          <w:rtl/>
        </w:rPr>
        <w:t xml:space="preserve">קנס בסך </w:t>
      </w:r>
      <w:r>
        <w:rPr>
          <w:rFonts w:ascii="David" w:hAnsi="David" w:hint="cs"/>
          <w:sz w:val="26"/>
          <w:szCs w:val="26"/>
          <w:rtl/>
        </w:rPr>
        <w:t xml:space="preserve">2,500 </w:t>
      </w:r>
      <w:r>
        <w:rPr>
          <w:rFonts w:ascii="David" w:hAnsi="David"/>
          <w:sz w:val="26"/>
          <w:szCs w:val="26"/>
          <w:rtl/>
        </w:rPr>
        <w:t xml:space="preserve">₪, או </w:t>
      </w:r>
      <w:r>
        <w:rPr>
          <w:rFonts w:ascii="David" w:hAnsi="David" w:hint="cs"/>
          <w:sz w:val="26"/>
          <w:szCs w:val="26"/>
          <w:rtl/>
        </w:rPr>
        <w:t xml:space="preserve">10 </w:t>
      </w:r>
      <w:r>
        <w:rPr>
          <w:rFonts w:ascii="David" w:hAnsi="David"/>
          <w:sz w:val="26"/>
          <w:szCs w:val="26"/>
          <w:rtl/>
        </w:rPr>
        <w:t xml:space="preserve">ימי מאסר תמורתו אם לא ישולם. </w:t>
      </w:r>
      <w:r>
        <w:rPr>
          <w:rFonts w:ascii="David" w:hAnsi="David" w:hint="cs"/>
          <w:sz w:val="26"/>
          <w:szCs w:val="26"/>
          <w:rtl/>
        </w:rPr>
        <w:t>הקנס ישולם עד ליום 1.4.24;</w:t>
      </w:r>
    </w:p>
    <w:p w14:paraId="77C10AF5" w14:textId="77777777" w:rsidR="00EA6673" w:rsidRDefault="00EA6673" w:rsidP="00EA6673">
      <w:pPr>
        <w:numPr>
          <w:ilvl w:val="0"/>
          <w:numId w:val="1"/>
        </w:numPr>
        <w:spacing w:after="160" w:line="360" w:lineRule="auto"/>
        <w:contextualSpacing/>
        <w:jc w:val="both"/>
        <w:rPr>
          <w:rFonts w:ascii="David" w:hAnsi="David"/>
          <w:sz w:val="26"/>
          <w:szCs w:val="26"/>
        </w:rPr>
      </w:pPr>
      <w:r>
        <w:rPr>
          <w:rFonts w:ascii="David" w:hAnsi="David"/>
          <w:sz w:val="26"/>
          <w:szCs w:val="26"/>
          <w:rtl/>
        </w:rPr>
        <w:t>התחייבות בסך</w:t>
      </w:r>
      <w:r>
        <w:rPr>
          <w:rFonts w:ascii="David" w:hAnsi="David" w:hint="cs"/>
          <w:sz w:val="26"/>
          <w:szCs w:val="26"/>
          <w:rtl/>
        </w:rPr>
        <w:t xml:space="preserve"> 5,000 </w:t>
      </w:r>
      <w:r>
        <w:rPr>
          <w:rFonts w:ascii="David" w:hAnsi="David"/>
          <w:sz w:val="26"/>
          <w:szCs w:val="26"/>
          <w:rtl/>
        </w:rPr>
        <w:t>₪ שלא לעבור כל עביר</w:t>
      </w:r>
      <w:r>
        <w:rPr>
          <w:rFonts w:ascii="David" w:hAnsi="David" w:hint="cs"/>
          <w:sz w:val="26"/>
          <w:szCs w:val="26"/>
          <w:rtl/>
        </w:rPr>
        <w:t xml:space="preserve">ת פשע לפי פקודת הסמים </w:t>
      </w:r>
      <w:r>
        <w:rPr>
          <w:rFonts w:ascii="David" w:hAnsi="David"/>
          <w:sz w:val="26"/>
          <w:szCs w:val="26"/>
          <w:rtl/>
        </w:rPr>
        <w:t xml:space="preserve">במשך שנתיים מהיום. הובהר לנאשם שמשמעות ההתחייבות היא, כי אם יעבור את </w:t>
      </w:r>
      <w:r>
        <w:rPr>
          <w:rFonts w:ascii="David" w:hAnsi="David"/>
          <w:sz w:val="26"/>
          <w:szCs w:val="26"/>
          <w:rtl/>
        </w:rPr>
        <w:lastRenderedPageBreak/>
        <w:t>העבירה בתוך התקופה שצוינה, בית המשפט שיגזור את הדין יהא חייב לחלט את ההתחייבות כקנס</w:t>
      </w:r>
      <w:r>
        <w:rPr>
          <w:rFonts w:ascii="David" w:hAnsi="David" w:hint="cs"/>
          <w:sz w:val="26"/>
          <w:szCs w:val="26"/>
          <w:rtl/>
        </w:rPr>
        <w:t>;</w:t>
      </w:r>
    </w:p>
    <w:p w14:paraId="43CE584F" w14:textId="77777777" w:rsidR="00EA6673" w:rsidRDefault="00EA6673" w:rsidP="00EA6673">
      <w:pPr>
        <w:numPr>
          <w:ilvl w:val="0"/>
          <w:numId w:val="1"/>
        </w:numPr>
        <w:spacing w:after="160" w:line="360" w:lineRule="auto"/>
        <w:contextualSpacing/>
        <w:jc w:val="both"/>
        <w:rPr>
          <w:rFonts w:ascii="David" w:hAnsi="David"/>
          <w:sz w:val="26"/>
          <w:szCs w:val="26"/>
        </w:rPr>
      </w:pPr>
      <w:r>
        <w:rPr>
          <w:rFonts w:ascii="David" w:hAnsi="David" w:hint="cs"/>
          <w:sz w:val="26"/>
          <w:szCs w:val="26"/>
          <w:rtl/>
        </w:rPr>
        <w:t>מכריז על הנאשם "סוחר סמים" ומורה על חילוט המוצגים והשמדת הסמים.</w:t>
      </w:r>
    </w:p>
    <w:p w14:paraId="5E1E998D" w14:textId="77777777" w:rsidR="00EA6673" w:rsidRDefault="00EA6673" w:rsidP="00EA6673">
      <w:pPr>
        <w:spacing w:after="160" w:line="360" w:lineRule="auto"/>
        <w:rPr>
          <w:rFonts w:ascii="David" w:hAnsi="David"/>
          <w:sz w:val="26"/>
          <w:szCs w:val="26"/>
        </w:rPr>
      </w:pPr>
    </w:p>
    <w:p w14:paraId="56F5A1AB" w14:textId="77777777" w:rsidR="00EA6673" w:rsidRDefault="00EA6673" w:rsidP="00EA6673">
      <w:pPr>
        <w:spacing w:line="360" w:lineRule="auto"/>
        <w:jc w:val="both"/>
        <w:rPr>
          <w:rFonts w:ascii="David" w:hAnsi="David"/>
          <w:b/>
          <w:bCs/>
          <w:sz w:val="26"/>
          <w:szCs w:val="26"/>
          <w:rtl/>
        </w:rPr>
      </w:pPr>
      <w:r>
        <w:rPr>
          <w:rFonts w:ascii="David" w:hAnsi="David"/>
          <w:b/>
          <w:bCs/>
          <w:sz w:val="26"/>
          <w:szCs w:val="26"/>
          <w:rtl/>
        </w:rPr>
        <w:t>קנסות ופיצויים ניתן לשלם כעבור 3 ימים מיום מתן גזר הדין בחשבון המרכז לגביית קנסות בדרכים הבאות:</w:t>
      </w:r>
    </w:p>
    <w:p w14:paraId="28480918" w14:textId="77777777" w:rsidR="00EA6673" w:rsidRDefault="00EA6673" w:rsidP="00EA6673">
      <w:pPr>
        <w:pStyle w:val="a9"/>
        <w:numPr>
          <w:ilvl w:val="0"/>
          <w:numId w:val="3"/>
        </w:numPr>
        <w:spacing w:line="360" w:lineRule="auto"/>
        <w:jc w:val="both"/>
        <w:rPr>
          <w:rFonts w:ascii="David" w:hAnsi="David"/>
          <w:b/>
          <w:bCs/>
          <w:sz w:val="26"/>
          <w:szCs w:val="26"/>
          <w:rtl/>
          <w:lang w:bidi="ar-JO"/>
        </w:rPr>
      </w:pPr>
      <w:r>
        <w:rPr>
          <w:rFonts w:ascii="David" w:hAnsi="David"/>
          <w:b/>
          <w:bCs/>
          <w:sz w:val="26"/>
          <w:szCs w:val="26"/>
          <w:rtl/>
        </w:rPr>
        <w:t xml:space="preserve">בכרטיס אשראי באתר </w:t>
      </w:r>
      <w:hyperlink r:id="rId18" w:history="1">
        <w:r>
          <w:rPr>
            <w:rStyle w:val="Hyperlink"/>
            <w:rFonts w:ascii="David" w:hAnsi="David"/>
            <w:b/>
            <w:bCs/>
            <w:sz w:val="26"/>
            <w:szCs w:val="26"/>
            <w:lang w:bidi="ar-JO"/>
          </w:rPr>
          <w:t>www.eca.gov.il</w:t>
        </w:r>
      </w:hyperlink>
      <w:r>
        <w:rPr>
          <w:rFonts w:ascii="David" w:hAnsi="David"/>
          <w:b/>
          <w:bCs/>
          <w:sz w:val="26"/>
          <w:szCs w:val="26"/>
          <w:lang w:bidi="ar-JO"/>
        </w:rPr>
        <w:t xml:space="preserve"> </w:t>
      </w:r>
    </w:p>
    <w:p w14:paraId="6E91ADBD" w14:textId="77777777" w:rsidR="00EA6673" w:rsidRDefault="00EA6673" w:rsidP="00EA6673">
      <w:pPr>
        <w:pStyle w:val="a9"/>
        <w:numPr>
          <w:ilvl w:val="0"/>
          <w:numId w:val="3"/>
        </w:numPr>
        <w:spacing w:line="360" w:lineRule="auto"/>
        <w:jc w:val="both"/>
        <w:rPr>
          <w:rFonts w:ascii="David" w:hAnsi="David"/>
          <w:b/>
          <w:bCs/>
          <w:sz w:val="26"/>
          <w:szCs w:val="26"/>
          <w:rtl/>
        </w:rPr>
      </w:pPr>
      <w:r>
        <w:rPr>
          <w:rFonts w:ascii="David" w:hAnsi="David"/>
          <w:b/>
          <w:bCs/>
          <w:sz w:val="26"/>
          <w:szCs w:val="26"/>
          <w:rtl/>
        </w:rPr>
        <w:t>בטלפון: 35592* או 073-2055000</w:t>
      </w:r>
    </w:p>
    <w:p w14:paraId="65C32B90" w14:textId="77777777" w:rsidR="00EA6673" w:rsidRDefault="00EA6673" w:rsidP="00EA6673">
      <w:pPr>
        <w:pStyle w:val="a9"/>
        <w:numPr>
          <w:ilvl w:val="0"/>
          <w:numId w:val="3"/>
        </w:numPr>
        <w:spacing w:line="360" w:lineRule="auto"/>
        <w:jc w:val="both"/>
        <w:rPr>
          <w:rFonts w:ascii="David" w:hAnsi="David"/>
          <w:b/>
          <w:bCs/>
          <w:sz w:val="26"/>
          <w:szCs w:val="26"/>
          <w:rtl/>
        </w:rPr>
      </w:pPr>
      <w:r>
        <w:rPr>
          <w:rFonts w:ascii="David" w:hAnsi="David"/>
          <w:b/>
          <w:bCs/>
          <w:sz w:val="26"/>
          <w:szCs w:val="26"/>
          <w:rtl/>
        </w:rPr>
        <w:t>במזומן בכל סניף של בנק הדואר בהצגת תעודת זהות בלבד</w:t>
      </w:r>
    </w:p>
    <w:p w14:paraId="0B6B0F8E" w14:textId="77777777" w:rsidR="00EA6673" w:rsidRDefault="00EA6673" w:rsidP="00EA6673">
      <w:pPr>
        <w:spacing w:line="360" w:lineRule="auto"/>
        <w:jc w:val="both"/>
        <w:rPr>
          <w:rFonts w:ascii="David" w:hAnsi="David"/>
          <w:b/>
          <w:bCs/>
          <w:sz w:val="26"/>
          <w:szCs w:val="26"/>
        </w:rPr>
      </w:pPr>
      <w:r>
        <w:rPr>
          <w:rFonts w:ascii="David" w:hAnsi="David"/>
          <w:b/>
          <w:bCs/>
          <w:sz w:val="26"/>
          <w:szCs w:val="26"/>
          <w:rtl/>
        </w:rPr>
        <w:t>לא יונפקו שוברי תשלום.</w:t>
      </w:r>
    </w:p>
    <w:p w14:paraId="25405EB4" w14:textId="77777777" w:rsidR="00EA6673" w:rsidRDefault="00EA6673" w:rsidP="00EA6673">
      <w:pPr>
        <w:spacing w:line="360" w:lineRule="auto"/>
        <w:jc w:val="both"/>
        <w:rPr>
          <w:b/>
          <w:bCs/>
          <w:sz w:val="26"/>
          <w:szCs w:val="26"/>
        </w:rPr>
      </w:pPr>
      <w:r>
        <w:rPr>
          <w:b/>
          <w:bCs/>
          <w:sz w:val="26"/>
          <w:szCs w:val="26"/>
          <w:rtl/>
        </w:rPr>
        <w:t>ניתן לקזז מכל הפקדה שבתיק או בתיק קשור על אף הודעת עיקול. ככל שקיימות יתרות זכות ואין עיקולים ניתן להשיב למפקיד.</w:t>
      </w:r>
    </w:p>
    <w:p w14:paraId="317DE7FF" w14:textId="77777777" w:rsidR="00EA6673" w:rsidRDefault="00EA6673" w:rsidP="00EA6673">
      <w:pPr>
        <w:spacing w:after="160" w:line="360" w:lineRule="auto"/>
        <w:rPr>
          <w:rFonts w:ascii="David" w:hAnsi="David"/>
          <w:b/>
          <w:bCs/>
          <w:sz w:val="26"/>
          <w:szCs w:val="26"/>
          <w:rtl/>
        </w:rPr>
      </w:pPr>
    </w:p>
    <w:p w14:paraId="4639FBDA" w14:textId="77777777" w:rsidR="00EA6673" w:rsidRPr="0024314C" w:rsidRDefault="00EA6673" w:rsidP="00EA6673">
      <w:pPr>
        <w:spacing w:after="160" w:line="360" w:lineRule="auto"/>
        <w:rPr>
          <w:rFonts w:ascii="David" w:hAnsi="David"/>
          <w:b/>
          <w:bCs/>
          <w:sz w:val="26"/>
          <w:szCs w:val="26"/>
          <w:rtl/>
        </w:rPr>
      </w:pPr>
      <w:r w:rsidRPr="0024314C">
        <w:rPr>
          <w:rFonts w:ascii="David" w:hAnsi="David"/>
          <w:b/>
          <w:bCs/>
          <w:sz w:val="26"/>
          <w:szCs w:val="26"/>
          <w:rtl/>
        </w:rPr>
        <w:t>יש לשלוח לשירות המבחן ולממונה על עבודות שירות.</w:t>
      </w:r>
    </w:p>
    <w:p w14:paraId="397FA859" w14:textId="77777777" w:rsidR="00EA6673" w:rsidRPr="00B55E88" w:rsidRDefault="00B55E88" w:rsidP="00EA6673">
      <w:pPr>
        <w:spacing w:after="160" w:line="252" w:lineRule="auto"/>
        <w:rPr>
          <w:rFonts w:ascii="David" w:hAnsi="David"/>
          <w:b/>
          <w:bCs/>
          <w:color w:val="FFFFFF"/>
          <w:sz w:val="2"/>
          <w:szCs w:val="2"/>
          <w:rtl/>
        </w:rPr>
      </w:pPr>
      <w:r w:rsidRPr="00B55E88">
        <w:rPr>
          <w:rFonts w:ascii="David" w:hAnsi="David"/>
          <w:b/>
          <w:bCs/>
          <w:color w:val="FFFFFF"/>
          <w:sz w:val="2"/>
          <w:szCs w:val="2"/>
          <w:rtl/>
        </w:rPr>
        <w:t>5129371</w:t>
      </w:r>
    </w:p>
    <w:p w14:paraId="716A231D" w14:textId="77777777" w:rsidR="00EA6673" w:rsidRDefault="00B55E88" w:rsidP="00EA6673">
      <w:pPr>
        <w:spacing w:after="160" w:line="252" w:lineRule="auto"/>
        <w:rPr>
          <w:rFonts w:ascii="David" w:hAnsi="David"/>
          <w:b/>
          <w:bCs/>
          <w:sz w:val="26"/>
          <w:szCs w:val="26"/>
        </w:rPr>
      </w:pPr>
      <w:r w:rsidRPr="00B55E88">
        <w:rPr>
          <w:rFonts w:ascii="David" w:hAnsi="David"/>
          <w:b/>
          <w:bCs/>
          <w:color w:val="FFFFFF"/>
          <w:sz w:val="2"/>
          <w:szCs w:val="2"/>
          <w:rtl/>
        </w:rPr>
        <w:t>54678313</w:t>
      </w:r>
      <w:r w:rsidR="00EA6673">
        <w:rPr>
          <w:rFonts w:ascii="David" w:hAnsi="David"/>
          <w:b/>
          <w:bCs/>
          <w:sz w:val="26"/>
          <w:szCs w:val="26"/>
          <w:rtl/>
        </w:rPr>
        <w:t>זכות ערעור כחוק לבית המשפט המחוזי בירושלים בתוך 45 יום מהיום.</w:t>
      </w:r>
    </w:p>
    <w:p w14:paraId="0FD20600" w14:textId="77777777" w:rsidR="00EA6673" w:rsidRPr="000F2247" w:rsidRDefault="00EA6673" w:rsidP="00EA6673">
      <w:pPr>
        <w:rPr>
          <w:rFonts w:ascii="Arial" w:hAnsi="Arial"/>
          <w:b/>
          <w:bCs/>
          <w:sz w:val="26"/>
          <w:szCs w:val="26"/>
          <w:rtl/>
        </w:rPr>
      </w:pPr>
    </w:p>
    <w:p w14:paraId="073CE839" w14:textId="77777777" w:rsidR="00EA6673" w:rsidRPr="000F2247" w:rsidRDefault="00B55E88" w:rsidP="00EA6673">
      <w:pPr>
        <w:spacing w:line="360" w:lineRule="auto"/>
        <w:jc w:val="both"/>
        <w:rPr>
          <w:rFonts w:ascii="Arial" w:hAnsi="Arial"/>
          <w:b/>
          <w:bCs/>
          <w:sz w:val="26"/>
          <w:szCs w:val="26"/>
          <w:rtl/>
        </w:rPr>
      </w:pPr>
      <w:bookmarkStart w:id="8" w:name="Nitan"/>
      <w:r>
        <w:rPr>
          <w:rFonts w:ascii="Arial" w:hAnsi="Arial"/>
          <w:b/>
          <w:bCs/>
          <w:sz w:val="26"/>
          <w:szCs w:val="26"/>
          <w:rtl/>
        </w:rPr>
        <w:t xml:space="preserve">ניתן היום,  י' אדר א' תשפ"ד, 19 בפברואר 2024, במעמד הצדדים. </w:t>
      </w:r>
      <w:bookmarkEnd w:id="8"/>
      <w:r w:rsidR="00EA6673">
        <w:rPr>
          <w:rFonts w:ascii="Arial" w:hAnsi="Arial"/>
          <w:b/>
          <w:bCs/>
          <w:sz w:val="26"/>
          <w:szCs w:val="26"/>
          <w:rtl/>
        </w:rPr>
        <w:tab/>
      </w:r>
      <w:r w:rsidR="00EA6673">
        <w:rPr>
          <w:rFonts w:ascii="Arial" w:hAnsi="Arial"/>
          <w:b/>
          <w:bCs/>
          <w:sz w:val="26"/>
          <w:szCs w:val="26"/>
          <w:rtl/>
        </w:rPr>
        <w:tab/>
      </w:r>
      <w:r w:rsidR="00EA6673">
        <w:rPr>
          <w:rFonts w:ascii="Arial" w:hAnsi="Arial"/>
          <w:b/>
          <w:bCs/>
          <w:sz w:val="26"/>
          <w:szCs w:val="26"/>
          <w:rtl/>
        </w:rPr>
        <w:tab/>
      </w:r>
      <w:r w:rsidR="00EA6673">
        <w:rPr>
          <w:rFonts w:ascii="Arial" w:hAnsi="Arial"/>
          <w:b/>
          <w:bCs/>
          <w:sz w:val="26"/>
          <w:szCs w:val="26"/>
          <w:rtl/>
        </w:rPr>
        <w:tab/>
      </w:r>
      <w:r w:rsidR="00EA6673">
        <w:rPr>
          <w:rFonts w:ascii="Arial" w:hAnsi="Arial"/>
          <w:b/>
          <w:bCs/>
          <w:sz w:val="26"/>
          <w:szCs w:val="26"/>
          <w:rtl/>
        </w:rPr>
        <w:tab/>
      </w:r>
      <w:r w:rsidR="00EA6673">
        <w:rPr>
          <w:rFonts w:ascii="Arial" w:hAnsi="Arial"/>
          <w:b/>
          <w:bCs/>
          <w:sz w:val="26"/>
          <w:szCs w:val="26"/>
          <w:rtl/>
        </w:rPr>
        <w:tab/>
      </w:r>
      <w:r w:rsidR="00EA6673">
        <w:rPr>
          <w:rFonts w:ascii="Arial" w:hAnsi="Arial"/>
          <w:b/>
          <w:bCs/>
          <w:sz w:val="26"/>
          <w:szCs w:val="26"/>
          <w:rtl/>
        </w:rPr>
        <w:tab/>
      </w:r>
      <w:r w:rsidR="00EA6673">
        <w:rPr>
          <w:rFonts w:ascii="Arial" w:hAnsi="Arial" w:hint="cs"/>
          <w:b/>
          <w:bCs/>
          <w:sz w:val="26"/>
          <w:szCs w:val="26"/>
          <w:rtl/>
        </w:rPr>
        <w:t xml:space="preserve">         </w:t>
      </w:r>
    </w:p>
    <w:p w14:paraId="46A58B5A" w14:textId="77777777" w:rsidR="00B55E88" w:rsidRDefault="00B55E88" w:rsidP="00B55E88">
      <w:pPr>
        <w:rPr>
          <w:rtl/>
        </w:rPr>
      </w:pPr>
    </w:p>
    <w:p w14:paraId="57DFE1D2" w14:textId="77777777" w:rsidR="00B55E88" w:rsidRDefault="00B55E88" w:rsidP="00B55E88">
      <w:pPr>
        <w:jc w:val="center"/>
        <w:rPr>
          <w:color w:val="0000FF"/>
          <w:u w:val="single"/>
        </w:rPr>
      </w:pPr>
      <w:hyperlink r:id="rId19" w:history="1">
        <w:r>
          <w:rPr>
            <w:color w:val="0000FF"/>
            <w:u w:val="single"/>
            <w:rtl/>
          </w:rPr>
          <w:t>בעניין עריכה ושינויים במסמכי פסיקה, חקיקה ועוד באתר נבו – הקש כאן</w:t>
        </w:r>
      </w:hyperlink>
    </w:p>
    <w:p w14:paraId="42E7253B" w14:textId="77777777" w:rsidR="00D92439" w:rsidRPr="00D92439" w:rsidRDefault="00D92439" w:rsidP="00D92439">
      <w:pPr>
        <w:keepNext/>
        <w:rPr>
          <w:rFonts w:ascii="David" w:hAnsi="David"/>
          <w:color w:val="000000"/>
          <w:sz w:val="22"/>
          <w:szCs w:val="22"/>
          <w:rtl/>
        </w:rPr>
      </w:pPr>
    </w:p>
    <w:p w14:paraId="388C3083" w14:textId="77777777" w:rsidR="00D92439" w:rsidRPr="00D92439" w:rsidRDefault="00D92439" w:rsidP="00D92439">
      <w:pPr>
        <w:keepNext/>
        <w:rPr>
          <w:rFonts w:ascii="David" w:hAnsi="David"/>
          <w:color w:val="000000"/>
          <w:sz w:val="22"/>
          <w:szCs w:val="22"/>
          <w:rtl/>
        </w:rPr>
      </w:pPr>
      <w:r w:rsidRPr="00D92439">
        <w:rPr>
          <w:rFonts w:ascii="David" w:hAnsi="David"/>
          <w:color w:val="000000"/>
          <w:sz w:val="22"/>
          <w:szCs w:val="22"/>
          <w:rtl/>
        </w:rPr>
        <w:t>דוד שאול גבאי ריכטר 54678313-/</w:t>
      </w:r>
    </w:p>
    <w:p w14:paraId="752DD087" w14:textId="77777777" w:rsidR="00B55E88" w:rsidRPr="00B55E88" w:rsidRDefault="00D92439" w:rsidP="00D92439">
      <w:pPr>
        <w:rPr>
          <w:color w:val="0000FF"/>
          <w:u w:val="single"/>
        </w:rPr>
      </w:pPr>
      <w:r w:rsidRPr="00D92439">
        <w:rPr>
          <w:color w:val="000000"/>
          <w:u w:val="single"/>
          <w:rtl/>
        </w:rPr>
        <w:t>נוסח מסמך זה כפוף לשינויי ניסוח ועריכה</w:t>
      </w:r>
    </w:p>
    <w:sectPr w:rsidR="00B55E88" w:rsidRPr="00B55E88" w:rsidSect="00D92439">
      <w:headerReference w:type="even" r:id="rId20"/>
      <w:headerReference w:type="default" r:id="rId21"/>
      <w:footerReference w:type="even" r:id="rId22"/>
      <w:footerReference w:type="default" r:id="rId23"/>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2161C" w14:textId="77777777" w:rsidR="00650AD4" w:rsidRDefault="00650AD4" w:rsidP="000A0618">
      <w:r>
        <w:separator/>
      </w:r>
    </w:p>
  </w:endnote>
  <w:endnote w:type="continuationSeparator" w:id="0">
    <w:p w14:paraId="2303663F" w14:textId="77777777" w:rsidR="00650AD4" w:rsidRDefault="00650AD4" w:rsidP="000A0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9ABD0" w14:textId="77777777" w:rsidR="00D92439" w:rsidRDefault="00D92439" w:rsidP="00D92439">
    <w:pPr>
      <w:pStyle w:val="a5"/>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3D80FBB7" w14:textId="77777777" w:rsidR="00911168" w:rsidRPr="00D92439" w:rsidRDefault="00D92439" w:rsidP="00D92439">
    <w:pPr>
      <w:pStyle w:val="a5"/>
      <w:pBdr>
        <w:top w:val="single" w:sz="4" w:space="1" w:color="auto"/>
        <w:between w:val="single" w:sz="4" w:space="0" w:color="auto"/>
      </w:pBdr>
      <w:spacing w:after="60"/>
      <w:jc w:val="center"/>
      <w:rPr>
        <w:rFonts w:ascii="FrankRuehl" w:hAnsi="FrankRuehl" w:cs="FrankRuehl"/>
        <w:color w:val="000000"/>
      </w:rPr>
    </w:pPr>
    <w:r w:rsidRPr="00D92439">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8921E" w14:textId="77777777" w:rsidR="00D92439" w:rsidRDefault="00D92439" w:rsidP="00D92439">
    <w:pPr>
      <w:pStyle w:val="a5"/>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E9080B">
      <w:rPr>
        <w:rFonts w:ascii="FrankRuehl" w:hAnsi="FrankRuehl" w:cs="FrankRuehl"/>
        <w:noProof/>
        <w:rtl/>
      </w:rPr>
      <w:t>1</w:t>
    </w:r>
    <w:r>
      <w:rPr>
        <w:rFonts w:ascii="FrankRuehl" w:hAnsi="FrankRuehl" w:cs="FrankRuehl"/>
        <w:rtl/>
      </w:rPr>
      <w:fldChar w:fldCharType="end"/>
    </w:r>
  </w:p>
  <w:p w14:paraId="442A4B82" w14:textId="77777777" w:rsidR="00911168" w:rsidRPr="00D92439" w:rsidRDefault="00D92439" w:rsidP="00D92439">
    <w:pPr>
      <w:pStyle w:val="a5"/>
      <w:pBdr>
        <w:top w:val="single" w:sz="4" w:space="1" w:color="auto"/>
        <w:between w:val="single" w:sz="4" w:space="0" w:color="auto"/>
      </w:pBdr>
      <w:spacing w:after="60"/>
      <w:jc w:val="center"/>
      <w:rPr>
        <w:rFonts w:ascii="FrankRuehl" w:hAnsi="FrankRuehl" w:cs="FrankRuehl"/>
        <w:color w:val="000000"/>
      </w:rPr>
    </w:pPr>
    <w:r w:rsidRPr="00D92439">
      <w:rPr>
        <w:rFonts w:ascii="FrankRuehl" w:hAnsi="FrankRuehl" w:cs="FrankRuehl"/>
        <w:color w:val="000000"/>
      </w:rPr>
      <w:pict w14:anchorId="0782B2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61D91" w14:textId="77777777" w:rsidR="00650AD4" w:rsidRDefault="00650AD4" w:rsidP="000A0618">
      <w:r>
        <w:separator/>
      </w:r>
    </w:p>
  </w:footnote>
  <w:footnote w:type="continuationSeparator" w:id="0">
    <w:p w14:paraId="5C0609CB" w14:textId="77777777" w:rsidR="00650AD4" w:rsidRDefault="00650AD4" w:rsidP="000A06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D0678" w14:textId="77777777" w:rsidR="00B55E88" w:rsidRPr="00D92439" w:rsidRDefault="00D92439" w:rsidP="00D92439">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(י-ם) 30884-10-21</w:t>
    </w:r>
    <w:r>
      <w:rPr>
        <w:rFonts w:ascii="David" w:hAnsi="David"/>
        <w:color w:val="000000"/>
        <w:sz w:val="22"/>
        <w:szCs w:val="22"/>
        <w:rtl/>
      </w:rPr>
      <w:tab/>
      <w:t xml:space="preserve"> מדינת ישראל נ' נאור חי איתן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D7968" w14:textId="77777777" w:rsidR="00B55E88" w:rsidRPr="00D92439" w:rsidRDefault="00D92439" w:rsidP="00D92439">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(י-ם) 30884-10-21</w:t>
    </w:r>
    <w:r>
      <w:rPr>
        <w:rFonts w:ascii="David" w:hAnsi="David"/>
        <w:color w:val="000000"/>
        <w:sz w:val="22"/>
        <w:szCs w:val="22"/>
        <w:rtl/>
      </w:rPr>
      <w:tab/>
      <w:t xml:space="preserve"> מדינת ישראל נ' נאור חי איתן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45762"/>
    <w:multiLevelType w:val="hybridMultilevel"/>
    <w:tmpl w:val="101C4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1A61FA3"/>
    <w:multiLevelType w:val="hybridMultilevel"/>
    <w:tmpl w:val="208E3610"/>
    <w:lvl w:ilvl="0" w:tplc="F3802B80">
      <w:start w:val="1"/>
      <w:numFmt w:val="hebrew1"/>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 w15:restartNumberingAfterBreak="0">
    <w:nsid w:val="428C3D0F"/>
    <w:multiLevelType w:val="hybridMultilevel"/>
    <w:tmpl w:val="2D42C1EE"/>
    <w:lvl w:ilvl="0" w:tplc="51B622B0">
      <w:start w:val="1"/>
      <w:numFmt w:val="decimal"/>
      <w:lvlText w:val="%1."/>
      <w:lvlJc w:val="left"/>
      <w:pPr>
        <w:ind w:left="360" w:hanging="360"/>
      </w:pPr>
      <w:rPr>
        <w:b w:val="0"/>
        <w:bC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5CB31827"/>
    <w:multiLevelType w:val="hybridMultilevel"/>
    <w:tmpl w:val="8E001E4A"/>
    <w:lvl w:ilvl="0" w:tplc="04090013">
      <w:start w:val="1"/>
      <w:numFmt w:val="hebrew1"/>
      <w:lvlText w:val="%1."/>
      <w:lvlJc w:val="center"/>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819263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27357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06085231">
    <w:abstractNumId w:val="0"/>
  </w:num>
  <w:num w:numId="4" w16cid:durableId="9692419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EA6673"/>
    <w:rsid w:val="000A0618"/>
    <w:rsid w:val="0018597E"/>
    <w:rsid w:val="001B5A3B"/>
    <w:rsid w:val="00650AD4"/>
    <w:rsid w:val="007B40C9"/>
    <w:rsid w:val="00911168"/>
    <w:rsid w:val="00B55E88"/>
    <w:rsid w:val="00D92439"/>
    <w:rsid w:val="00E9080B"/>
    <w:rsid w:val="00EA66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6C2E4BA"/>
  <w15:chartTrackingRefBased/>
  <w15:docId w15:val="{DFA9385E-998A-4737-A944-D17DF9097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A6673"/>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A6673"/>
    <w:pPr>
      <w:tabs>
        <w:tab w:val="center" w:pos="4153"/>
        <w:tab w:val="right" w:pos="8306"/>
      </w:tabs>
    </w:pPr>
  </w:style>
  <w:style w:type="character" w:customStyle="1" w:styleId="a4">
    <w:name w:val="כותרת עליונה תו"/>
    <w:link w:val="a3"/>
    <w:rsid w:val="00EA6673"/>
    <w:rPr>
      <w:rFonts w:ascii="Times New Roman" w:eastAsia="Times New Roman" w:hAnsi="Times New Roman" w:cs="David"/>
      <w:sz w:val="24"/>
      <w:szCs w:val="24"/>
    </w:rPr>
  </w:style>
  <w:style w:type="paragraph" w:styleId="a5">
    <w:name w:val="footer"/>
    <w:basedOn w:val="a"/>
    <w:link w:val="a6"/>
    <w:rsid w:val="00EA6673"/>
    <w:pPr>
      <w:tabs>
        <w:tab w:val="center" w:pos="4153"/>
        <w:tab w:val="right" w:pos="8306"/>
      </w:tabs>
    </w:pPr>
  </w:style>
  <w:style w:type="character" w:customStyle="1" w:styleId="a6">
    <w:name w:val="כותרת תחתונה תו"/>
    <w:link w:val="a5"/>
    <w:rsid w:val="00EA6673"/>
    <w:rPr>
      <w:rFonts w:ascii="Times New Roman" w:eastAsia="Times New Roman" w:hAnsi="Times New Roman" w:cs="David"/>
      <w:sz w:val="24"/>
      <w:szCs w:val="24"/>
    </w:rPr>
  </w:style>
  <w:style w:type="table" w:styleId="a7">
    <w:name w:val="Table Grid"/>
    <w:basedOn w:val="a1"/>
    <w:rsid w:val="00EA6673"/>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EA6673"/>
  </w:style>
  <w:style w:type="character" w:styleId="Hyperlink">
    <w:name w:val="Hyperlink"/>
    <w:rsid w:val="00EA6673"/>
    <w:rPr>
      <w:noProof w:val="0"/>
      <w:color w:val="0563C1"/>
      <w:u w:val="single"/>
    </w:rPr>
  </w:style>
  <w:style w:type="paragraph" w:styleId="a9">
    <w:name w:val="List Paragraph"/>
    <w:basedOn w:val="a"/>
    <w:qFormat/>
    <w:rsid w:val="00EA66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vo.co.il/law/4216/7.a.c" TargetMode="External"/><Relationship Id="rId13" Type="http://schemas.openxmlformats.org/officeDocument/2006/relationships/hyperlink" Target="http://www.nevo.co.il/law/4216" TargetMode="External"/><Relationship Id="rId18" Type="http://schemas.openxmlformats.org/officeDocument/2006/relationships/hyperlink" Target="http://www.eca.gov.il"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www.nevo.co.il/law/4216" TargetMode="External"/><Relationship Id="rId12" Type="http://schemas.openxmlformats.org/officeDocument/2006/relationships/hyperlink" Target="http://www.nevo.co.il/law/4216/19a" TargetMode="External"/><Relationship Id="rId17" Type="http://schemas.openxmlformats.org/officeDocument/2006/relationships/hyperlink" Target="http://www.nevo.co.il/case/24975541"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nevo.co.il/case/27782907"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law/4216/13"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nevo.co.il/case/27782907" TargetMode="External"/><Relationship Id="rId23" Type="http://schemas.openxmlformats.org/officeDocument/2006/relationships/footer" Target="footer2.xml"/><Relationship Id="rId10" Type="http://schemas.openxmlformats.org/officeDocument/2006/relationships/hyperlink" Target="http://www.nevo.co.il/law/4216/19a" TargetMode="External"/><Relationship Id="rId19" Type="http://schemas.openxmlformats.org/officeDocument/2006/relationships/hyperlink" Target="http://www.nevo.co.il/advertisements/nevo-100.doc" TargetMode="External"/><Relationship Id="rId4" Type="http://schemas.openxmlformats.org/officeDocument/2006/relationships/webSettings" Target="webSettings.xml"/><Relationship Id="rId9" Type="http://schemas.openxmlformats.org/officeDocument/2006/relationships/hyperlink" Target="http://www.nevo.co.il/law/4216/13" TargetMode="External"/><Relationship Id="rId14" Type="http://schemas.openxmlformats.org/officeDocument/2006/relationships/hyperlink" Target="http://www.nevo.co.il/law/4216/7.a.c" TargetMode="Externa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1333</Words>
  <Characters>6670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7988</CharactersWithSpaces>
  <SharedDoc>false</SharedDoc>
  <HLinks>
    <vt:vector size="78" baseType="variant">
      <vt:variant>
        <vt:i4>393283</vt:i4>
      </vt:variant>
      <vt:variant>
        <vt:i4>36</vt:i4>
      </vt:variant>
      <vt:variant>
        <vt:i4>0</vt:i4>
      </vt:variant>
      <vt:variant>
        <vt:i4>5</vt:i4>
      </vt:variant>
      <vt:variant>
        <vt:lpwstr>http://www.nevo.co.il/advertisements/nevo-100.doc</vt:lpwstr>
      </vt:variant>
      <vt:variant>
        <vt:lpwstr/>
      </vt:variant>
      <vt:variant>
        <vt:i4>7864368</vt:i4>
      </vt:variant>
      <vt:variant>
        <vt:i4>33</vt:i4>
      </vt:variant>
      <vt:variant>
        <vt:i4>0</vt:i4>
      </vt:variant>
      <vt:variant>
        <vt:i4>5</vt:i4>
      </vt:variant>
      <vt:variant>
        <vt:lpwstr>http://www.eca.gov.il/</vt:lpwstr>
      </vt:variant>
      <vt:variant>
        <vt:lpwstr/>
      </vt:variant>
      <vt:variant>
        <vt:i4>3801202</vt:i4>
      </vt:variant>
      <vt:variant>
        <vt:i4>30</vt:i4>
      </vt:variant>
      <vt:variant>
        <vt:i4>0</vt:i4>
      </vt:variant>
      <vt:variant>
        <vt:i4>5</vt:i4>
      </vt:variant>
      <vt:variant>
        <vt:lpwstr>http://www.nevo.co.il/case/24975541</vt:lpwstr>
      </vt:variant>
      <vt:variant>
        <vt:lpwstr/>
      </vt:variant>
      <vt:variant>
        <vt:i4>3604594</vt:i4>
      </vt:variant>
      <vt:variant>
        <vt:i4>27</vt:i4>
      </vt:variant>
      <vt:variant>
        <vt:i4>0</vt:i4>
      </vt:variant>
      <vt:variant>
        <vt:i4>5</vt:i4>
      </vt:variant>
      <vt:variant>
        <vt:lpwstr>http://www.nevo.co.il/case/27782907</vt:lpwstr>
      </vt:variant>
      <vt:variant>
        <vt:lpwstr/>
      </vt:variant>
      <vt:variant>
        <vt:i4>3604594</vt:i4>
      </vt:variant>
      <vt:variant>
        <vt:i4>24</vt:i4>
      </vt:variant>
      <vt:variant>
        <vt:i4>0</vt:i4>
      </vt:variant>
      <vt:variant>
        <vt:i4>5</vt:i4>
      </vt:variant>
      <vt:variant>
        <vt:lpwstr>http://www.nevo.co.il/case/27782907</vt:lpwstr>
      </vt:variant>
      <vt:variant>
        <vt:lpwstr/>
      </vt:variant>
      <vt:variant>
        <vt:i4>4915274</vt:i4>
      </vt:variant>
      <vt:variant>
        <vt:i4>21</vt:i4>
      </vt:variant>
      <vt:variant>
        <vt:i4>0</vt:i4>
      </vt:variant>
      <vt:variant>
        <vt:i4>5</vt:i4>
      </vt:variant>
      <vt:variant>
        <vt:lpwstr>http://www.nevo.co.il/law/4216/7.a.c</vt:lpwstr>
      </vt:variant>
      <vt:variant>
        <vt:lpwstr/>
      </vt:variant>
      <vt:variant>
        <vt:i4>8257637</vt:i4>
      </vt:variant>
      <vt:variant>
        <vt:i4>18</vt:i4>
      </vt:variant>
      <vt:variant>
        <vt:i4>0</vt:i4>
      </vt:variant>
      <vt:variant>
        <vt:i4>5</vt:i4>
      </vt:variant>
      <vt:variant>
        <vt:lpwstr>http://www.nevo.co.il/law/4216</vt:lpwstr>
      </vt:variant>
      <vt:variant>
        <vt:lpwstr/>
      </vt:variant>
      <vt:variant>
        <vt:i4>3014771</vt:i4>
      </vt:variant>
      <vt:variant>
        <vt:i4>15</vt:i4>
      </vt:variant>
      <vt:variant>
        <vt:i4>0</vt:i4>
      </vt:variant>
      <vt:variant>
        <vt:i4>5</vt:i4>
      </vt:variant>
      <vt:variant>
        <vt:lpwstr>http://www.nevo.co.il/law/4216/19a</vt:lpwstr>
      </vt:variant>
      <vt:variant>
        <vt:lpwstr/>
      </vt:variant>
      <vt:variant>
        <vt:i4>5177418</vt:i4>
      </vt:variant>
      <vt:variant>
        <vt:i4>12</vt:i4>
      </vt:variant>
      <vt:variant>
        <vt:i4>0</vt:i4>
      </vt:variant>
      <vt:variant>
        <vt:i4>5</vt:i4>
      </vt:variant>
      <vt:variant>
        <vt:lpwstr>http://www.nevo.co.il/law/4216/13</vt:lpwstr>
      </vt:variant>
      <vt:variant>
        <vt:lpwstr/>
      </vt:variant>
      <vt:variant>
        <vt:i4>3014771</vt:i4>
      </vt:variant>
      <vt:variant>
        <vt:i4>9</vt:i4>
      </vt:variant>
      <vt:variant>
        <vt:i4>0</vt:i4>
      </vt:variant>
      <vt:variant>
        <vt:i4>5</vt:i4>
      </vt:variant>
      <vt:variant>
        <vt:lpwstr>http://www.nevo.co.il/law/4216/19a</vt:lpwstr>
      </vt:variant>
      <vt:variant>
        <vt:lpwstr/>
      </vt:variant>
      <vt:variant>
        <vt:i4>5177418</vt:i4>
      </vt:variant>
      <vt:variant>
        <vt:i4>6</vt:i4>
      </vt:variant>
      <vt:variant>
        <vt:i4>0</vt:i4>
      </vt:variant>
      <vt:variant>
        <vt:i4>5</vt:i4>
      </vt:variant>
      <vt:variant>
        <vt:lpwstr>http://www.nevo.co.il/law/4216/13</vt:lpwstr>
      </vt:variant>
      <vt:variant>
        <vt:lpwstr/>
      </vt:variant>
      <vt:variant>
        <vt:i4>4915274</vt:i4>
      </vt:variant>
      <vt:variant>
        <vt:i4>3</vt:i4>
      </vt:variant>
      <vt:variant>
        <vt:i4>0</vt:i4>
      </vt:variant>
      <vt:variant>
        <vt:i4>5</vt:i4>
      </vt:variant>
      <vt:variant>
        <vt:lpwstr>http://www.nevo.co.il/law/4216/7.a.c</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2025-11-02T12:04:00Z</dcterms:created>
  <dcterms:modified xsi:type="dcterms:W3CDTF">2025-11-02T12:04:00Z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30884</vt:lpwstr>
  </property>
  <property fmtid="{D5CDD505-2E9C-101B-9397-08002B2CF9AE}" pid="6" name="NEWPARTB">
    <vt:lpwstr>10</vt:lpwstr>
  </property>
  <property fmtid="{D5CDD505-2E9C-101B-9397-08002B2CF9AE}" pid="7" name="NEWPARTC">
    <vt:lpwstr>21</vt:lpwstr>
  </property>
  <property fmtid="{D5CDD505-2E9C-101B-9397-08002B2CF9AE}" pid="8" name="APPELLANT">
    <vt:lpwstr>מדינת ישראל</vt:lpwstr>
  </property>
  <property fmtid="{D5CDD505-2E9C-101B-9397-08002B2CF9AE}" pid="9" name="APPELLEE">
    <vt:lpwstr>נאור חי איתן</vt:lpwstr>
  </property>
  <property fmtid="{D5CDD505-2E9C-101B-9397-08002B2CF9AE}" pid="10" name="LAWYER">
    <vt:lpwstr>שי נודל</vt:lpwstr>
  </property>
  <property fmtid="{D5CDD505-2E9C-101B-9397-08002B2CF9AE}" pid="11" name="JUDGE">
    <vt:lpwstr>דוד שאול גבאי ריכטר</vt:lpwstr>
  </property>
  <property fmtid="{D5CDD505-2E9C-101B-9397-08002B2CF9AE}" pid="12" name="CITY">
    <vt:lpwstr>י-ם</vt:lpwstr>
  </property>
  <property fmtid="{D5CDD505-2E9C-101B-9397-08002B2CF9AE}" pid="13" name="DATE">
    <vt:lpwstr>20240219</vt:lpwstr>
  </property>
  <property fmtid="{D5CDD505-2E9C-101B-9397-08002B2CF9AE}" pid="14" name="TYPE_N_DATE">
    <vt:lpwstr>38020240219</vt:lpwstr>
  </property>
  <property fmtid="{D5CDD505-2E9C-101B-9397-08002B2CF9AE}" pid="15" name="CASESLISTTMP1">
    <vt:lpwstr>27782907:2;24975541</vt:lpwstr>
  </property>
  <property fmtid="{D5CDD505-2E9C-101B-9397-08002B2CF9AE}" pid="16" name="CASENOTES1">
    <vt:lpwstr>ProcID=135&amp;PartA=13953&amp;PartB=06&amp;PartC=19</vt:lpwstr>
  </property>
  <property fmtid="{D5CDD505-2E9C-101B-9397-08002B2CF9AE}" pid="17" name="CASENOTES2">
    <vt:lpwstr>ProcID=135&amp;PartA=11045&amp;PartB=09&amp;PartC=18</vt:lpwstr>
  </property>
  <property fmtid="{D5CDD505-2E9C-101B-9397-08002B2CF9AE}" pid="18" name="WORDNUMPAGES">
    <vt:lpwstr>6</vt:lpwstr>
  </property>
  <property fmtid="{D5CDD505-2E9C-101B-9397-08002B2CF9AE}" pid="19" name="TYPE_ABS_DATE">
    <vt:lpwstr>380020240219</vt:lpwstr>
  </property>
  <property fmtid="{D5CDD505-2E9C-101B-9397-08002B2CF9AE}" pid="20" name="APPELLANT1">
    <vt:lpwstr/>
  </property>
  <property fmtid="{D5CDD505-2E9C-101B-9397-08002B2CF9AE}" pid="21" name="APPELLANT2">
    <vt:lpwstr/>
  </property>
  <property fmtid="{D5CDD505-2E9C-101B-9397-08002B2CF9AE}" pid="22" name="APPELLEE1">
    <vt:lpwstr/>
  </property>
  <property fmtid="{D5CDD505-2E9C-101B-9397-08002B2CF9AE}" pid="23" name="APPELLEE2">
    <vt:lpwstr/>
  </property>
  <property fmtid="{D5CDD505-2E9C-101B-9397-08002B2CF9AE}" pid="24" name="PROCESS">
    <vt:lpwstr/>
  </property>
  <property fmtid="{D5CDD505-2E9C-101B-9397-08002B2CF9AE}" pid="25" name="PROCNUM">
    <vt:lpwstr/>
  </property>
  <property fmtid="{D5CDD505-2E9C-101B-9397-08002B2CF9AE}" pid="26" name="PROCYEAR">
    <vt:lpwstr/>
  </property>
  <property fmtid="{D5CDD505-2E9C-101B-9397-08002B2CF9AE}" pid="27" name="VOLUME">
    <vt:lpwstr/>
  </property>
  <property fmtid="{D5CDD505-2E9C-101B-9397-08002B2CF9AE}" pid="28" name="PART">
    <vt:lpwstr/>
  </property>
  <property fmtid="{D5CDD505-2E9C-101B-9397-08002B2CF9AE}" pid="29" name="PAGE">
    <vt:lpwstr/>
  </property>
  <property fmtid="{D5CDD505-2E9C-101B-9397-08002B2CF9AE}" pid="30" name="PADIMAIL">
    <vt:lpwstr/>
  </property>
  <property fmtid="{D5CDD505-2E9C-101B-9397-08002B2CF9AE}" pid="31" name="DELEMATA">
    <vt:lpwstr/>
  </property>
  <property fmtid="{D5CDD505-2E9C-101B-9397-08002B2CF9AE}" pid="32" name="LINKK1">
    <vt:lpwstr/>
  </property>
  <property fmtid="{D5CDD505-2E9C-101B-9397-08002B2CF9AE}" pid="33" name="LINKK2">
    <vt:lpwstr/>
  </property>
  <property fmtid="{D5CDD505-2E9C-101B-9397-08002B2CF9AE}" pid="34" name="LINKK3">
    <vt:lpwstr/>
  </property>
  <property fmtid="{D5CDD505-2E9C-101B-9397-08002B2CF9AE}" pid="35" name="LINKK4">
    <vt:lpwstr/>
  </property>
  <property fmtid="{D5CDD505-2E9C-101B-9397-08002B2CF9AE}" pid="36" name="LINKK5">
    <vt:lpwstr/>
  </property>
  <property fmtid="{D5CDD505-2E9C-101B-9397-08002B2CF9AE}" pid="37" name="ISABSTRACT">
    <vt:lpwstr>Y</vt:lpwstr>
  </property>
  <property fmtid="{D5CDD505-2E9C-101B-9397-08002B2CF9AE}" pid="38" name="LAWLISTTMP1">
    <vt:lpwstr>4216/013;019a;007.a.c</vt:lpwstr>
  </property>
</Properties>
</file>