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72"/>
        <w:tblpPr w:horzAnchor="margin" w:tblpX="-457" w:vertAnchor="text" w:tblpY="-21" w:leftFromText="141" w:topFromText="0" w:rightFromText="141" w:bottomFromText="0"/>
        <w:tblW w:w="15346" w:type="dxa"/>
        <w:tblLayout w:type="fixed"/>
        <w:tblLook w:val="04A0" w:firstRow="1" w:lastRow="0" w:firstColumn="1" w:lastColumn="0" w:noHBand="0" w:noVBand="1"/>
      </w:tblPr>
      <w:tblGrid>
        <w:gridCol w:w="675"/>
        <w:gridCol w:w="2330"/>
        <w:gridCol w:w="1763"/>
        <w:gridCol w:w="1763"/>
        <w:gridCol w:w="1941"/>
        <w:gridCol w:w="1842"/>
        <w:gridCol w:w="1560"/>
        <w:gridCol w:w="1709"/>
        <w:gridCol w:w="1763"/>
      </w:tblGrid>
      <w:tr>
        <w:trPr>
          <w:trHeight w:val="275"/>
        </w:trPr>
        <w:tc>
          <w:tcPr>
            <w:tcW w:w="675" w:type="dxa"/>
            <w:vMerge w:val="restart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TOUTE </w:t>
            </w:r>
            <w:r/>
          </w:p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LA POPULATION</w:t>
            </w:r>
            <w:r/>
          </w:p>
        </w:tc>
        <w:tc>
          <w:tcPr>
            <w:gridSpan w:val="7"/>
            <w:tcW w:w="123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4728208</wp:posOffset>
                  </wp:positionH>
                  <wp:positionV relativeFrom="paragraph">
                    <wp:posOffset>158113</wp:posOffset>
                  </wp:positionV>
                  <wp:extent cx="560703" cy="560703"/>
                  <wp:effectExtent l="0" t="0" r="0" b="0"/>
                  <wp:wrapNone/>
                  <wp:docPr descr="C:\Users\Cecilia\Google Drive\WeTechCare\3. Conseil &amp; Déploiement\03 Boîte à outils\Icônes\PERSONA\002-family.png" hidden="false"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ecilia\Google Drive\WeTechCare\3. Conseil &amp; Déploiement\03 Boîte à outils\Icônes\PERSONA\002-family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56070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2461893</wp:posOffset>
                  </wp:positionH>
                  <wp:positionV relativeFrom="paragraph">
                    <wp:posOffset>207643</wp:posOffset>
                  </wp:positionV>
                  <wp:extent cx="533398" cy="533398"/>
                  <wp:effectExtent l="0" t="0" r="0" b="0"/>
                  <wp:wrapNone/>
                  <wp:docPr descr="C:\Users\Cecilia\Google Drive\WeTechCare\3. Conseil &amp; Déploiement\03 Boîte à outils\Icônes\PERSONA\son.png" hidden="false"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ecilia\Google Drive\WeTechCare\3. Conseil &amp; Déploiement\03 Boîte à outils\Icônes\PERSONA\son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Lieux spécifiques …</w:t>
            </w:r>
            <w:r/>
          </w:p>
        </w:tc>
      </w:tr>
      <w:tr>
        <w:trPr>
          <w:trHeight w:val="987"/>
        </w:trPr>
        <w:tc>
          <w:tcPr>
            <w:tcW w:w="675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185418</wp:posOffset>
                  </wp:positionH>
                  <wp:positionV relativeFrom="paragraph">
                    <wp:posOffset>-16508</wp:posOffset>
                  </wp:positionV>
                  <wp:extent cx="579118" cy="579118"/>
                  <wp:effectExtent l="0" t="0" r="0" b="0"/>
                  <wp:wrapNone/>
                  <wp:docPr hidden="false"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9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217803</wp:posOffset>
                  </wp:positionH>
                  <wp:positionV relativeFrom="paragraph">
                    <wp:posOffset>-62865</wp:posOffset>
                  </wp:positionV>
                  <wp:extent cx="525780" cy="525780"/>
                  <wp:effectExtent l="0" t="0" r="0" b="7618"/>
                  <wp:wrapNone/>
                  <wp:docPr descr="C:\Users\Cecilia\Google Drive\WeTechCare\3. Conseil &amp; Déploiement\03 Boîte à outils\Icônes\PERSONA\001-handicapped.png" hidden="false"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ecilia\Google Drive\WeTechCare\3. Conseil &amp; Déploiement\03 Boîte à outils\Icônes\PERSONA\001-handicapped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7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246378</wp:posOffset>
                  </wp:positionH>
                  <wp:positionV relativeFrom="paragraph">
                    <wp:posOffset>-64134</wp:posOffset>
                  </wp:positionV>
                  <wp:extent cx="521968" cy="521968"/>
                  <wp:effectExtent l="0" t="0" r="0" b="0"/>
                  <wp:wrapNone/>
                  <wp:docPr descr="C:\Users\Cecilia\AppData\Local\Microsoft\Windows\INetCache\Content.Word\001-discussion.png" hidden="false" id="5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ecilia\AppData\Local\Microsoft\Windows\INetCache\Content.Word\001-discussion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197483</wp:posOffset>
                  </wp:positionH>
                  <wp:positionV relativeFrom="paragraph">
                    <wp:posOffset>-20318</wp:posOffset>
                  </wp:positionV>
                  <wp:extent cx="546098" cy="546098"/>
                  <wp:effectExtent l="0" t="0" r="6348" b="6348"/>
                  <wp:wrapNone/>
                  <wp:docPr descr="C:\Users\Cecilia\Downloads\people.png" hidden="false"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ecilia\Downloads\people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</w:tr>
      <w:tr>
        <w:trPr>
          <w:trHeight w:val="987"/>
        </w:trPr>
        <w:tc>
          <w:tcPr>
            <w:tcW w:w="675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âgées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Bénéficiaires de minima sociaux</w:t>
            </w:r>
            <w:r/>
          </w:p>
        </w:tc>
        <w:tc>
          <w:tcPr>
            <w:tcW w:w="19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Jeunes en situation de fragilité </w:t>
            </w: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br/>
              <w:t xml:space="preserve">(16-30 ans)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en situation de handicap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Familles</w:t>
            </w:r>
            <w:r/>
          </w:p>
        </w:tc>
        <w:tc>
          <w:tcPr>
            <w:tcW w:w="17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ayant des difficultés en langue française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Demandeurs d'emploi</w:t>
            </w:r>
            <w:r/>
          </w:p>
        </w:tc>
      </w:tr>
      <w:tr>
        <w:trPr>
          <w:cantSplit/>
          <w:trHeight w:val="1266"/>
        </w:trPr>
        <w:tc>
          <w:tcPr>
            <w:tcW w:w="67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TERRITOIRES NON PRECISES</w:t>
            </w:r>
            <w:r/>
          </w:p>
        </w:tc>
        <w:tc>
          <w:tcPr>
            <w:tcW w:w="2330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color w:val="C0504D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Mairies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Préfectures / sous-préfectures</w:t>
            </w:r>
            <w:r>
              <w:rPr>
                <w:rFonts w:ascii="Calibri Light" w:hAnsi="Calibri Light" w:cs="Calibri Light"/>
                <w:sz w:val="20"/>
              </w:rPr>
              <w:t xml:space="preserve"> ?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PIMMS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MSAP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Espaces publics numériques (EPN), </w:t>
            </w:r>
            <w:r>
              <w:rPr>
                <w:rFonts w:ascii="Calibri Light" w:hAnsi="Calibri Light" w:cs="Calibri Light"/>
                <w:sz w:val="20"/>
              </w:rPr>
              <w:t xml:space="preserve">Cyberbase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Hôpitaux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Structures médico-sociales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Bibliothèques / médiathèques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Organismes de service public (CAF, Pole Emploi, MSA)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Antennes locales des associations de défense des consommateurs  </w:t>
            </w:r>
            <w:r/>
          </w:p>
          <w:p>
            <w:pPr>
              <w:rPr>
                <w:rFonts w:ascii="Calibri Light" w:hAnsi="Calibri Light" w:cs="Calibri Light"/>
                <w:color w:val="C0504D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</w:t>
            </w:r>
            <w:r>
              <w:rPr>
                <w:rFonts w:ascii="Calibri Light" w:hAnsi="Calibri Light" w:cs="Calibri Light"/>
                <w:sz w:val="20"/>
              </w:rPr>
              <w:t xml:space="preserve">Gendarmeries/ Gendarmes mobiles </w:t>
            </w:r>
            <w:r/>
          </w:p>
          <w:p>
            <w:pPr>
              <w:rPr>
                <w:rFonts w:ascii="Calibri Light" w:hAnsi="Calibri Light" w:cs="Calibri Light"/>
                <w:color w:val="C0504D"/>
              </w:rPr>
            </w:pPr>
            <w:r/>
            <w:r/>
            <w:r>
              <w:rPr>
                <w:sz w:val="20"/>
              </w:rPr>
              <w:t xml:space="preserve">- Médiateurs santé</w:t>
            </w:r>
            <w:r>
              <w:rPr>
                <w:rFonts w:ascii="Calibri Light" w:hAnsi="Calibri Light" w:cs="Calibri Light"/>
                <w:color w:val="C0504D"/>
              </w:rPr>
            </w:r>
            <w:r/>
          </w:p>
          <w:p>
            <w:pPr>
              <w:rPr>
                <w:rFonts w:ascii="Calibri Light" w:hAnsi="Calibri Light" w:cs="Calibri Light"/>
                <w:color w:val="C0504D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Médiateurs sociaux</w:t>
            </w:r>
            <w:r/>
            <w:r/>
            <w:r>
              <w:rPr>
                <w:rFonts w:ascii="Calibri Light" w:hAnsi="Calibri Light" w:cs="Calibri Light"/>
                <w:color w:val="C0504D"/>
                <w:sz w:val="20"/>
              </w:rPr>
            </w:r>
            <w:r/>
          </w:p>
          <w:p>
            <w:pPr>
              <w:rPr>
                <w:rFonts w:ascii="Calibri Light" w:hAnsi="Calibri Light" w:cs="Calibri Light"/>
                <w:color w:val="C0504D"/>
                <w:sz w:val="20"/>
              </w:rPr>
            </w:pPr>
            <w:r>
              <w:rPr>
                <w:rFonts w:ascii="Calibri Light" w:hAnsi="Calibri Light" w:cs="Calibri Light"/>
                <w:color w:val="C0504D"/>
                <w:sz w:val="20"/>
              </w:rPr>
            </w:r>
            <w:r/>
          </w:p>
          <w:p>
            <w:pPr>
              <w:rPr>
                <w:rFonts w:ascii="Calibri Light" w:hAnsi="Calibri Light" w:cs="Calibri Light"/>
                <w:color w:val="C0504D"/>
                <w:sz w:val="20"/>
              </w:rPr>
            </w:pPr>
            <w:r>
              <w:rPr>
                <w:rFonts w:ascii="Calibri Light" w:hAnsi="Calibri Light" w:cs="Calibri Light"/>
                <w:color w:val="C0504D"/>
                <w:sz w:val="20"/>
              </w:rPr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Clubs seniors (UNRPA, Ainés ruraux etc.)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MFR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Aidants (</w:t>
            </w:r>
            <w:r>
              <w:rPr>
                <w:rFonts w:ascii="Calibri Light" w:hAnsi="Calibri Light" w:cs="Calibri Light"/>
                <w:sz w:val="20"/>
              </w:rPr>
              <w:t xml:space="preserve">soignant.e.s</w:t>
            </w:r>
            <w:r>
              <w:rPr>
                <w:rFonts w:ascii="Calibri Light" w:hAnsi="Calibri Light" w:cs="Calibri Light"/>
                <w:sz w:val="20"/>
              </w:rPr>
              <w:t xml:space="preserve">, </w:t>
            </w:r>
            <w:r>
              <w:rPr>
                <w:rFonts w:ascii="Calibri Light" w:hAnsi="Calibri Light" w:cs="Calibri Light"/>
                <w:sz w:val="20"/>
              </w:rPr>
              <w:t xml:space="preserve">assisant.e.s</w:t>
            </w:r>
            <w:r>
              <w:rPr>
                <w:rFonts w:ascii="Calibri Light" w:hAnsi="Calibri Light" w:cs="Calibri Light"/>
                <w:sz w:val="20"/>
              </w:rPr>
              <w:t xml:space="preserve"> de vie)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EHPAD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Résidences autonomie (ex foyers logements)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Résidences senior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CLIC (Centres locaux d'information et de coordination)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CARSAT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CCAS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Référents insertion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Centres sociaux départementaux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Organismes de service public (CAF, Pole Emploi, MSA)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Associations de proximité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CHU/CHRS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Maraudes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Associations caritatives (Secours Populaire, Emmaüs…)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Epiceries solidaires</w:t>
            </w:r>
            <w:r/>
          </w:p>
        </w:tc>
        <w:tc>
          <w:tcPr>
            <w:tcW w:w="1941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Comités Locaux pour le Logement Autonome des Jeunes (CLLAJ)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Missions locales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Services logements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Foyers de jeunes travailleurs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BIJ/PIJ)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Associations de jeunesse et d'éducation populaire (MJC, Ligue de l’enseignement)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Auberges de jeunesse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Centres de loisirs / asso</w:t>
            </w:r>
            <w:r>
              <w:rPr>
                <w:rFonts w:ascii="Calibri Light" w:hAnsi="Calibri Light" w:cs="Calibri Light"/>
                <w:sz w:val="20"/>
              </w:rPr>
              <w:t xml:space="preserve">ciations</w:t>
            </w:r>
            <w:r>
              <w:rPr>
                <w:rFonts w:ascii="Calibri Light" w:hAnsi="Calibri Light" w:cs="Calibri Light"/>
                <w:sz w:val="20"/>
              </w:rPr>
              <w:t xml:space="preserve"> sportives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Amicales laïques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Maisons des solidarités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École de la 2e chance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EPIDE (Établissement Pour l'Insertion Dans l'Emploi)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Greta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</w:t>
            </w:r>
            <w:r>
              <w:rPr>
                <w:rFonts w:ascii="Calibri Light" w:hAnsi="Calibri Light" w:cs="Calibri Light"/>
                <w:sz w:val="20"/>
              </w:rPr>
              <w:t xml:space="preserve">CROUS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</w:t>
            </w:r>
            <w:r>
              <w:rPr>
                <w:rFonts w:ascii="Calibri Light" w:hAnsi="Calibri Light" w:cs="Calibri Light"/>
                <w:sz w:val="20"/>
              </w:rPr>
              <w:t xml:space="preserve">Etablissements d'enseignement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Cap Emploi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Maison départementale des personnes handicapées (MDPH)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Associ</w:t>
            </w:r>
            <w:r>
              <w:rPr>
                <w:rFonts w:ascii="Calibri Light" w:hAnsi="Calibri Light" w:cs="Calibri Light"/>
                <w:sz w:val="20"/>
              </w:rPr>
              <w:t xml:space="preserve">ations dédiées (APF, ADAPEI etc</w:t>
            </w:r>
            <w:r>
              <w:rPr>
                <w:rFonts w:ascii="Calibri Light" w:hAnsi="Calibri Light" w:cs="Calibri Light"/>
                <w:sz w:val="20"/>
              </w:rPr>
              <w:t xml:space="preserve">.)</w:t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CCAS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Centres sociaux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Ecole / collèges / lycées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Associations de proximité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UDAF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CAF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Bailleurs sociaux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relais PMI (Protection Maternelle Infantile)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Familles de France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Familles rurales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Confédération syndicale des familles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AFL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</w:t>
            </w:r>
            <w:r>
              <w:rPr>
                <w:rFonts w:ascii="Calibri Light" w:hAnsi="Calibri Light" w:cs="Calibri Light"/>
                <w:sz w:val="20"/>
              </w:rPr>
              <w:t xml:space="preserve">CIDFF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(Foyers de travailleurs migrants?)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Centres d'accueil de demandeurs d'asile (CADA)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Ateliers </w:t>
            </w:r>
            <w:r>
              <w:rPr>
                <w:rFonts w:ascii="Calibri Light" w:hAnsi="Calibri Light" w:cs="Calibri Light"/>
                <w:sz w:val="20"/>
              </w:rPr>
              <w:t xml:space="preserve">socio-linguistiques</w:t>
            </w:r>
            <w:r>
              <w:rPr>
                <w:rFonts w:ascii="Calibri Light" w:hAnsi="Calibri Light" w:cs="Calibri Light"/>
                <w:sz w:val="20"/>
              </w:rPr>
              <w:t xml:space="preserve"> (ASL)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Toute structure mettant en place des ateliers FLE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Pôle Emp</w:t>
            </w:r>
            <w:r>
              <w:rPr>
                <w:rFonts w:ascii="Calibri Light" w:hAnsi="Calibri Light" w:cs="Calibri Light"/>
                <w:sz w:val="20"/>
              </w:rPr>
              <w:t xml:space="preserve">l</w:t>
            </w:r>
            <w:r>
              <w:rPr>
                <w:rFonts w:ascii="Calibri Light" w:hAnsi="Calibri Light" w:cs="Calibri Light"/>
                <w:sz w:val="20"/>
              </w:rPr>
              <w:t xml:space="preserve">oi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Services insertion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Maisons de l'emploi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Chantiers d'insertion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Entreprises d'Insertion</w:t>
            </w:r>
            <w:r>
              <w:rPr>
                <w:rFonts w:ascii="Calibri Light" w:hAnsi="Calibri Light" w:cs="Calibri Light"/>
                <w:sz w:val="20"/>
              </w:rPr>
              <w:br/>
              <w:t xml:space="preserve">- Régies de Quartier</w:t>
            </w:r>
            <w:r/>
          </w:p>
        </w:tc>
      </w:tr>
    </w:tbl>
    <w:p>
      <w:r/>
      <w:r/>
    </w:p>
    <w:p>
      <w:r/>
      <w:r/>
    </w:p>
    <w:p>
      <w:r/>
      <w:r/>
    </w:p>
    <w:tbl>
      <w:tblPr>
        <w:tblStyle w:val="172"/>
        <w:tblpPr w:horzAnchor="margin" w:tblpX="-457" w:vertAnchor="text" w:tblpY="-21" w:leftFromText="141" w:topFromText="0" w:rightFromText="141" w:bottomFromText="0"/>
        <w:tblW w:w="15346" w:type="dxa"/>
        <w:tblLayout w:type="fixed"/>
        <w:tblLook w:val="04A0" w:firstRow="1" w:lastRow="0" w:firstColumn="1" w:lastColumn="0" w:noHBand="0" w:noVBand="1"/>
      </w:tblPr>
      <w:tblGrid>
        <w:gridCol w:w="675"/>
        <w:gridCol w:w="2330"/>
        <w:gridCol w:w="1763"/>
        <w:gridCol w:w="1763"/>
        <w:gridCol w:w="1763"/>
        <w:gridCol w:w="1763"/>
        <w:gridCol w:w="1763"/>
        <w:gridCol w:w="1763"/>
        <w:gridCol w:w="1763"/>
      </w:tblGrid>
      <w:tr>
        <w:trPr>
          <w:trHeight w:val="275"/>
        </w:trPr>
        <w:tc>
          <w:tcPr>
            <w:tcW w:w="675" w:type="dxa"/>
            <w:vMerge w:val="restart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TOUTE </w:t>
            </w:r>
            <w:r/>
          </w:p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LA POPULATION</w:t>
            </w:r>
            <w:r/>
          </w:p>
        </w:tc>
        <w:tc>
          <w:tcPr>
            <w:gridSpan w:val="7"/>
            <w:tcW w:w="123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4636768</wp:posOffset>
                  </wp:positionH>
                  <wp:positionV relativeFrom="paragraph">
                    <wp:posOffset>187958</wp:posOffset>
                  </wp:positionV>
                  <wp:extent cx="560703" cy="560703"/>
                  <wp:effectExtent l="0" t="0" r="0" b="0"/>
                  <wp:wrapNone/>
                  <wp:docPr descr="C:\Users\Cecilia\Google Drive\WeTechCare\3. Conseil &amp; Déploiement\03 Boîte à outils\Icônes\PERSONA\002-family.png" hidden="false" id="7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ecilia\Google Drive\WeTechCare\3. Conseil &amp; Déploiement\03 Boîte à outils\Icônes\PERSONA\002-family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56070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3557903</wp:posOffset>
                  </wp:positionH>
                  <wp:positionV relativeFrom="paragraph">
                    <wp:posOffset>208913</wp:posOffset>
                  </wp:positionV>
                  <wp:extent cx="525780" cy="525780"/>
                  <wp:effectExtent l="0" t="0" r="0" b="7618"/>
                  <wp:wrapNone/>
                  <wp:docPr descr="C:\Users\Cecilia\Google Drive\WeTechCare\3. Conseil &amp; Déploiement\03 Boîte à outils\Icônes\PERSONA\001-handicapped.png" hidden="false" id="8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ecilia\Google Drive\WeTechCare\3. Conseil &amp; Déploiement\03 Boîte à outils\Icônes\PERSONA\001-handicapped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C0504D" w:themeColor="accent2"/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2461893</wp:posOffset>
                  </wp:positionH>
                  <wp:positionV relativeFrom="paragraph">
                    <wp:posOffset>207643</wp:posOffset>
                  </wp:positionV>
                  <wp:extent cx="533398" cy="533398"/>
                  <wp:effectExtent l="0" t="0" r="0" b="0"/>
                  <wp:wrapNone/>
                  <wp:docPr descr="C:\Users\Cecilia\Google Drive\WeTechCare\3. Conseil &amp; Déploiement\03 Boîte à outils\Icônes\PERSONA\son.png" hidden="false" id="9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ecilia\Google Drive\WeTechCare\3. Conseil &amp; Déploiement\03 Boîte à outils\Icônes\PERSONA\son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Lieux spécifiques …</w:t>
            </w:r>
            <w:r/>
          </w:p>
        </w:tc>
      </w:tr>
      <w:tr>
        <w:trPr>
          <w:trHeight w:val="987"/>
        </w:trPr>
        <w:tc>
          <w:tcPr>
            <w:tcW w:w="675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185418</wp:posOffset>
                  </wp:positionH>
                  <wp:positionV relativeFrom="paragraph">
                    <wp:posOffset>-16508</wp:posOffset>
                  </wp:positionV>
                  <wp:extent cx="579118" cy="579118"/>
                  <wp:effectExtent l="0" t="0" r="0" b="0"/>
                  <wp:wrapNone/>
                  <wp:docPr hidden="false" id="10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246378</wp:posOffset>
                  </wp:positionH>
                  <wp:positionV relativeFrom="paragraph">
                    <wp:posOffset>-64134</wp:posOffset>
                  </wp:positionV>
                  <wp:extent cx="521968" cy="521968"/>
                  <wp:effectExtent l="0" t="0" r="0" b="0"/>
                  <wp:wrapNone/>
                  <wp:docPr descr="C:\Users\Cecilia\AppData\Local\Microsoft\Windows\INetCache\Content.Word\001-discussion.png" hidden="false" id="1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ecilia\AppData\Local\Microsoft\Windows\INetCache\Content.Word\001-discussion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lang w:eastAsia="fr-FR"/>
              </w:rPr>
              <w:drawing>
                <wp:anchor xmlns:wp="http://schemas.openxmlformats.org/drawingml/2006/wordprocessingDrawing"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197483</wp:posOffset>
                  </wp:positionH>
                  <wp:positionV relativeFrom="paragraph">
                    <wp:posOffset>-20318</wp:posOffset>
                  </wp:positionV>
                  <wp:extent cx="546098" cy="546098"/>
                  <wp:effectExtent l="0" t="0" r="6348" b="6348"/>
                  <wp:wrapNone/>
                  <wp:docPr descr="C:\Users\Cecilia\Downloads\people.png" hidden="false" id="12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ecilia\Downloads\people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</w:tr>
      <w:tr>
        <w:trPr>
          <w:trHeight w:val="987"/>
        </w:trPr>
        <w:tc>
          <w:tcPr>
            <w:tcW w:w="675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</w:r>
            <w:r/>
          </w:p>
        </w:tc>
        <w:tc>
          <w:tcPr>
            <w:tcW w:w="233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C0504D"/>
              </w:rPr>
            </w:pPr>
            <w:r>
              <w:rPr>
                <w:rFonts w:ascii="Calibri Light" w:hAnsi="Calibri Light" w:cs="Calibri Light"/>
                <w:b/>
                <w:bCs/>
                <w:color w:val="C0504D"/>
              </w:rPr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âgées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Bénéficiaires de minima sociaux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Jeunes en situation de fragilité </w:t>
            </w: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br/>
              <w:t xml:space="preserve">(16-30 ans)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en situation de handicap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Familles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Personnes ayant des difficultés en langue française</w:t>
            </w:r>
            <w:r/>
          </w:p>
        </w:tc>
        <w:tc>
          <w:tcPr>
            <w:tcW w:w="17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/>
                <w:b/>
                <w:bCs/>
                <w:color w:val="4BACC6"/>
              </w:rPr>
            </w:pPr>
            <w:r>
              <w:rPr>
                <w:rFonts w:ascii="Calibri Light" w:hAnsi="Calibri Light" w:cs="Calibri Light"/>
                <w:b/>
                <w:bCs/>
                <w:color w:val="4BACC6" w:themeColor="accent5"/>
              </w:rPr>
              <w:t xml:space="preserve">Demandeurs d'emploi</w:t>
            </w:r>
            <w:r/>
          </w:p>
        </w:tc>
      </w:tr>
      <w:tr>
        <w:trPr>
          <w:cantSplit/>
          <w:trHeight w:val="4297"/>
        </w:trPr>
        <w:tc>
          <w:tcPr>
            <w:tcW w:w="67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  <w:color w:val="C0504D" w:themeColor="accent2"/>
              </w:rPr>
              <w:t xml:space="preserve">LIEUX SPECIFIQUES TERRITOIRES RURAUX</w:t>
            </w:r>
            <w:r/>
          </w:p>
        </w:tc>
        <w:tc>
          <w:tcPr>
            <w:tcW w:w="2330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</w:t>
            </w:r>
            <w:r>
              <w:rPr>
                <w:rFonts w:ascii="Calibri Light" w:hAnsi="Calibri Light" w:cs="Calibri Light"/>
                <w:sz w:val="20"/>
              </w:rPr>
              <w:t xml:space="preserve">Msap</w:t>
            </w:r>
            <w:r>
              <w:rPr>
                <w:rFonts w:ascii="Calibri Light" w:hAnsi="Calibri Light" w:cs="Calibri Light"/>
                <w:sz w:val="20"/>
              </w:rPr>
              <w:t xml:space="preserve"> 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Mairies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Services départementaux et antennes territorialisés de l'action sociale (autonomie, enfance, famille, emploi, insertion)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maisons de santé pluridisciplinaire</w:t>
            </w:r>
            <w:r/>
          </w:p>
          <w:p>
            <w:pPr>
              <w:rPr>
                <w:rFonts w:ascii="Calibri Light" w:hAnsi="Calibri Light" w:cs="Calibri Light"/>
                <w:color w:val="C0504D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Association Familles Rurales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Intervenants à domicile (médicales et ménagères)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CIAS/CCAS</w:t>
            </w:r>
            <w:r/>
          </w:p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Services départementaux et antennes territorialisés de l'action sociale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-MFR (maisons familiales rurales)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-Associations dédiées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relais PMI (Protection Maternelle Infantile)</w:t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</w:r>
            <w:r/>
          </w:p>
        </w:tc>
        <w:tc>
          <w:tcPr>
            <w:tcW w:w="1763" w:type="dxa"/>
            <w:textDirection w:val="lrTb"/>
            <w:noWrap w:val="false"/>
          </w:tcPr>
          <w:p>
            <w:pPr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- Régie de territoires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sectPr>
      <w:footnotePr/>
      <w:type w:val="nextPage"/>
      <w:pgSz w:w="16838" w:h="11906" w:orient="landscape"/>
      <w:pgMar w:top="426" w:right="1417" w:bottom="28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alibri Light">
    <w:panose1 w:val="020F0502020204030204"/>
  </w:font>
  <w:font w:name="Tahoma">
    <w:panose1 w:val="020B060403050404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">
    <w:name w:val="Heading 1"/>
    <w:basedOn w:val="168"/>
    <w:next w:val="1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8">
    <w:name w:val="Heading 2"/>
    <w:basedOn w:val="168"/>
    <w:next w:val="1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29">
    <w:name w:val="Heading 3"/>
    <w:basedOn w:val="168"/>
    <w:next w:val="1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0">
    <w:name w:val="Heading 4"/>
    <w:basedOn w:val="168"/>
    <w:next w:val="1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1">
    <w:name w:val="Heading 5"/>
    <w:basedOn w:val="168"/>
    <w:next w:val="1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2">
    <w:name w:val="Heading 6"/>
    <w:basedOn w:val="168"/>
    <w:next w:val="1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3">
    <w:name w:val="Heading 7"/>
    <w:basedOn w:val="168"/>
    <w:next w:val="1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4">
    <w:name w:val="Heading 8"/>
    <w:basedOn w:val="168"/>
    <w:next w:val="1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5">
    <w:name w:val="Heading 9"/>
    <w:basedOn w:val="168"/>
    <w:next w:val="1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36">
    <w:name w:val="No Spacing"/>
    <w:basedOn w:val="168"/>
    <w:qFormat/>
    <w:uiPriority w:val="1"/>
    <w:rPr>
      <w:color w:val="000000"/>
    </w:rPr>
    <w:pPr>
      <w:spacing w:lineRule="auto" w:line="240" w:after="0"/>
    </w:pPr>
  </w:style>
  <w:style w:type="paragraph" w:styleId="137">
    <w:name w:val="Title"/>
    <w:basedOn w:val="168"/>
    <w:next w:val="16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8">
    <w:name w:val="Subtitle"/>
    <w:basedOn w:val="168"/>
    <w:next w:val="168"/>
    <w:qFormat/>
    <w:uiPriority w:val="11"/>
    <w:rPr>
      <w:i/>
      <w:color w:val="444444"/>
      <w:sz w:val="52"/>
    </w:rPr>
    <w:pPr>
      <w:spacing w:lineRule="auto" w:line="240"/>
    </w:pPr>
  </w:style>
  <w:style w:type="paragraph" w:styleId="139">
    <w:name w:val="Quote"/>
    <w:basedOn w:val="168"/>
    <w:next w:val="16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0">
    <w:name w:val="Intense Quote"/>
    <w:basedOn w:val="168"/>
    <w:next w:val="16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41">
    <w:name w:val="Header"/>
    <w:basedOn w:val="16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42">
    <w:name w:val="Footer"/>
    <w:basedOn w:val="16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43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47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0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1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2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53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54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55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56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57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8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9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0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1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2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3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64">
    <w:name w:val="Hyperlink"/>
    <w:uiPriority w:val="99"/>
    <w:unhideWhenUsed/>
    <w:rPr>
      <w:color w:val="0000FF" w:themeColor="hyperlink"/>
      <w:u w:val="single"/>
    </w:rPr>
  </w:style>
  <w:style w:type="paragraph" w:styleId="165">
    <w:name w:val="footnote text"/>
    <w:basedOn w:val="168"/>
    <w:uiPriority w:val="99"/>
    <w:semiHidden/>
    <w:unhideWhenUsed/>
    <w:rPr>
      <w:sz w:val="20"/>
    </w:rPr>
    <w:pPr>
      <w:spacing w:lineRule="auto" w:line="240" w:after="0"/>
    </w:pPr>
  </w:style>
  <w:style w:type="character" w:styleId="166">
    <w:name w:val="Footnote Text Char"/>
    <w:basedOn w:val="169"/>
    <w:uiPriority w:val="99"/>
    <w:semiHidden/>
    <w:rPr>
      <w:sz w:val="20"/>
    </w:rPr>
  </w:style>
  <w:style w:type="character" w:styleId="167">
    <w:name w:val="footnote reference"/>
    <w:basedOn w:val="169"/>
    <w:uiPriority w:val="99"/>
    <w:semiHidden/>
    <w:unhideWhenUsed/>
    <w:rPr>
      <w:vertAlign w:val="superscript"/>
    </w:rPr>
  </w:style>
  <w:style w:type="paragraph" w:styleId="168" w:default="1">
    <w:name w:val="Normal"/>
    <w:qFormat/>
  </w:style>
  <w:style w:type="character" w:styleId="169" w:default="1">
    <w:name w:val="Default Paragraph Font"/>
    <w:uiPriority w:val="1"/>
    <w:semiHidden/>
    <w:unhideWhenUsed/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table" w:styleId="172">
    <w:name w:val="Table Grid"/>
    <w:basedOn w:val="17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73">
    <w:name w:val="List Paragraph"/>
    <w:basedOn w:val="168"/>
    <w:qFormat/>
    <w:uiPriority w:val="34"/>
    <w:pPr>
      <w:contextualSpacing w:val="true"/>
      <w:ind w:left="720"/>
    </w:pPr>
  </w:style>
  <w:style w:type="paragraph" w:styleId="174">
    <w:name w:val="Balloon Text"/>
    <w:basedOn w:val="168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75">
    <w:name w:val="Texte de bulles Car"/>
    <w:basedOn w:val="16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0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