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Magen Platform Integration &amp; Modernization Blueprint</w:t>
      </w:r>
    </w:p>
    <w:p>
      <w:pPr>
        <w:pStyle w:val="SubtitleStyle"/>
      </w:pPr>
      <w:r>
        <w:t>Enhanced architecture, policy model, security controls, integration patterns, and rollout plan for turning the 2018 Magen masking design into a platform-grade capability.</w:t>
      </w:r>
    </w:p>
    <w:tbl>
      <w:tblPr>
        <w:tblW w:type="auto" w:w="0"/>
        <w:jc w:val="center"/>
        <w:tblLayout w:type="fixed"/>
        <w:tblLook w:firstColumn="1" w:firstRow="1" w:lastColumn="0" w:lastRow="0" w:noHBand="0" w:noVBand="1" w:val="04A0"/>
        <w:tblBorders>
          <w:top w:val="single" w:sz="0" w:space="0" w:color="1F4E79"/>
          <w:left w:val="single" w:sz="0" w:space="0" w:color="1F4E79"/>
          <w:bottom w:val="single" w:sz="0" w:space="0" w:color="1F4E79"/>
          <w:right w:val="single" w:sz="0" w:space="0" w:color="1F4E79"/>
          <w:insideH w:val="single" w:sz="0" w:space="0" w:color="1F4E79"/>
          <w:insideV w:val="single" w:sz="0" w:space="0" w:color="1F4E79"/>
        </w:tblBorders>
      </w:tblPr>
      <w:tblGrid>
        <w:gridCol w:w="9792"/>
      </w:tblGrid>
      <w:tr>
        <w:tc>
          <w:tcPr>
            <w:tcW w:type="dxa" w:w="9288"/>
            <w:shd w:fill="1F4E79"/>
            <w:tcMar>
              <w:top w:w="0" w:type="dxa"/>
              <w:start w:w="0" w:type="dxa"/>
              <w:bottom w:w="0" w:type="dxa"/>
              <w:end w:w="0" w:type="dxa"/>
            </w:tcMar>
          </w:tcPr>
          <w:p>
            <w:r/>
          </w:p>
        </w:tc>
      </w:tr>
    </w:tbl>
    <w:p>
      <w:pPr>
        <w:pStyle w:val="SmallText"/>
      </w:pPr>
    </w:p>
    <w:p>
      <w:pPr/>
      <w:r>
        <w:rPr>
          <w:b/>
        </w:rPr>
        <w:t xml:space="preserve">Source baseline: </w:t>
      </w:r>
      <w:r>
        <w:t>Magen Overview (2018). This document preserves the original execution concepts—processor, selector, predicate, and graph—but repackages them for modern product, security, and operations requirements.</w:t>
      </w:r>
    </w:p>
    <w:p>
      <w:pPr/>
      <w:r>
        <w:rPr>
          <w:b/>
        </w:rPr>
        <w:t xml:space="preserve">Intended use: </w:t>
      </w:r>
      <w:r>
        <w:t>Technical design review, platform incorporation planning, policy/API implementation guidance, and phased rollout execution.</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What changed in this enhanced version</w:t>
            </w:r>
          </w:p>
        </w:tc>
      </w:tr>
      <w:tr>
        <w:tc>
          <w:tcPr>
            <w:tcW w:type="dxa" w:w="9288"/>
            <w:tcMar>
              <w:top w:w="70" w:type="dxa"/>
              <w:start w:w="100" w:type="dxa"/>
              <w:bottom w:w="80" w:type="dxa"/>
              <w:end w:w="100" w:type="dxa"/>
            </w:tcMar>
            <w:shd w:fill="F7F9FC"/>
          </w:tcPr>
          <w:p>
            <w:pPr>
              <w:spacing w:after="80"/>
            </w:pPr>
            <w:r/>
            <w:r>
              <w:rPr>
                <w:sz w:val="20"/>
              </w:rPr>
              <w:t>The original document explains the masking library clearly, but it stops short of a full platform architecture. This blueprint adds the missing control plane, execution plane, security boundaries, API contracts, operational requirements, and migration sequence.</w:t>
            </w:r>
          </w:p>
          <w:p>
            <w:pPr>
              <w:spacing w:after="80"/>
            </w:pPr>
            <w:r>
              <w:rPr>
                <w:sz w:val="20"/>
              </w:rPr>
              <w:t>The goal is not to replace the original ideas. The goal is to retain the durable abstractions and remove the ambiguity that would create risk in production adoption.</w:t>
            </w:r>
          </w:p>
        </w:tc>
      </w:tr>
    </w:tbl>
    <w:p>
      <w:pPr>
        <w:pStyle w:val="SmallText"/>
      </w:pPr>
    </w:p>
    <w:p>
      <w:pPr>
        <w:pStyle w:val="Heading1"/>
      </w:pPr>
      <w:r>
        <w:t>Executive summary</w:t>
      </w:r>
    </w:p>
    <w:p>
      <w:pPr/>
      <w:r>
        <w:t>The 2018 Magen design already contains a strong conceptual kernel: a masking engine built from processors, selectors, predicates, and a directed acyclic graph. That model is still worth keeping. It is expressive enough to support structured, unstructured, and composite payloads, and it cleanly separates selection from transformation.</w:t>
      </w:r>
    </w:p>
    <w:p>
      <w:pPr/>
      <w:r>
        <w:t>What is missing for platform incorporation is not a new masking theory. What is missing is productization discipline: typed policy schemas, explicit service contracts, secret management, policy validation, observability, tenant isolation, failure semantics, and a safe boundary between masking and re-identification.</w:t>
      </w:r>
    </w:p>
    <w:p>
      <w:pPr>
        <w:pStyle w:val="ListBullet"/>
        <w:spacing w:after="80"/>
      </w:pPr>
      <w:r>
        <w:t>Keep the processor / selector / predicate / graph model as the internal execution representation.</w:t>
      </w:r>
    </w:p>
    <w:p>
      <w:pPr>
        <w:pStyle w:val="ListBullet"/>
        <w:spacing w:after="80"/>
      </w:pPr>
      <w:r>
        <w:t>Introduce a policy compiler that validates and normalizes human-authored policies into a deterministic execution plan.</w:t>
      </w:r>
    </w:p>
    <w:p>
      <w:pPr>
        <w:pStyle w:val="ListBullet"/>
        <w:spacing w:after="80"/>
      </w:pPr>
      <w:r>
        <w:t>Externalize cryptography and tokenization to dedicated providers backed by KMS, HSM, or a token vault; policies should reference capabilities, never embed secrets.</w:t>
      </w:r>
    </w:p>
    <w:p>
      <w:pPr>
        <w:pStyle w:val="ListBullet"/>
        <w:spacing w:after="80"/>
      </w:pPr>
      <w:r>
        <w:t>Support four integration modes from the start: synchronous API, asynchronous batch job, stream pipeline, and local SDK / sidecar execution.</w:t>
      </w:r>
    </w:p>
    <w:p>
      <w:pPr>
        <w:pStyle w:val="ListBullet"/>
        <w:spacing w:after="80"/>
      </w:pPr>
      <w:r>
        <w:t>Make dry-run, explain, audit, and replay-safe diagnostics first-class so that policy adoption is governed instead of ad hoc.</w:t>
      </w:r>
    </w:p>
    <w:p>
      <w:pPr>
        <w:pStyle w:val="ListBullet"/>
        <w:spacing w:after="80"/>
      </w:pPr>
      <w:r>
        <w:t>Separate mask/de-identify flows from unmask/re-identify flows; the latter should require stronger authorization, better audit, and narrower deployment.</w:t>
      </w:r>
    </w:p>
    <w:p>
      <w:pPr>
        <w:pStyle w:val="Heading1"/>
      </w:pPr>
      <w:r>
        <w:t>1. Baseline preserved from the source design</w:t>
      </w:r>
    </w:p>
    <w:p>
      <w:pPr/>
      <w:r>
        <w:t>The original document contributes several ideas that remain valuable and should be preserved rather than redesigned away.</w:t>
      </w:r>
    </w:p>
    <w:p>
      <w:pPr>
        <w:pStyle w:val="Heading3"/>
      </w:pPr>
      <w:r>
        <w:t>Original capabilities worth carrying forward</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216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Capability</w:t>
            </w:r>
          </w:p>
        </w:tc>
        <w:tc>
          <w:tcPr>
            <w:tcW w:type="dxa" w:w="302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Why it is still strong</w:t>
            </w:r>
          </w:p>
        </w:tc>
        <w:tc>
          <w:tcPr>
            <w:tcW w:type="dxa" w:w="410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What to preserve in the platform</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Graph-based execution</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A DAG naturally models multi-stage processing for composite payloads.</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Compile authored policies into a stable plan graph with deterministic node and edge identifiers.</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Processors</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The processor abstraction cleanly separates parsing, selection, transformation, and reconstruction concerns.</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Keep processors as typed components with explicit input/output contracts.</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Selectors</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Selectors make context-based targeting possible across XML, HTML, JSON, and free text.</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Retain selector polymorphism and add stronger validation and test fixtures.</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Predicates</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Conditional processing is essential for shared policies and environment-sensitive execution.</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Support metadata-aware predicates over tenant, route, purpose, risk, and mode.</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JSON policy</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A JSON policy is easy to store, diff, version, and send over APIs.</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Version the schema, define semantic validation rules, and publish a compatibility contract.</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Service wrapper</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A service interface is the right path for platform reuse.</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Expand the service into a full control plane plus execution APIs.</w:t>
            </w:r>
          </w:p>
        </w:tc>
      </w:tr>
    </w:tbl>
    <w:p>
      <w:pPr>
        <w:pStyle w:val="SmallText"/>
      </w:pP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Preservation rule</w:t>
            </w:r>
          </w:p>
        </w:tc>
      </w:tr>
      <w:tr>
        <w:tc>
          <w:tcPr>
            <w:tcW w:type="dxa" w:w="9288"/>
            <w:tcMar>
              <w:top w:w="70" w:type="dxa"/>
              <w:start w:w="100" w:type="dxa"/>
              <w:bottom w:w="80" w:type="dxa"/>
              <w:end w:w="100" w:type="dxa"/>
            </w:tcMar>
            <w:shd w:fill="F8FAFC"/>
          </w:tcPr>
          <w:p>
            <w:pPr>
              <w:spacing w:after="80"/>
            </w:pPr>
            <w:r/>
            <w:r>
              <w:rPr>
                <w:sz w:val="20"/>
              </w:rPr>
              <w:t>Do not throw away the original abstractions just because the document is old. The right move is to preserve the execution model and modernize the surrounding contracts, controls, and operator experience.</w:t>
            </w:r>
          </w:p>
        </w:tc>
      </w:tr>
    </w:tbl>
    <w:p>
      <w:pPr>
        <w:pStyle w:val="SmallText"/>
      </w:pPr>
    </w:p>
    <w:p>
      <w:pPr>
        <w:pStyle w:val="Heading1"/>
      </w:pPr>
      <w:r>
        <w:t>2. Gaps that must be closed before platform incorporation</w:t>
      </w:r>
    </w:p>
    <w:p>
      <w:pPr/>
      <w:r>
        <w:t>The source overview is conceptually sound, but a platform team would still need to answer a set of unresolved production questions. Those questions should be treated as first-class design work, not implementation details.</w:t>
      </w:r>
    </w:p>
    <w:p>
      <w:pPr>
        <w:pStyle w:val="Heading3"/>
      </w:pPr>
      <w:r>
        <w:t>Gap analysis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48"/>
        <w:gridCol w:w="2448"/>
        <w:gridCol w:w="2448"/>
        <w:gridCol w:w="2448"/>
      </w:tblGrid>
      <w:tr>
        <w:trPr>
          <w:cantSplit/>
          <w:tblHeader/>
        </w:trPr>
        <w:tc>
          <w:tcPr>
            <w:tcW w:type="dxa" w:w="151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Area</w:t>
            </w:r>
          </w:p>
        </w:tc>
        <w:tc>
          <w:tcPr>
            <w:tcW w:type="dxa" w:w="2448"/>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Observed gap</w:t>
            </w:r>
          </w:p>
        </w:tc>
        <w:tc>
          <w:tcPr>
            <w:tcW w:type="dxa" w:w="2448"/>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Production consequence</w:t>
            </w:r>
          </w:p>
        </w:tc>
        <w:tc>
          <w:tcPr>
            <w:tcW w:type="dxa" w:w="288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Recommended enhancement</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API contract</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The service is only lightly described, and operation mode is partly conveyed through query parameters.</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Brittle caller behavior and inconsistent integrations.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Define versioned request/response schemas with explicit mode, metadata, and options in the body.</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Policy typing</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Policies are flexible but weakly typed.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Late failures and unclear authoring errors.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Publish JSON Schema plus semantic validation and plan compilation.</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Secrets</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Examples show keys and IVs directly in documentation.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Unsafe operational habits and leakage risk.</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Reference keys by logical alias; resolve secrets only inside trusted crypto providers.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Tenancy</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tenant isolation model is described.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Cross-tenant blast radius.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Carry tenant identity through every request, plan, audit record, and key resolution step.</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Observability</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metric, trace, or attestation model is defined.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Difficult debugging and weak governance.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Emit rule-level metrics, plan hash, selector hit counts, and transform attestations.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Failure semantics</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Retry, timeout, partial failure, and idempotency behavior are unspecified.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Unreliable automation.</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Define deterministic error taxonomy and idempotency semantics.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Re-identification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Masking and unmasking are modeled as parallel branches of one graph.</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Excessive privilege concentration.</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Run re-identification behind a narrower capability boundary with stronger policy and audit.</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Content coverage</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Examples center on XML, HTML, and JSON.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Adoption friction for other payload types.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Add adapters for CSV, delimited logs, YAML, protobuf/Avro gateways, and text-layer PDF where appropriate.</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Governance</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policy lifecycle is described.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Unreviewed rules and policy drift.</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Add review, approval, versioning, rollback, and policy test packs.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Performance</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execution scaling model is shown.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Unknown latency and capacity characteristics.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Define synchronous latency budgets, async job sizing, streaming backpressure, and cache behavior.</w:t>
            </w:r>
          </w:p>
        </w:tc>
      </w:tr>
    </w:tbl>
    <w:p>
      <w:pPr>
        <w:pStyle w:val="SmallText"/>
      </w:pPr>
    </w:p>
    <w:p>
      <w:pPr>
        <w:pStyle w:val="Heading1"/>
      </w:pPr>
      <w:r>
        <w:t>3. Target platform architecture</w:t>
      </w:r>
    </w:p>
    <w:p>
      <w:pPr/>
      <w:r>
        <w:t>A practical target architecture separates authoring and governance concerns from payload execution. That distinction is the main structural enhancement needed to make the original design platform-ready.</w:t>
      </w:r>
    </w:p>
    <w:p>
      <w:pPr>
        <w:pStyle w:val="Heading3"/>
      </w:pPr>
      <w:r>
        <w:t>Architecture layers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48"/>
        <w:gridCol w:w="2448"/>
        <w:gridCol w:w="2448"/>
        <w:gridCol w:w="2448"/>
      </w:tblGrid>
      <w:tr>
        <w:trPr>
          <w:cantSplit/>
          <w:tblHeader/>
        </w:trPr>
        <w:tc>
          <w:tcPr>
            <w:tcW w:type="dxa" w:w="151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Layer</w:t>
            </w:r>
          </w:p>
        </w:tc>
        <w:tc>
          <w:tcPr>
            <w:tcW w:type="dxa" w:w="288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Primary responsibility</w:t>
            </w:r>
          </w:p>
        </w:tc>
        <w:tc>
          <w:tcPr>
            <w:tcW w:type="dxa" w:w="216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Interfaces</w:t>
            </w:r>
          </w:p>
        </w:tc>
        <w:tc>
          <w:tcPr>
            <w:tcW w:type="dxa" w:w="2736"/>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Notes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Control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Policy storage, validation, compilation, approval, rollout, and versioning.</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UI, GitOps, policy APIs.</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No raw payload processing required except for test fixtures.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Execution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Fast payload transformation using compiled execution plans.</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Sync API, async jobs, streaming workers, sidecar/SDK.</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Stateless where possible; cache plans and selector artifacts.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Secrets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Key resolution, envelope encryption, token issuance, token lookup, and rotation.</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KMS, HSM, token vault.</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Strongest trust boundary in the system.</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Audit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Immutable record of who invoked what policy against which tenant and why.</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Event bus, append-only store, SIEM.</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Never store raw sensitive fields unless explicitly approved.</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Observation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Metrics, traces, policy explain output, hit counts, error rates, and drift detection.</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Prometheus/OpenTelemetry/log pipeline.</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Needed for both operators and policy authors.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Adapter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Parsing and reconstruction for content types and composite payloads.</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JSON, XML, HTML, CSV, text, gateway decoders.</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The original processor concept lives here.</w:t>
            </w:r>
          </w:p>
        </w:tc>
      </w:tr>
    </w:tbl>
    <w:p>
      <w:pPr>
        <w:pStyle w:val="SmallText"/>
      </w:pPr>
    </w:p>
    <w:p>
      <w:pPr/>
      <w:r>
        <w:t>Recommended execution flow:</w:t>
      </w:r>
    </w:p>
    <w:p>
      <w:pPr>
        <w:pStyle w:val="ListNumber"/>
        <w:spacing w:after="80"/>
      </w:pPr>
      <w:r>
        <w:t>Ingress receives the payload together with metadata such as tenant, use case, route, content type, and requested operation mode.</w:t>
      </w:r>
    </w:p>
    <w:p>
      <w:pPr>
        <w:pStyle w:val="ListNumber"/>
        <w:spacing w:after="80"/>
      </w:pPr>
      <w:r>
        <w:t>Policy compiler resolves the requested policy version and returns a compiled execution plan plus capability references.</w:t>
      </w:r>
    </w:p>
    <w:p>
      <w:pPr>
        <w:pStyle w:val="ListNumber"/>
        <w:spacing w:after="80"/>
      </w:pPr>
      <w:r>
        <w:t>Adapters parse the payload into a navigable representation while preserving enough structure to rebuild the original shape.</w:t>
      </w:r>
    </w:p>
    <w:p>
      <w:pPr>
        <w:pStyle w:val="ListNumber"/>
        <w:spacing w:after="80"/>
      </w:pPr>
      <w:r>
        <w:t>Selectors and classifiers identify candidate fields or spans. Predicates prune the execution graph based on metadata and rule conditions.</w:t>
      </w:r>
    </w:p>
    <w:p>
      <w:pPr>
        <w:pStyle w:val="ListNumber"/>
        <w:spacing w:after="80"/>
      </w:pPr>
      <w:r>
        <w:t>Transform providers perform redaction, encryption, tokenization, or format-preserving variants using provider-specific capabilities.</w:t>
      </w:r>
    </w:p>
    <w:p>
      <w:pPr>
        <w:pStyle w:val="ListNumber"/>
        <w:spacing w:after="80"/>
      </w:pPr>
      <w:r>
        <w:t>Rebuilders write transformed values back into the structured, semi-structured, or composite document form.</w:t>
      </w:r>
    </w:p>
    <w:p>
      <w:pPr>
        <w:pStyle w:val="ListNumber"/>
        <w:spacing w:after="80"/>
      </w:pPr>
      <w:r>
        <w:t>Audit and observation emit an attestation containing policyId, planHash, selector hits, transform counts, latency, and authorization context.</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Critical production rule</w:t>
            </w:r>
          </w:p>
        </w:tc>
      </w:tr>
      <w:tr>
        <w:tc>
          <w:tcPr>
            <w:tcW w:type="dxa" w:w="9288"/>
            <w:tcMar>
              <w:top w:w="70" w:type="dxa"/>
              <w:start w:w="100" w:type="dxa"/>
              <w:bottom w:w="80" w:type="dxa"/>
              <w:end w:w="100" w:type="dxa"/>
            </w:tcMar>
            <w:shd w:fill="F7F9FC"/>
          </w:tcPr>
          <w:p>
            <w:pPr>
              <w:spacing w:after="80"/>
            </w:pPr>
            <w:r/>
            <w:r>
              <w:rPr>
                <w:sz w:val="20"/>
              </w:rPr>
              <w:t>Policies may describe what capability is required, but they must never carry raw keys, token vault credentials, or implementation secrets. Secret-bearing operations belong behind provider interfaces with isolated runtime authorization.</w:t>
            </w:r>
          </w:p>
        </w:tc>
      </w:tr>
    </w:tbl>
    <w:p>
      <w:pPr>
        <w:pStyle w:val="SmallText"/>
      </w:pPr>
    </w:p>
    <w:p>
      <w:pPr>
        <w:pStyle w:val="Heading1"/>
      </w:pPr>
      <w:r>
        <w:t>4. Expanded core abstractions</w:t>
      </w:r>
    </w:p>
    <w:p>
      <w:pPr/>
      <w:r>
        <w:t>The original abstractions are retained, but each should become more explicit and strongly typed.</w:t>
      </w:r>
    </w:p>
    <w:p>
      <w:pPr>
        <w:pStyle w:val="Heading3"/>
      </w:pPr>
      <w:r>
        <w:t>Core abstractions after modernization</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1655"/>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Abstraction</w:t>
            </w:r>
          </w:p>
        </w:tc>
        <w:tc>
          <w:tcPr>
            <w:tcW w:type="dxa" w:w="288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Legacy meaning</w:t>
            </w:r>
          </w:p>
        </w:tc>
        <w:tc>
          <w:tcPr>
            <w:tcW w:type="dxa" w:w="475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Expanded platform meaning</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Processor</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unit that parses or transforms content.</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typed component with declared input/output media types, deterministic behavior, capability dependencies, and telemetry hooks.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Selector</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way to identify data using location or content.</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reusable targeting primitive that may use path syntax, regex, dictionaries, schema references, or classifier outputs.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Predicate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Boolean gate that decides whether processing occurs.</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policy condition over request metadata, tenant tags, trust level, environment, risk score, or explicit mode.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Graph</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DAG of processors connected by selector/predicate edges.</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The internal intermediate representation produced by plan compilation and used uniformly across sync, batch, and stream execution.</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Policy</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JSON definition of where and what.</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versioned contract that binds rules, selectors, transforms, metadata constraints, test cases, and rollout state.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Provider</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Implicit in the original processor types.</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An external capability interface for cryptography, tokenization, format-preserving transforms, or redaction dictionaries.</w:t>
            </w:r>
          </w:p>
        </w:tc>
      </w:tr>
    </w:tbl>
    <w:p>
      <w:pPr>
        <w:pStyle w:val="SmallText"/>
      </w:pPr>
    </w:p>
    <w:p>
      <w:pPr>
        <w:pStyle w:val="Heading1"/>
      </w:pPr>
      <w:r>
        <w:t>5. Integration modes and service surface</w:t>
      </w:r>
    </w:p>
    <w:p>
      <w:pPr/>
      <w:r>
        <w:t>A platform capability should meet callers where they are. One API is not enough. The same compiled plan should be executable through multiple envelopes.</w:t>
      </w:r>
    </w:p>
    <w:p>
      <w:pPr>
        <w:pStyle w:val="Heading3"/>
      </w:pPr>
      <w:r>
        <w:t>Recommended service surface</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223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Endpoint or interface</w:t>
            </w:r>
          </w:p>
        </w:tc>
        <w:tc>
          <w:tcPr>
            <w:tcW w:type="dxa" w:w="3096"/>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Purpose</w:t>
            </w:r>
          </w:p>
        </w:tc>
        <w:tc>
          <w:tcPr>
            <w:tcW w:type="dxa" w:w="396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Notes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/v2/process</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Synchronous request/response masking for online paths.</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Return transformed payload plus attestation summary.</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/v2/jobs</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Asynchronous processing for large payloads or batch workloads.</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Return job identifier and poll/subscribe semantics.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GET /v2/jobs/{id}</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Job status and result retrieval.</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Expose partial progress, failure reason, and output location.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/v2/policies:validate</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Schema plus semantic validation before rollout.</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No payload mutation.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/v2/policies:compile</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Compile policy to normalized plan and dependency report.</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Useful for CI and release gates.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/v2/explain</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Show which rules, selectors, and predicates would match a sample payload.</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Essential for debugging policy behavior.</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Stream worker / connector</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Inline masking for event pipelines.</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Kafka, Pulsar, or internal event bus integration.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SDK / sidecar</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Local execution close to the application boundary.</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Useful when payloads should not traverse a remote service.</w:t>
            </w:r>
          </w:p>
        </w:tc>
      </w:tr>
    </w:tbl>
    <w:p>
      <w:pPr>
        <w:pStyle w:val="SmallText"/>
      </w:pPr>
    </w:p>
    <w:p>
      <w:pPr/>
      <w:r>
        <w:t>Canonical synchronous request envelope:</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792"/>
      </w:tblGrid>
      <w:tr>
        <w:tc>
          <w:tcPr>
            <w:tcW w:type="dxa" w:w="9288"/>
            <w:tcMar>
              <w:top w:w="90" w:type="dxa"/>
              <w:start w:w="120" w:type="dxa"/>
              <w:bottom w:w="90" w:type="dxa"/>
              <w:end w:w="120" w:type="dxa"/>
            </w:tcMar>
            <w:shd w:fill="FAFBFC"/>
          </w:tcPr>
          <w:p>
            <w:pPr>
              <w:pStyle w:val="CodeBlock"/>
              <w:spacing w:after="0"/>
            </w:pPr>
            <w:r/>
            <w:r>
              <w:t>{</w:t>
            </w:r>
          </w:p>
          <w:p>
            <w:pPr>
              <w:pStyle w:val="CodeBlock"/>
              <w:spacing w:after="0"/>
            </w:pPr>
            <w:r>
              <w:t xml:space="preserve">  "policyId": "customer-support-mask-v7",</w:t>
            </w:r>
          </w:p>
          <w:p>
            <w:pPr>
              <w:pStyle w:val="CodeBlock"/>
              <w:spacing w:after="0"/>
            </w:pPr>
            <w:r>
              <w:t xml:space="preserve">  "policyVersion": "7.2.0",</w:t>
            </w:r>
          </w:p>
          <w:p>
            <w:pPr>
              <w:pStyle w:val="CodeBlock"/>
              <w:spacing w:after="0"/>
            </w:pPr>
            <w:r>
              <w:t xml:space="preserve">  "mode": "mask",</w:t>
            </w:r>
          </w:p>
          <w:p>
            <w:pPr>
              <w:pStyle w:val="CodeBlock"/>
              <w:spacing w:after="0"/>
            </w:pPr>
            <w:r>
              <w:t xml:space="preserve">  "tenantId": "acme-prod",</w:t>
            </w:r>
          </w:p>
          <w:p>
            <w:pPr>
              <w:pStyle w:val="CodeBlock"/>
              <w:spacing w:after="0"/>
            </w:pPr>
            <w:r>
              <w:t xml:space="preserve">  "contentType": "application/json",</w:t>
            </w:r>
          </w:p>
          <w:p>
            <w:pPr>
              <w:pStyle w:val="CodeBlock"/>
              <w:spacing w:after="0"/>
            </w:pPr>
            <w:r>
              <w:t xml:space="preserve">  "context": {</w:t>
            </w:r>
          </w:p>
          <w:p>
            <w:pPr>
              <w:pStyle w:val="CodeBlock"/>
              <w:spacing w:after="0"/>
            </w:pPr>
            <w:r>
              <w:t xml:space="preserve">    "route": "support-case-create",</w:t>
            </w:r>
          </w:p>
          <w:p>
            <w:pPr>
              <w:pStyle w:val="CodeBlock"/>
              <w:spacing w:after="0"/>
            </w:pPr>
            <w:r>
              <w:t xml:space="preserve">    "environment": "prod",</w:t>
            </w:r>
          </w:p>
          <w:p>
            <w:pPr>
              <w:pStyle w:val="CodeBlock"/>
              <w:spacing w:after="0"/>
            </w:pPr>
            <w:r>
              <w:t xml:space="preserve">    "purpose": "customer-support"</w:t>
            </w:r>
          </w:p>
          <w:p>
            <w:pPr>
              <w:pStyle w:val="CodeBlock"/>
              <w:spacing w:after="0"/>
            </w:pPr>
            <w:r>
              <w:t xml:space="preserve">  },</w:t>
            </w:r>
          </w:p>
          <w:p>
            <w:pPr>
              <w:pStyle w:val="CodeBlock"/>
              <w:spacing w:after="0"/>
            </w:pPr>
            <w:r>
              <w:t xml:space="preserve">  "options": {</w:t>
            </w:r>
          </w:p>
          <w:p>
            <w:pPr>
              <w:pStyle w:val="CodeBlock"/>
              <w:spacing w:after="0"/>
            </w:pPr>
            <w:r>
              <w:t xml:space="preserve">    "dryRun": false,</w:t>
            </w:r>
          </w:p>
          <w:p>
            <w:pPr>
              <w:pStyle w:val="CodeBlock"/>
              <w:spacing w:after="0"/>
            </w:pPr>
            <w:r>
              <w:t xml:space="preserve">    "emitAudit": true,</w:t>
            </w:r>
          </w:p>
          <w:p>
            <w:pPr>
              <w:pStyle w:val="CodeBlock"/>
              <w:spacing w:after="0"/>
            </w:pPr>
            <w:r>
              <w:t xml:space="preserve">    "returnMatches": false</w:t>
            </w:r>
          </w:p>
          <w:p>
            <w:pPr>
              <w:pStyle w:val="CodeBlock"/>
              <w:spacing w:after="0"/>
            </w:pPr>
            <w:r>
              <w:t xml:space="preserve">  },</w:t>
            </w:r>
          </w:p>
          <w:p>
            <w:pPr>
              <w:pStyle w:val="CodeBlock"/>
              <w:spacing w:after="0"/>
            </w:pPr>
            <w:r>
              <w:t xml:space="preserve">  "payload": { "...": "application data goes here" }</w:t>
            </w:r>
          </w:p>
          <w:p>
            <w:pPr>
              <w:pStyle w:val="CodeBlock"/>
              <w:spacing w:after="0"/>
            </w:pPr>
            <w:r>
              <w:t>}</w:t>
            </w:r>
          </w:p>
        </w:tc>
      </w:tr>
    </w:tbl>
    <w:p>
      <w:pPr>
        <w:pStyle w:val="SmallText"/>
      </w:pPr>
    </w:p>
    <w:p>
      <w:pPr>
        <w:pStyle w:val="Heading1"/>
      </w:pPr>
      <w:r>
        <w:t>6. Policy model v2</w:t>
      </w:r>
    </w:p>
    <w:p>
      <w:pPr/>
      <w:r>
        <w:t>The policy model should still answer the same two questions as the original document—where is the sensitive data, and what should be done with it—but the representation should be safer and easier to validate.</w:t>
      </w:r>
    </w:p>
    <w:p>
      <w:pPr>
        <w:pStyle w:val="ListBullet"/>
        <w:spacing w:after="80"/>
      </w:pPr>
      <w:r>
        <w:t>Add apiVersion, policyId, semantic version, owner, status, and rollout scope.</w:t>
      </w:r>
    </w:p>
    <w:p>
      <w:pPr>
        <w:pStyle w:val="ListBullet"/>
        <w:spacing w:after="80"/>
      </w:pPr>
      <w:r>
        <w:t>Separate selectors from rules so that selectors are reusable and testable.</w:t>
      </w:r>
    </w:p>
    <w:p>
      <w:pPr>
        <w:pStyle w:val="ListBullet"/>
        <w:spacing w:after="80"/>
      </w:pPr>
      <w:r>
        <w:t>Use explicit transform providers and capability references instead of embedding cryptographic parameters directly in the rule body.</w:t>
      </w:r>
    </w:p>
    <w:p>
      <w:pPr>
        <w:pStyle w:val="ListBullet"/>
        <w:spacing w:after="80"/>
      </w:pPr>
      <w:r>
        <w:t>Allow dry-run and explain mode without performing irreversible or secret-bearing actions.</w:t>
      </w:r>
    </w:p>
    <w:p>
      <w:pPr>
        <w:pStyle w:val="ListBullet"/>
        <w:spacing w:after="80"/>
      </w:pPr>
      <w:r>
        <w:t>Attach test fixtures to policies so that selector correctness and transform expectations are reviewable in CI.</w:t>
      </w:r>
    </w:p>
    <w:p>
      <w:pPr/>
      <w:r>
        <w:t>Illustrative policy skeleton:</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792"/>
      </w:tblGrid>
      <w:tr>
        <w:tc>
          <w:tcPr>
            <w:tcW w:type="dxa" w:w="9288"/>
            <w:tcMar>
              <w:top w:w="90" w:type="dxa"/>
              <w:start w:w="120" w:type="dxa"/>
              <w:bottom w:w="90" w:type="dxa"/>
              <w:end w:w="120" w:type="dxa"/>
            </w:tcMar>
            <w:shd w:fill="FAFBFC"/>
          </w:tcPr>
          <w:p>
            <w:pPr>
              <w:pStyle w:val="CodeBlock"/>
              <w:spacing w:after="0"/>
            </w:pPr>
            <w:r/>
            <w:r>
              <w:t>{</w:t>
            </w:r>
          </w:p>
          <w:p>
            <w:pPr>
              <w:pStyle w:val="CodeBlock"/>
              <w:spacing w:after="0"/>
            </w:pPr>
            <w:r>
              <w:t xml:space="preserve">  "apiVersion": "magen.platform/v2",</w:t>
            </w:r>
          </w:p>
          <w:p>
            <w:pPr>
              <w:pStyle w:val="CodeBlock"/>
              <w:spacing w:after="0"/>
            </w:pPr>
            <w:r>
              <w:t xml:space="preserve">  "policyId": "customer-support-mask",</w:t>
            </w:r>
          </w:p>
          <w:p>
            <w:pPr>
              <w:pStyle w:val="CodeBlock"/>
              <w:spacing w:after="0"/>
            </w:pPr>
            <w:r>
              <w:t xml:space="preserve">  "version": "7.2.0",</w:t>
            </w:r>
          </w:p>
          <w:p>
            <w:pPr>
              <w:pStyle w:val="CodeBlock"/>
              <w:spacing w:after="0"/>
            </w:pPr>
            <w:r>
              <w:t xml:space="preserve">  "selectors": [</w:t>
            </w:r>
          </w:p>
          <w:p>
            <w:pPr>
              <w:pStyle w:val="CodeBlock"/>
              <w:spacing w:after="0"/>
            </w:pPr>
            <w:r>
              <w:t xml:space="preserve">    {</w:t>
            </w:r>
          </w:p>
          <w:p>
            <w:pPr>
              <w:pStyle w:val="CodeBlock"/>
              <w:spacing w:after="0"/>
            </w:pPr>
            <w:r>
              <w:t xml:space="preserve">      "id": "home-phone",</w:t>
            </w:r>
          </w:p>
          <w:p>
            <w:pPr>
              <w:pStyle w:val="CodeBlock"/>
              <w:spacing w:after="0"/>
            </w:pPr>
            <w:r>
              <w:t xml:space="preserve">      "type": "jsonpath",</w:t>
            </w:r>
          </w:p>
          <w:p>
            <w:pPr>
              <w:pStyle w:val="CodeBlock"/>
              <w:spacing w:after="0"/>
            </w:pPr>
            <w:r>
              <w:t xml:space="preserve">      "path": "$.phones.home"</w:t>
            </w:r>
          </w:p>
          <w:p>
            <w:pPr>
              <w:pStyle w:val="CodeBlock"/>
              <w:spacing w:after="0"/>
            </w:pPr>
            <w:r>
              <w:t xml:space="preserve">    }</w:t>
            </w:r>
          </w:p>
          <w:p>
            <w:pPr>
              <w:pStyle w:val="CodeBlock"/>
              <w:spacing w:after="0"/>
            </w:pPr>
            <w:r>
              <w:t xml:space="preserve">  ],</w:t>
            </w:r>
          </w:p>
          <w:p>
            <w:pPr>
              <w:pStyle w:val="CodeBlock"/>
              <w:spacing w:after="0"/>
            </w:pPr>
            <w:r>
              <w:t xml:space="preserve">  "rules": [</w:t>
            </w:r>
          </w:p>
          <w:p>
            <w:pPr>
              <w:pStyle w:val="CodeBlock"/>
              <w:spacing w:after="0"/>
            </w:pPr>
            <w:r>
              <w:t xml:space="preserve">    {</w:t>
            </w:r>
          </w:p>
          <w:p>
            <w:pPr>
              <w:pStyle w:val="CodeBlock"/>
              <w:spacing w:after="0"/>
            </w:pPr>
            <w:r>
              <w:t xml:space="preserve">      "id": "encrypt-home-phone",</w:t>
            </w:r>
          </w:p>
          <w:p>
            <w:pPr>
              <w:pStyle w:val="CodeBlock"/>
              <w:spacing w:after="0"/>
            </w:pPr>
            <w:r>
              <w:t xml:space="preserve">      "when": {</w:t>
            </w:r>
          </w:p>
          <w:p>
            <w:pPr>
              <w:pStyle w:val="CodeBlock"/>
              <w:spacing w:after="0"/>
            </w:pPr>
            <w:r>
              <w:t xml:space="preserve">        "mode": "mask",</w:t>
            </w:r>
          </w:p>
          <w:p>
            <w:pPr>
              <w:pStyle w:val="CodeBlock"/>
              <w:spacing w:after="0"/>
            </w:pPr>
            <w:r>
              <w:t xml:space="preserve">        "environmentIn": ["prod", "stage"]</w:t>
            </w:r>
          </w:p>
          <w:p>
            <w:pPr>
              <w:pStyle w:val="CodeBlock"/>
              <w:spacing w:after="0"/>
            </w:pPr>
            <w:r>
              <w:t xml:space="preserve">      },</w:t>
            </w:r>
          </w:p>
          <w:p>
            <w:pPr>
              <w:pStyle w:val="CodeBlock"/>
              <w:spacing w:after="0"/>
            </w:pPr>
            <w:r>
              <w:t xml:space="preserve">      "match": {</w:t>
            </w:r>
          </w:p>
          <w:p>
            <w:pPr>
              <w:pStyle w:val="CodeBlock"/>
              <w:spacing w:after="0"/>
            </w:pPr>
            <w:r>
              <w:t xml:space="preserve">        "selectorRef": "home-phone"</w:t>
            </w:r>
          </w:p>
          <w:p>
            <w:pPr>
              <w:pStyle w:val="CodeBlock"/>
              <w:spacing w:after="0"/>
            </w:pPr>
            <w:r>
              <w:t xml:space="preserve">      },</w:t>
            </w:r>
          </w:p>
          <w:p>
            <w:pPr>
              <w:pStyle w:val="CodeBlock"/>
              <w:spacing w:after="0"/>
            </w:pPr>
            <w:r>
              <w:t xml:space="preserve">      "transform": {</w:t>
            </w:r>
          </w:p>
          <w:p>
            <w:pPr>
              <w:pStyle w:val="CodeBlock"/>
              <w:spacing w:after="0"/>
            </w:pPr>
            <w:r>
              <w:t xml:space="preserve">        "type": "encrypt",</w:t>
            </w:r>
          </w:p>
          <w:p>
            <w:pPr>
              <w:pStyle w:val="CodeBlock"/>
              <w:spacing w:after="0"/>
            </w:pPr>
            <w:r>
              <w:t xml:space="preserve">        "provider": "kms-aes-gcm",</w:t>
            </w:r>
          </w:p>
          <w:p>
            <w:pPr>
              <w:pStyle w:val="CodeBlock"/>
              <w:spacing w:after="0"/>
            </w:pPr>
            <w:r>
              <w:t xml:space="preserve">        "capabilityRef": "pii-phone-encryption",</w:t>
            </w:r>
          </w:p>
          <w:p>
            <w:pPr>
              <w:pStyle w:val="CodeBlock"/>
              <w:spacing w:after="0"/>
            </w:pPr>
            <w:r>
              <w:t xml:space="preserve">        "preserveFormat": false,</w:t>
            </w:r>
          </w:p>
          <w:p>
            <w:pPr>
              <w:pStyle w:val="CodeBlock"/>
              <w:spacing w:after="0"/>
            </w:pPr>
            <w:r>
              <w:t xml:space="preserve">        "aadTemplate": ["tenantId", "policyId", "selectorId"]</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"options": {</w:t>
            </w:r>
          </w:p>
          <w:p>
            <w:pPr>
              <w:pStyle w:val="CodeBlock"/>
              <w:spacing w:after="0"/>
            </w:pPr>
            <w:r>
              <w:t xml:space="preserve">    "emitAudit": true,</w:t>
            </w:r>
          </w:p>
          <w:p>
            <w:pPr>
              <w:pStyle w:val="CodeBlock"/>
              <w:spacing w:after="0"/>
            </w:pPr>
            <w:r>
              <w:t xml:space="preserve">    "loggable": false</w:t>
            </w:r>
          </w:p>
          <w:p>
            <w:pPr>
              <w:pStyle w:val="CodeBlock"/>
              <w:spacing w:after="0"/>
            </w:pPr>
            <w:r>
              <w:t xml:space="preserve">  }</w:t>
            </w:r>
          </w:p>
          <w:p>
            <w:pPr>
              <w:pStyle w:val="CodeBlock"/>
              <w:spacing w:after="0"/>
            </w:pPr>
            <w:r>
              <w:t>}</w:t>
            </w:r>
          </w:p>
        </w:tc>
      </w:tr>
    </w:tbl>
    <w:p>
      <w:pPr>
        <w:pStyle w:val="SmallText"/>
      </w:pPr>
    </w:p>
    <w:p>
      <w:pPr>
        <w:pStyle w:val="Heading1"/>
      </w:pPr>
      <w:r>
        <w:t>7. Security, privacy, and trust boundaries</w:t>
      </w:r>
    </w:p>
    <w:p>
      <w:pPr/>
      <w:r>
        <w:t>This is the area where the modernization must be strictest. A masking platform is a security product even when it is embedded inside a broader application platform.</w:t>
      </w:r>
    </w:p>
    <w:p>
      <w:pPr>
        <w:pStyle w:val="Heading3"/>
      </w:pPr>
      <w:r>
        <w:t>Mandatory security controls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1655"/>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Control area</w:t>
            </w:r>
          </w:p>
        </w:tc>
        <w:tc>
          <w:tcPr>
            <w:tcW w:type="dxa" w:w="432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Minimum requirement</w:t>
            </w:r>
          </w:p>
        </w:tc>
        <w:tc>
          <w:tcPr>
            <w:tcW w:type="dxa" w:w="3311"/>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Why it matters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Identity</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mTLS or equivalent service identity plus signed caller identity with tenant and purpose claims.</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Prevents anonymous or ambiguous masking requests.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Authorization</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Distinct actions for mask, tokenize, decrypt, detokenize, explain, and policy-admin.</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Prevents broad privilege accumulation.</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Key management</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Envelope encryption backed by KMS/HSM; rotate without policy rewrites.</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Removes key material from policy artifacts and app code.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Audit</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Append-only audit containing who, what policy, what tenant, what action, and attestation hash.</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Supports investigations and policy governance.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Data minimization</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No raw sensitive values in default logs, traces, or metrics.</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Reduces leakage through observability systems.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Re-identification</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Separate path, stronger auth, and tighter network placement than masking.</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Protects the most dangerous capability in the system.</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Residency</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Region-aware execution and secret resolution where regulated data requires it.</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Supports jurisdictional and contractual controls.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Break-glass</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Time-bound elevated access with dual approval and complete audit.</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Handles exceptional recovery scenarios safely.</w:t>
            </w:r>
          </w:p>
        </w:tc>
      </w:tr>
    </w:tbl>
    <w:p>
      <w:pPr>
        <w:pStyle w:val="SmallText"/>
      </w:pP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Masking versus re-identification</w:t>
            </w:r>
          </w:p>
        </w:tc>
      </w:tr>
      <w:tr>
        <w:tc>
          <w:tcPr>
            <w:tcW w:type="dxa" w:w="9288"/>
            <w:tcMar>
              <w:top w:w="70" w:type="dxa"/>
              <w:start w:w="100" w:type="dxa"/>
              <w:bottom w:w="80" w:type="dxa"/>
              <w:end w:w="100" w:type="dxa"/>
            </w:tcMar>
            <w:shd w:fill="F7F9FC"/>
          </w:tcPr>
          <w:p>
            <w:pPr>
              <w:spacing w:after="80"/>
            </w:pPr>
            <w:r/>
            <w:r>
              <w:rPr>
                <w:sz w:val="20"/>
              </w:rPr>
              <w:t>Do not treat unmasking as just another transform step with symmetric operational handling. Re-identification is a materially different risk class and should be isolated at the level of authorization, deployment, monitoring, and operator workflow.</w:t>
            </w:r>
          </w:p>
        </w:tc>
      </w:tr>
    </w:tbl>
    <w:p>
      <w:pPr>
        <w:pStyle w:val="SmallText"/>
      </w:pPr>
    </w:p>
    <w:p>
      <w:pPr>
        <w:pStyle w:val="Heading1"/>
      </w:pPr>
      <w:r>
        <w:t>8. Operational model and reliability expectations</w:t>
      </w:r>
    </w:p>
    <w:p>
      <w:pPr/>
      <w:r>
        <w:t>Operational clarity matters because data protection code often sits on latency-sensitive request paths and high-volume data pipelines.</w:t>
      </w:r>
    </w:p>
    <w:p>
      <w:pPr>
        <w:pStyle w:val="ListBullet"/>
        <w:spacing w:after="80"/>
      </w:pPr>
      <w:r>
        <w:t>Synchronous calls should have explicit payload-size limits, latency budgets, timeout policy, and deterministic error behavior.</w:t>
      </w:r>
    </w:p>
    <w:p>
      <w:pPr>
        <w:pStyle w:val="ListBullet"/>
        <w:spacing w:after="80"/>
      </w:pPr>
      <w:r>
        <w:t>Asynchronous jobs should support chunking, checkpointing, dead-letter routing, and resumable execution where feasible.</w:t>
      </w:r>
    </w:p>
    <w:p>
      <w:pPr>
        <w:pStyle w:val="ListBullet"/>
        <w:spacing w:after="80"/>
      </w:pPr>
      <w:r>
        <w:t>Streaming workers should define ordering guarantees, backpressure behavior, and replay semantics.</w:t>
      </w:r>
    </w:p>
    <w:p>
      <w:pPr>
        <w:pStyle w:val="ListBullet"/>
        <w:spacing w:after="80"/>
      </w:pPr>
      <w:r>
        <w:t>Compiled plans, selector artifacts, and static rule dictionaries should be cached aggressively but invalidated deterministically on policy rollout.</w:t>
      </w:r>
    </w:p>
    <w:p>
      <w:pPr>
        <w:pStyle w:val="ListBullet"/>
        <w:spacing w:after="80"/>
      </w:pPr>
      <w:r>
        <w:t>Every transform response should include an attestation envelope with enough information to debug policy behavior without revealing protected content.</w:t>
      </w:r>
    </w:p>
    <w:p>
      <w:pPr>
        <w:pStyle w:val="Heading3"/>
      </w:pPr>
      <w:r>
        <w:t>Suggested observability dimensions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896"/>
        <w:gridCol w:w="4896"/>
      </w:tblGrid>
      <w:tr>
        <w:trPr>
          <w:cantSplit/>
          <w:tblHeader/>
        </w:trPr>
        <w:tc>
          <w:tcPr>
            <w:tcW w:type="dxa" w:w="230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Dimension</w:t>
            </w:r>
          </w:p>
        </w:tc>
        <w:tc>
          <w:tcPr>
            <w:tcW w:type="dxa" w:w="6983"/>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Examples</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Metrics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request_count, plan_compile_ms, selector_hits, transform_count, provider_latency_ms, error_rate</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Traces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ingress -&gt; plan load -&gt; parse -&gt; select -&gt; transform -&gt; rebuild -&gt; audit emit</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Audit fields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tenantId, policyId, version, planHash, mode, caller, purpose, outcome</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Drift signals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selector miss spike, sudden rule bypass, provider fallback, region mismatch</w:t>
            </w:r>
          </w:p>
        </w:tc>
      </w:tr>
    </w:tbl>
    <w:p>
      <w:pPr>
        <w:pStyle w:val="SmallText"/>
      </w:pPr>
    </w:p>
    <w:p>
      <w:pPr>
        <w:pStyle w:val="Heading1"/>
      </w:pPr>
      <w:r>
        <w:t>9. Migration path from the current design</w:t>
      </w:r>
    </w:p>
    <w:p>
      <w:pPr/>
      <w:r>
        <w:t>The safest rollout path is incremental. Treat the legacy design as a seed, not as dead code.</w:t>
      </w:r>
    </w:p>
    <w:p>
      <w:pPr>
        <w:pStyle w:val="Heading3"/>
      </w:pPr>
      <w:r>
        <w:t>Phased rollout</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48"/>
        <w:gridCol w:w="2448"/>
        <w:gridCol w:w="2448"/>
        <w:gridCol w:w="2448"/>
      </w:tblGrid>
      <w:tr>
        <w:trPr>
          <w:cantSplit/>
          <w:tblHeader/>
        </w:trPr>
        <w:tc>
          <w:tcPr>
            <w:tcW w:type="dxa" w:w="115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Phase</w:t>
            </w:r>
          </w:p>
        </w:tc>
        <w:tc>
          <w:tcPr>
            <w:tcW w:type="dxa" w:w="158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Objective</w:t>
            </w:r>
          </w:p>
        </w:tc>
        <w:tc>
          <w:tcPr>
            <w:tcW w:type="dxa" w:w="4031"/>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Key deliverables</w:t>
            </w:r>
          </w:p>
        </w:tc>
        <w:tc>
          <w:tcPr>
            <w:tcW w:type="dxa" w:w="252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Exit criteria</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0. Inventory</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Understand the existing rules and payload shapes.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Policy inventory, sample payload corpus, trust-boundary map.</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Known scope and risk register approved.</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1. Wrap</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Place the current engine behind a stable interface.</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Versioned process API, request envelope, attestation wrapper.</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Legacy execution can be called consistently.</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2. Normalize</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Introduce typed policy validation and plan compilation.</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JSON Schema, compiler, explain mode, CI fixtures.</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Policies can be linted and tested pre-deploy.</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3. Externalize</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Move cryptography and tokenization into providers.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KMS integration, token vault, capability references.</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No raw secrets remain in policies or service config.</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4. Expand</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Support async and streaming modes.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Job runner, connector/worker, plan cache, idempotency policy.</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Bulk and event workloads onboard successfully.</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5. Govern</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Add approvals, rollout controls, and audit workflows.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Policy registry, approval gates, rollback, drift dashboards.</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Platform adoption is controlled rather than bespoke.</w:t>
            </w:r>
          </w:p>
        </w:tc>
      </w:tr>
    </w:tbl>
    <w:p>
      <w:pPr>
        <w:pStyle w:val="SmallText"/>
      </w:pPr>
    </w:p>
    <w:p>
      <w:pPr>
        <w:pStyle w:val="Heading1"/>
      </w:pPr>
      <w:r>
        <w:t>10. Immediate implementation backlog</w:t>
      </w:r>
    </w:p>
    <w:p>
      <w:pPr>
        <w:pStyle w:val="Heading3"/>
      </w:pPr>
      <w:r>
        <w:t>Prioritized backlog</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1007"/>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Priority</w:t>
            </w:r>
          </w:p>
        </w:tc>
        <w:tc>
          <w:tcPr>
            <w:tcW w:type="dxa" w:w="4536"/>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Work item</w:t>
            </w:r>
          </w:p>
        </w:tc>
        <w:tc>
          <w:tcPr>
            <w:tcW w:type="dxa" w:w="374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Outcome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Define the canonical request/response contract.</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All callers integrate against one stable envelope.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Publish Policy v2 JSON Schema and semantic validator.</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Authoring errors move from runtime to CI.</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Decide trust boundary for decrypt/detokenize operations.</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Re-identification risk is contained early.</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Integrate KMS/HSM and remove raw secret configuration.</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Secrets leave application-level policy artifacts.</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Build plan compiler from policy to internal DAG.</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Retain the original execution model with stronger determinism.</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Implement explain and dry-run endpoints.</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Policy debugging becomes safe and repeatable.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Add audit attestation model and immutable event sink.</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Every action is attributable and reviewable.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Introduce tenant-aware policy resolution and plan caching.</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Correctness and scale improve together.</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P2</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Add stream connector and async job runner.</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Broader platform reuse without sync-path coupling.</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P2</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Create policy test fixtures from representative payload corpora.</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Regression confidence for selectors and transforms.</w:t>
            </w:r>
          </w:p>
        </w:tc>
      </w:tr>
    </w:tbl>
    <w:p>
      <w:pPr>
        <w:pStyle w:val="SmallText"/>
      </w:pPr>
    </w:p>
    <w:p>
      <w:pPr>
        <w:pStyle w:val="Heading1"/>
      </w:pPr>
      <w:r>
        <w:t>Appendix A. Transform selection guide</w:t>
      </w:r>
    </w:p>
    <w:p>
      <w:pPr>
        <w:pStyle w:val="Heading3"/>
      </w:pPr>
      <w:r>
        <w:t>Which transform when?</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223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Transform</w:t>
            </w:r>
          </w:p>
        </w:tc>
        <w:tc>
          <w:tcPr>
            <w:tcW w:type="dxa" w:w="338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Use when</w:t>
            </w:r>
          </w:p>
        </w:tc>
        <w:tc>
          <w:tcPr>
            <w:tcW w:type="dxa" w:w="3671"/>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Avoid when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Redaction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The downstream system does not need the original value and irreversibility is desired.</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Any flow that later requires value recovery.</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Encryption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You need reversible protection and control over who may recover the value.</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The caller really needs stable referential equality rather than recoverability.</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Tokenization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You need stable surrogate values and vault-mediated recovery or lookup.</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Low-latency local-only paths without vault access.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Format-preserving encryption/tokenization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Downstream validators require the original shape or character class pattern.</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You can freely change the field format and want simpler crypto.</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Partial reveal/masking</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Operators need a recognizable fragment such as last four digits.</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The exposed fragment meaningfully increases linkage or privacy risk.</w:t>
            </w:r>
          </w:p>
        </w:tc>
      </w:tr>
    </w:tbl>
    <w:p>
      <w:pPr>
        <w:pStyle w:val="SmallText"/>
      </w:pPr>
    </w:p>
    <w:p>
      <w:pPr>
        <w:pStyle w:val="Heading1"/>
      </w:pPr>
      <w:r>
        <w:t>Appendix B. Non-goals for the first platform release</w:t>
      </w:r>
    </w:p>
    <w:p>
      <w:pPr>
        <w:pStyle w:val="ListBullet"/>
        <w:spacing w:after="80"/>
      </w:pPr>
      <w:r>
        <w:t>Do not start with OCR-heavy document extraction unless there is a hard business requirement; prefer text-layer and structured formats first.</w:t>
      </w:r>
    </w:p>
    <w:p>
      <w:pPr>
        <w:pStyle w:val="ListBullet"/>
        <w:spacing w:after="80"/>
      </w:pPr>
      <w:r>
        <w:t>Do not make the policy language Turing-complete; bounded expressiveness is an advantage for validation and explainability.</w:t>
      </w:r>
    </w:p>
    <w:p>
      <w:pPr>
        <w:pStyle w:val="ListBullet"/>
        <w:spacing w:after="80"/>
      </w:pPr>
      <w:r>
        <w:t>Do not overload the masking service with unrelated DLP workflow orchestration in v1; integrate with such systems through explicit boundaries.</w:t>
      </w:r>
    </w:p>
    <w:p>
      <w:pPr>
        <w:pStyle w:val="ListBullet"/>
        <w:spacing w:after="80"/>
      </w:pPr>
      <w:r>
        <w:t>Do not expose raw provider-specific cryptographic parameters to ordinary policy authors.</w:t>
      </w:r>
    </w:p>
    <w:p>
      <w:r>
        <w:t>End of document.</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Magen Platform Integration &amp; Modernization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tyle">
    <w:name w:val="SubtitleStyle"/>
    <w:basedOn w:val="Normal"/>
    <w:pPr>
      <w:spacing w:after="160" w:line="276" w:lineRule="auto"/>
    </w:pPr>
    <w:rPr>
      <w:rFonts w:ascii="Calibri" w:hAnsi="Calibri"/>
      <w:color w:val="666666"/>
      <w:sz w:val="22"/>
    </w:rPr>
  </w:style>
  <w:style w:type="paragraph" w:customStyle="1" w:styleId="CodeBlock">
    <w:name w:val="CodeBlock"/>
    <w:basedOn w:val="Normal"/>
    <w:pPr>
      <w:spacing w:before="40" w:after="40" w:line="240" w:lineRule="auto"/>
      <w:ind w:left="288" w:right="144"/>
    </w:pPr>
    <w:rPr>
      <w:rFonts w:ascii="Consolas" w:hAnsi="Consolas"/>
      <w:sz w:val="17"/>
    </w:rPr>
  </w:style>
  <w:style w:type="paragraph" w:customStyle="1" w:styleId="SmallText">
    <w:name w:val="SmallText"/>
    <w:basedOn w:val="Normal"/>
    <w:pPr>
      <w:spacing w:after="80"/>
    </w:pPr>
    <w:rPr>
      <w:rFonts w:ascii="Calibri" w:hAnsi="Calibr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Magen Platform Integration &amp; Modernization Blueprint</dc:title>
  <dc:subject>Enhanced technical design for integrating the Magen masking engine into a modern platform</dc:subject>
  <dc:creator>OpenAI</dc:creator>
  <cp:keywords/>
  <dc:description>Generated from the 2018 Magen Overview as a modernization blueprint.</dc:description>
  <cp:lastModifiedBy/>
  <cp:revision>1</cp:revision>
  <dcterms:created xsi:type="dcterms:W3CDTF">2013-12-23T23:15:00Z</dcterms:created>
  <dcterms:modified xsi:type="dcterms:W3CDTF">2013-12-23T23:15:00Z</dcterms:modified>
  <cp:category/>
</cp:coreProperties>
</file>