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ភ្លឿត នង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ភ្លឿត នង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NONG PHLOEUT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NONG PHLOEUT 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