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供应商准入条件：营业执照有效、具备质量体系认证，风险等级不得为高。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条件</w:t>
            </w:r>
          </w:p>
        </w:tc>
        <w:tc>
          <w:tcPr>
            <w:tcW w:type="dxa" w:w="4320"/>
          </w:tcPr>
          <w:p>
            <w:r>
              <w:t>要求</w:t>
            </w:r>
          </w:p>
        </w:tc>
      </w:tr>
      <w:tr>
        <w:tc>
          <w:tcPr>
            <w:tcW w:type="dxa" w:w="4320"/>
          </w:tcPr>
          <w:p>
            <w:r>
              <w:t>资质</w:t>
            </w:r>
          </w:p>
        </w:tc>
        <w:tc>
          <w:tcPr>
            <w:tcW w:type="dxa" w:w="4320"/>
          </w:tcPr>
          <w:p>
            <w:r>
              <w:t>营业执照有效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