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design-and-development-process"/>
    <w:p>
      <w:pPr>
        <w:pStyle w:val="Heading2"/>
      </w:pPr>
      <w:r>
        <w:t xml:space="preserve">2. Design and Development Process</w:t>
      </w:r>
    </w:p>
    <w:bookmarkStart w:id="9" w:name="version-1-dispersal"/>
    <w:p>
      <w:pPr>
        <w:pStyle w:val="Heading3"/>
      </w:pPr>
      <w:r>
        <w:t xml:space="preserve">2.1 Version 1: Dispersal</w:t>
      </w:r>
    </w:p>
    <w:p>
      <w:pPr>
        <w:pStyle w:val="FirstParagraph"/>
      </w:pPr>
      <w:r>
        <w:t xml:space="preserve">My first idea was a fan-shaped pad with surface channels to distribute urine across a larger area, so the soil and pasture could absorb the nitrogen naturally. A 600 mm radius pad expands the urine contact patch from 0.37 m² to 2.0 m², reducing local nitrogen concentration by 82% — enough to fall below the 200 kg N/ha leaching threshold. No materials, no power, no moving parts.</w:t>
      </w:r>
    </w:p>
    <w:p>
      <w:pPr>
        <w:pStyle w:val="BodyText"/>
      </w:pPr>
      <w:r>
        <w:t xml:space="preserve">The problem: total nitrogen entering the soil is unchanged. Dispersal solves the concentration problem but not the leaching problem.</w:t>
      </w:r>
    </w:p>
    <w:bookmarkEnd w:id="9"/>
    <w:bookmarkStart w:id="10" w:name="version-2-monitoring-layer"/>
    <w:p>
      <w:pPr>
        <w:pStyle w:val="Heading3"/>
      </w:pPr>
      <w:r>
        <w:t xml:space="preserve">2.2 Version 2: Monitoring Layer</w:t>
      </w:r>
    </w:p>
    <w:p>
      <w:pPr>
        <w:pStyle w:val="FirstParagraph"/>
      </w:pPr>
      <w:r>
        <w:t xml:space="preserve">Through this semester I learned more about precision agriculture — how many small factors can affect real production environments, like slope, soil moisture, and seasonal variation. Since I was already working with satellite data, I started thinking: what if I built an alert system that could identify where the risk is highest and tell farmers where to put the pads before the problem gets worse?</w:t>
      </w:r>
    </w:p>
    <w:p>
      <w:pPr>
        <w:pStyle w:val="BodyText"/>
      </w:pPr>
      <w:r>
        <w:t xml:space="preserve">This became the NitroGuard GIS layer. It combines ECan groundwater well data, LCDB v6.0 land use polygons, and a KNN machine learning model (R²=0.750, trained on 13,433 measurements from 386 Canterbury wells) to map high-risk zones across Canterbury and recommend how many pads are needed per trough. Selwyn district came out as the highest-risk zone at 7.13 mg/L mean nitrate — nearly three times South Canterbury. The system is web-based so farmers can monitor risk across their whole farm network over time.</w:t>
      </w:r>
    </w:p>
    <w:p>
      <w:pPr>
        <w:pStyle w:val="BodyText"/>
      </w:pPr>
      <w:r>
        <w:t xml:space="preserve">One thing I realised later: the current system identifies risk based on land use patterns — it cannot see where cows are actually gathering in real time. That led to a new idea: instead of detecting urine patches on the grass, what if you detected the cow herd itself? Satellite or drone imagery showing congregation density could make the recommendations much more precise. That is a direction I want to develop next.</w:t>
      </w:r>
    </w:p>
    <w:bookmarkEnd w:id="10"/>
    <w:bookmarkStart w:id="11" w:name="version-3-capture"/>
    <w:p>
      <w:pPr>
        <w:pStyle w:val="Heading3"/>
      </w:pPr>
      <w:r>
        <w:t xml:space="preserve">2.3 Version 3: Capture</w:t>
      </w:r>
    </w:p>
    <w:p>
      <w:pPr>
        <w:pStyle w:val="FirstParagraph"/>
      </w:pPr>
      <w:r>
        <w:t xml:space="preserve">Thinking about sustainability, I realised that farmers already pay a lot for fertiliser, and urine could be collected as fertiliser rather than polluting groundwater. So I added biochar beneath the pad surface to absorb the urine for future use as fertiliser. Biochar adsorbs 6 mg/g of NO₃⁻-N and 4 mg/g of NH₄⁺-N from solution (Cayuela et al., 2013), and urine-enriched biochar returned to field delivers 40–50% nitrogen recovery as a slow-release fertiliser (Woldeyohannes et al., 2024). I also added a sensor to detect saturation, and designed the cartridge so farmers can easily remove and replace the biochar.</w:t>
      </w:r>
    </w:p>
    <w:p>
      <w:pPr>
        <w:pStyle w:val="BodyText"/>
      </w:pPr>
      <w:r>
        <w:t xml:space="preserve">This concept is similar to Bounty Gel (Verdesian Life Sciences), a hydrogel that absorbs up to 150 times its weight in water and degrades in soil over approximately three years. CowPad substitutes biochar for hydrogel — unlike spent hydrogel, spent biochar cartridges contain recoverable nitrogen of agronomic value.</w:t>
      </w:r>
    </w:p>
    <w:p>
      <w:pPr>
        <w:pStyle w:val="BodyText"/>
      </w:pPr>
      <w:r>
        <w:t xml:space="preserve">Load calculation for an 80-cow herd at a standard Hynds 1100L trough sets the cartridge replacement interval at 15–20 days — compatible with a monthly farm service schedule.</w:t>
      </w:r>
    </w:p>
    <w:bookmarkEnd w:id="11"/>
    <w:bookmarkStart w:id="12" w:name="X0c16b5c54059562820831f54d05b4bb61df0b19"/>
    <w:p>
      <w:pPr>
        <w:pStyle w:val="Heading3"/>
      </w:pPr>
      <w:r>
        <w:t xml:space="preserve">2.4 Version 4: Soil Ejection (Explored and Abandoned)</w:t>
      </w:r>
    </w:p>
    <w:p>
      <w:pPr>
        <w:pStyle w:val="FirstParagraph"/>
      </w:pPr>
      <w:r>
        <w:t xml:space="preserve">One idea I explored was using soil itself as the absorbent medium — dig a soil-filled cavity into the pad, let the soil absorb the urine, then eject the saturated soil into the surrounding paddock where it would release nitrogen as fertiliser. No cartridges, no maintenance, nothing for the farmer to purchase or replace.</w:t>
      </w:r>
    </w:p>
    <w:p>
      <w:pPr>
        <w:pStyle w:val="BodyText"/>
      </w:pPr>
      <w:r>
        <w:t xml:space="preserve">The problem was soil compaction. Over time, the soil would consolidate under repeated hoof loading and wet-dry cycles, blocking drainage and preventing absorption. I still think the core idea has merit — a future version using a structured support or microbial assistance to prevent compaction could be worth developing. The ballistic ejection concept itself carried forward into the Version 2 cartridge design.</w:t>
      </w:r>
    </w:p>
    <w:bookmarkEnd w:id="12"/>
    <w:bookmarkStart w:id="13" w:name="version-5-final-design"/>
    <w:p>
      <w:pPr>
        <w:pStyle w:val="Heading3"/>
      </w:pPr>
      <w:r>
        <w:t xml:space="preserve">2.5 Version 5: Final Design</w:t>
      </w:r>
    </w:p>
    <w:p>
      <w:pPr>
        <w:pStyle w:val="FirstParagraph"/>
      </w:pPr>
      <w:r>
        <w:t xml:space="preserve">I returned to Version 1 and Version 3 and combined them. The final design has surface channels to distribute urine, a biochar storage cavity to capture and absorb it, and a rain self-cleaning profile so that rainfall flushes the surface without saturating the biochar layer.</w:t>
      </w:r>
    </w:p>
    <w:bookmarkEnd w:id="13"/>
    <w:bookmarkStart w:id="14" w:name="connector-system"/>
    <w:p>
      <w:pPr>
        <w:pStyle w:val="Heading3"/>
      </w:pPr>
      <w:r>
        <w:t xml:space="preserve">2.6 Connector System</w:t>
      </w:r>
    </w:p>
    <w:p>
      <w:pPr>
        <w:pStyle w:val="FirstParagraph"/>
      </w:pPr>
      <w:r>
        <w:t xml:space="preserve">An early version used a single tile to surround the whole trough, but I realised a modular design would be easier to clean and service. The redesign uses one universal bayonet clip on every tile edge. Arc tiles, straight tiles, and corner tiles all interlock through the same male/female profile. Different shapes, one connector language — the same principle as LEGO. Any trough geometry can be assembled from three tile types and one clip SKU.</w:t>
      </w:r>
    </w:p>
    <w:bookmarkEnd w:id="14"/>
    <w:bookmarkStart w:id="15" w:name="structural-constraints"/>
    <w:p>
      <w:pPr>
        <w:pStyle w:val="Heading3"/>
      </w:pPr>
      <w:r>
        <w:t xml:space="preserve">2.7 Structural Constraints</w:t>
      </w:r>
    </w:p>
    <w:p>
      <w:pPr>
        <w:pStyle w:val="FirstParagraph"/>
      </w:pPr>
      <w:r>
        <w:t xml:space="preserve">After researching what would pass over the pad — cows, tractors (Canterbury dairy tractors weigh 4,000–8,000 kg), irrigation equipment — I referenced the materials used in shade area mats and designed the rib structure with the channel profile aligned directly under cow hooves. The tile rib structure carries cow hoof loads with a factor of safety greater than 8×, based on a 600 kg animal distributed across a 0.07 m² contact area. It does not carry agricultural vehicle loads. Version 1 is scoped to boundary-fence troughs and service laneways that tractors do not routinely cross.</w:t>
      </w:r>
    </w:p>
    <w:p>
      <w:pPr>
        <w:pStyle w:val="BodyText"/>
      </w:pPr>
      <w:r>
        <w:t xml:space="preserve">Nitrogen congregation analysis places trough areas fourth on a Canterbury dairy farm, after laneways (cows transit twice daily), holding yards (30–60 min wait before milking), and shade areas. The modular system extends to laneways (Version 2) and holding yards (Version 3) where nitrogen loading is higher.</w:t>
      </w:r>
    </w:p>
    <w:bookmarkEnd w:id="15"/>
    <w:bookmarkStart w:id="16" w:name="ec-sensor-and-rain-mitigation"/>
    <w:p>
      <w:pPr>
        <w:pStyle w:val="Heading3"/>
      </w:pPr>
      <w:r>
        <w:t xml:space="preserve">2.8 EC Sensor and Rain Mitigation</w:t>
      </w:r>
    </w:p>
    <w:p>
      <w:pPr>
        <w:pStyle w:val="FirstParagraph"/>
      </w:pPr>
      <w:r>
        <w:t xml:space="preserve">Two stainless steel probes are embedded in the biochar fill layer. As the biochar adsorbs nitrogen ions, ionic concentration rises and electrical conductivity increases proportionally. An Arduino Nano reads probe resistance via a voltage divider and maps the result to a saturation percentage. A three-state LED indicates status: green (0–60%, actively absorbing), amber (60–85%, nearing capacity), red (&gt;85%, replace now). Component cost is approximately NZD $45 from Jaycar Electronics.</w:t>
      </w:r>
    </w:p>
    <w:p>
      <w:pPr>
        <w:pStyle w:val="BodyText"/>
      </w:pPr>
      <w:r>
        <w:t xml:space="preserve">Rain dilutes surface ionic concentration, producing false low-EC readings. Three mitigations work in combination: probes are positioned at the base of the biochar cavity, measuring deep ion concentration rather than surface moisture; a hardware raindrop sensor on pin D4 suspends EC updates during active rainfall; and a software derivative tracker freezes the saturation reading when EC is falling (rain event) and resumes when EC is rising (urine absorption). The saturation state is preserved across rain events.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2026-05-26T04:00:56Z</dcterms:created>
  <dcterms:modified xsi:type="dcterms:W3CDTF">2026-05-26T04:00:56Z</dcterms:modified>
</cp:coreProperties>
</file>

<file path=docProps/custom.xml><?xml version="1.0" encoding="utf-8"?>
<Properties xmlns="http://schemas.openxmlformats.org/officeDocument/2006/custom-properties" xmlns:vt="http://schemas.openxmlformats.org/officeDocument/2006/docPropsVTypes"/>
</file>