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usiness-model-and-potential-market"/>
    <w:p>
      <w:pPr>
        <w:pStyle w:val="Heading2"/>
      </w:pPr>
      <w:r>
        <w:t xml:space="preserve">4. Business Model and Potential Market</w:t>
      </w:r>
    </w:p>
    <w:bookmarkStart w:id="9" w:name="customer-segments"/>
    <w:p>
      <w:pPr>
        <w:pStyle w:val="Heading3"/>
      </w:pPr>
      <w:r>
        <w:t xml:space="preserve">Customer Segments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t xml:space="preserve">Canterbury dairy farmers under ECan Freshwater Farm Plan obligations — especially irrigated operations with 300–1,500+ cows where nitrogen compliance risk is highest.</w:t>
      </w:r>
    </w:p>
    <w:p>
      <w:pPr>
        <w:pStyle w:val="BodyText"/>
      </w:pPr>
      <w:r>
        <w:rPr>
          <w:b/>
          <w:bCs/>
        </w:rPr>
        <w:t xml:space="preserve">Secondary:</w:t>
      </w:r>
      <w:r>
        <w:t xml:space="preserve"> </w:t>
      </w:r>
      <w:r>
        <w:t xml:space="preserve">Trough suppliers (e.g. Hynds) as bundle partners — farmers buying a new trough are the exact moment to sell CowPad as an add-on. This reduces customer acquisition cost and makes installation feel natural.</w:t>
      </w:r>
    </w:p>
    <w:p>
      <w:pPr>
        <w:pStyle w:val="BodyText"/>
      </w:pPr>
      <w:r>
        <w:rPr>
          <w:b/>
          <w:bCs/>
        </w:rPr>
        <w:t xml:space="preserve">Tertiary:</w:t>
      </w:r>
      <w:r>
        <w:t xml:space="preserve"> </w:t>
      </w:r>
      <w:r>
        <w:t xml:space="preserve">Environment Canterbury and DairyNZ — the NitroGuard data layer protects regional water quality and saves infrastructure cost compared to building new treatment systems.</w:t>
      </w:r>
    </w:p>
    <w:bookmarkEnd w:id="9"/>
    <w:bookmarkStart w:id="10" w:name="value-propositions"/>
    <w:p>
      <w:pPr>
        <w:pStyle w:val="Heading3"/>
      </w:pPr>
      <w:r>
        <w:t xml:space="preserve">Value Propositions</w:t>
      </w:r>
    </w:p>
    <w:p>
      <w:pPr>
        <w:pStyle w:val="FirstParagraph"/>
      </w:pPr>
      <w:r>
        <w:t xml:space="preserve">For farmers: ECan compliance with zero operational friction — no power, no behaviour change, no changes to milking schedules.</w:t>
      </w:r>
    </w:p>
    <w:p>
      <w:pPr>
        <w:pStyle w:val="BodyText"/>
      </w:pPr>
      <w:r>
        <w:t xml:space="preserve">For ECan and DairyNZ: farm-level nitrogen monitoring data at scale, something no current system provides.</w:t>
      </w:r>
    </w:p>
    <w:p>
      <w:pPr>
        <w:pStyle w:val="BodyText"/>
      </w:pPr>
      <w:r>
        <w:t xml:space="preserve">For the supply chain: spent biochar cartridges re-enter as slow-release fertiliser. The nitrogen that was a liability becomes an asset.</w:t>
      </w:r>
    </w:p>
    <w:bookmarkEnd w:id="10"/>
    <w:bookmarkStart w:id="11" w:name="channels"/>
    <w:p>
      <w:pPr>
        <w:pStyle w:val="Heading3"/>
      </w:pPr>
      <w:r>
        <w:t xml:space="preserve">Channels</w:t>
      </w:r>
    </w:p>
    <w:p>
      <w:pPr>
        <w:pStyle w:val="Compact"/>
        <w:numPr>
          <w:ilvl w:val="0"/>
          <w:numId w:val="1001"/>
        </w:numPr>
      </w:pPr>
      <w:r>
        <w:t xml:space="preserve">Bundle sales through trough suppliers at point of purchase</w:t>
      </w:r>
    </w:p>
    <w:p>
      <w:pPr>
        <w:pStyle w:val="Compact"/>
        <w:numPr>
          <w:ilvl w:val="0"/>
          <w:numId w:val="1001"/>
        </w:numPr>
      </w:pPr>
      <w:r>
        <w:t xml:space="preserve">DairyNZ farm extension network</w:t>
      </w:r>
    </w:p>
    <w:p>
      <w:pPr>
        <w:pStyle w:val="Compact"/>
        <w:numPr>
          <w:ilvl w:val="0"/>
          <w:numId w:val="1001"/>
        </w:numPr>
      </w:pPr>
      <w:r>
        <w:t xml:space="preserve">Direct sales at National Fieldays and Canterbury A&amp;P Show</w:t>
      </w:r>
    </w:p>
    <w:p>
      <w:pPr>
        <w:pStyle w:val="Compact"/>
        <w:numPr>
          <w:ilvl w:val="0"/>
          <w:numId w:val="1001"/>
        </w:numPr>
      </w:pPr>
      <w:r>
        <w:t xml:space="preserve">NitroGuard GIS platform as web dashboard and mobile app</w:t>
      </w:r>
    </w:p>
    <w:p>
      <w:pPr>
        <w:pStyle w:val="Compact"/>
        <w:numPr>
          <w:ilvl w:val="0"/>
          <w:numId w:val="1001"/>
        </w:numPr>
      </w:pPr>
      <w:r>
        <w:t xml:space="preserve">Compliance reports auto-generated from sensor data</w:t>
      </w:r>
    </w:p>
    <w:bookmarkEnd w:id="11"/>
    <w:bookmarkStart w:id="12" w:name="customer-relationships"/>
    <w:p>
      <w:pPr>
        <w:pStyle w:val="Heading3"/>
      </w:pPr>
      <w:r>
        <w:t xml:space="preserve">Customer Relationships</w:t>
      </w:r>
    </w:p>
    <w:p>
      <w:pPr>
        <w:pStyle w:val="FirstParagraph"/>
      </w:pPr>
      <w:r>
        <w:t xml:space="preserve">Cartridge exchange follows a swap model — the service company handles collection, reprocessing, and redelivery every 15–20 days. The farmer only swaps the cartridge. NitroGuard handles the rest: monitoring, scheduling, and compliance reporting across the whole farm network.</w:t>
      </w:r>
    </w:p>
    <w:bookmarkEnd w:id="12"/>
    <w:bookmarkStart w:id="13" w:name="revenue-streams"/>
    <w:p>
      <w:pPr>
        <w:pStyle w:val="Heading3"/>
      </w:pPr>
      <w:r>
        <w:t xml:space="preserve">Revenue Streams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Hardware (one-time):</w:t>
      </w:r>
      <w:r>
        <w:t xml:space="preserve"> </w:t>
      </w:r>
      <w:r>
        <w:t xml:space="preserve">NZD $180–250 per trough kit (8 tiles and clips). Tile shell rated 20–30 years in UV-stabilised HDPE.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Cartridge subscription (recurring):</w:t>
      </w:r>
      <w:r>
        <w:t xml:space="preserve"> </w:t>
      </w:r>
      <w:r>
        <w:t xml:space="preserve">NZD $15–25 per trough per month.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Nitrogen recovery:</w:t>
      </w:r>
      <w:r>
        <w:t xml:space="preserve"> </w:t>
      </w:r>
      <w:r>
        <w:t xml:space="preserve">~NZD $2–4 per kg N recovered as slow-release fertiliser pellets, offsetting collection costs.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NitroGuard GIS (SaaS):</w:t>
      </w:r>
      <w:r>
        <w:t xml:space="preserve"> </w:t>
      </w:r>
      <w:r>
        <w:t xml:space="preserve">NZD $2,000–5,000 per farm per year; institutional licences to ECan and DairyNZ.</w:t>
      </w:r>
    </w:p>
    <w:bookmarkEnd w:id="13"/>
    <w:bookmarkStart w:id="14" w:name="key-resources"/>
    <w:p>
      <w:pPr>
        <w:pStyle w:val="Heading3"/>
      </w:pPr>
      <w:r>
        <w:t xml:space="preserve">Key Resources</w:t>
      </w:r>
    </w:p>
    <w:p>
      <w:pPr>
        <w:pStyle w:val="FirstParagraph"/>
      </w:pPr>
      <w:r>
        <w:t xml:space="preserve">Physical design IP (tile geometry, universal connector, cartridge format); EC sensor firmware with rain-mitigation algorithm; biochar supply and reprocessing infrastructure; NitroGuard ML model (KNN K=3, R²=0.750) trained on 13,433 measurements from 386 Canterbury wells; geospatial dataset combining LAWA well data, LCDB v6.0 land use polygons, and farm boundary mapping.</w:t>
      </w:r>
    </w:p>
    <w:bookmarkEnd w:id="14"/>
    <w:bookmarkStart w:id="15" w:name="key-activities"/>
    <w:p>
      <w:pPr>
        <w:pStyle w:val="Heading3"/>
      </w:pPr>
      <w:r>
        <w:t xml:space="preserve">Key Activities</w:t>
      </w:r>
    </w:p>
    <w:p>
      <w:pPr>
        <w:pStyle w:val="FirstParagraph"/>
      </w:pPr>
      <w:r>
        <w:t xml:space="preserve">Tile and cartridge manufacturing; cartridge collection and biochar reprocessing every 15–20 days; sensor calibration and firmware updates; GIS data integration and model updating; ECan compliance report generation.</w:t>
      </w:r>
    </w:p>
    <w:bookmarkEnd w:id="15"/>
    <w:bookmarkStart w:id="16" w:name="key-partners"/>
    <w:p>
      <w:pPr>
        <w:pStyle w:val="Heading3"/>
      </w:pPr>
      <w:r>
        <w:t xml:space="preserve">Key Partners</w:t>
      </w:r>
    </w:p>
    <w:p>
      <w:pPr>
        <w:pStyle w:val="Compact"/>
        <w:numPr>
          <w:ilvl w:val="0"/>
          <w:numId w:val="1003"/>
        </w:numPr>
      </w:pPr>
      <w:r>
        <w:t xml:space="preserve">Environment Canterbury (300+ well dataset)</w:t>
      </w:r>
    </w:p>
    <w:p>
      <w:pPr>
        <w:pStyle w:val="Compact"/>
        <w:numPr>
          <w:ilvl w:val="0"/>
          <w:numId w:val="1003"/>
        </w:numPr>
      </w:pPr>
      <w:r>
        <w:t xml:space="preserve">DairyNZ (agronomic research, farmer network)</w:t>
      </w:r>
    </w:p>
    <w:p>
      <w:pPr>
        <w:pStyle w:val="Compact"/>
        <w:numPr>
          <w:ilvl w:val="0"/>
          <w:numId w:val="1003"/>
        </w:numPr>
      </w:pPr>
      <w:r>
        <w:t xml:space="preserve">Trough suppliers — Hynds and others (bundle distribution)</w:t>
      </w:r>
    </w:p>
    <w:p>
      <w:pPr>
        <w:pStyle w:val="Compact"/>
        <w:numPr>
          <w:ilvl w:val="0"/>
          <w:numId w:val="1003"/>
        </w:numPr>
      </w:pPr>
      <w:r>
        <w:t xml:space="preserve">Halter NZ (livestock location data for GIS layer)</w:t>
      </w:r>
    </w:p>
    <w:p>
      <w:pPr>
        <w:pStyle w:val="Compact"/>
        <w:numPr>
          <w:ilvl w:val="0"/>
          <w:numId w:val="1003"/>
        </w:numPr>
      </w:pPr>
      <w:r>
        <w:t xml:space="preserve">NIWA (weather and rainfall API)</w:t>
      </w:r>
    </w:p>
    <w:p>
      <w:pPr>
        <w:pStyle w:val="Compact"/>
        <w:numPr>
          <w:ilvl w:val="0"/>
          <w:numId w:val="1003"/>
        </w:numPr>
      </w:pPr>
      <w:r>
        <w:t xml:space="preserve">Biochar processors and biopolymer suppliers</w:t>
      </w:r>
    </w:p>
    <w:bookmarkEnd w:id="16"/>
    <w:bookmarkStart w:id="17" w:name="cost-structure"/>
    <w:p>
      <w:pPr>
        <w:pStyle w:val="Heading3"/>
      </w:pPr>
      <w:r>
        <w:t xml:space="preserve">Cost Structure</w:t>
      </w:r>
    </w:p>
    <w:p>
      <w:pPr>
        <w:pStyle w:val="FirstParagraph"/>
      </w:pPr>
      <w:r>
        <w:rPr>
          <w:b/>
          <w:bCs/>
        </w:rPr>
        <w:t xml:space="preserve">Fixed:</w:t>
      </w:r>
      <w:r>
        <w:t xml:space="preserve"> </w:t>
      </w:r>
      <w:r>
        <w:t xml:space="preserve">tile tooling, firmware and GIS platform development, data partnership agreements.</w:t>
      </w:r>
    </w:p>
    <w:p>
      <w:pPr>
        <w:pStyle w:val="BodyText"/>
      </w:pPr>
      <w:r>
        <w:rPr>
          <w:b/>
          <w:bCs/>
        </w:rPr>
        <w:t xml:space="preserve">Variable:</w:t>
      </w:r>
      <w:r>
        <w:t xml:space="preserve"> </w:t>
      </w:r>
      <w:r>
        <w:t xml:space="preserve">cartridge manufacturing, collection logistics (largest ongoing cost at scale), biochar reprocessing, customer onboarding.</w:t>
      </w:r>
    </w:p>
    <w:p>
      <w:pPr>
        <w:pStyle w:val="BodyText"/>
      </w:pPr>
      <w:r>
        <w:t xml:space="preserve">The Version 2 ballistic return model — cartridges degrade in-field after ejection — eliminates collection logistics entirely, which is the biggest cost reduction opportunity in the whole system.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2026-05-26T04:35:07Z</dcterms:created>
  <dcterms:modified xsi:type="dcterms:W3CDTF">2026-05-26T04:35:07Z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