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Solidarity at scale</w:t>
      </w:r>
    </w:p>
    <w:p>
      <w:pPr>
        <w:pStyle w:val="Subtitle"/>
      </w:pPr>
      <w:r>
        <w:t>Personal relationships, cultural symbols, and institutions in political cooperation</w:t>
      </w:r>
    </w:p>
    <w:p>
      <w:r>
        <w:t>Research manuscript prepared for Nolan Downard. Version 0.1, 27 September 2026, America/Los_Angeles. Targeted critical synthesis and elementary formal models. This manuscript has not been peer reviewed. No original human-participant study or new meta-analysis was conducted.</w:t>
      </w:r>
    </w:p>
    <w:p>
      <w:pPr>
        <w:pStyle w:val="Heading1"/>
      </w:pPr>
      <w:r>
        <w:t>Abstract</w:t>
      </w:r>
    </w:p>
    <w:p>
      <w:r>
        <w:t>What enables solidarity to extend beyond personal acquaintance? This paper distinguishes demographic similarity, perceived familiarity, symbolic competence, shared interests, and institutional reliability. A targeted evidence map combines psychological research, field experiments, political-economic studies, and historical texts. The evidence favors a conditional account: identities can help people anticipate cooperation, but collaboration, incentives, networks, and institutional arrangements influence whether this becomes sustained collective action. Neither ethnic uniformity nor the disappearance of particular identities is a demonstrated prerequisite. Historical comparison reveals that autonomous organization and wider coalition-building can coexist. Under commitments to equal rights, protection from domination, and material inclusion, the provisional recommendation is to combine protected group voice with cross-group collaboration and accountable institutions. The complete combination has not been established as a universally superior intervention. Elementary Lean models distinguish local contact limits from network reach and characterize cooperation in a specified donation game. They establish conditional mathematical implications, not empirical necessity or political legitimacy. Remaining uncertainties concern durability, transfer across settings, institutional capture, and the comparative effects of constitutional arrangements.</w:t>
      </w:r>
    </w:p>
    <w:p>
      <w:pPr>
        <w:pStyle w:val="Heading1"/>
      </w:pPr>
      <w:r>
        <w:t>Introduction</w:t>
      </w:r>
    </w:p>
    <w:p>
      <w:r>
        <w:t>A person can belong to a city, region, nation, profession, religious community, and musical scene at the same time. Some memberships nest; others intersect. Their coexistence raises a useful question: what changes when cooperation extends from people we know to people we recognize only as fellow members?</w:t>
      </w:r>
    </w:p>
    <w:p>
      <w:r>
        <w:t>The motivating intuition is that small groups cooperate through similarity and that larger groups must somehow reproduce that similarity. The intuition identifies a real coordination problem but leaves its proposed solution underspecified. People may resemble one another in ancestry while disagreeing about resources. They may understand a shared story without trusting its teller. Conversely, strangers may cooperate through enforceable agreements without sharing a biography. The question therefore becomes which dimensions must align, for which tasks, under which institutions.</w:t>
      </w:r>
    </w:p>
    <w:p>
      <w:r>
        <w:t>We distinguish three outcomes that are often treated as interchangeable. Coordination means fitting actions together. Cooperation includes bearing a cost to benefit others or a collective undertaking. Solidarity adds an interpretation of mutual obligation and can motivate action beyond immediate exchange. An exploitative organization may coordinate efficiently. A friendly community may fail to provide public goods. Effective domination is not a successful outcome under an egalitarian objective.</w:t>
      </w:r>
    </w:p>
    <w:p>
      <w:pPr>
        <w:pStyle w:val="Heading1"/>
      </w:pPr>
      <w:r>
        <w:t>Methods and scope</w:t>
      </w:r>
    </w:p>
    <w:p>
      <w:r>
        <w:t>This is a purposive rapid evidence map followed by critical synthesis. Initial discovery began from the project conversation and named works. Searches expanded through web search, publisher and university records, archival texts, and PubMed metadata. Exact new queries and access failures are logged in the accompanying project. Sources were selected to discriminate among mechanisms, correct historical identifications, or challenge the initial hypothesis. English-language availability shaped inclusion. The review is neither preregistered nor exhaustive; no claim is made that every eligible study was screened.</w:t>
      </w:r>
    </w:p>
    <w:p>
      <w:r>
        <w:t>Research reports, theoretical proposals, historical declarations, and normative arguments were analyzed in separate roles. A declaration documents an articulated program; it does not independently identify its effects. Experimental assignment supports a narrower causal claim than an unrestricted generalization to nations. Abstract-only records are marked. The evidence register records access depth and locators. No pooled effect was calculated because the selected outcomes and designs are not commensurable. Published effects below are attributed to their original studies.</w:t>
      </w:r>
    </w:p>
    <w:p>
      <w:r>
        <w:t>Confidence terms describe provisional judgments about specified claims: high for directly checked textual or mathematical statements; moderate for converging but bounded mechanism evidence; low for extrapolation across scales; unresolved when the relevant comparison was not identified. These are not formal GRADE ratings.</w:t>
      </w:r>
    </w:p>
    <w:p>
      <w:pPr>
        <w:pStyle w:val="Heading1"/>
      </w:pPr>
      <w:r>
        <w:t>A framework for scaling</w:t>
      </w:r>
    </w:p>
    <w:p>
      <w:r>
        <w:t>Four dimensions help separate levels of analysis. Relational reach concerns who can communicate or reciprocate. Cultural interpretation concerns the meanings participants attach to signals. Material interdependence concerns who gains or loses from action. Institutional organization concerns rules, authority, dispute resolution, and accountability. Increasing population may change all four without preserving the same mechanism.</w:t>
      </w:r>
    </w:p>
    <w:p>
      <w:r>
        <w:t>Durkheim's distinction between solidarity through likeness and through differentiated interdependence is an early reason to question the necessity of increasing sameness [S14]. It is a conceptual distinction, not a finding that any division of labor automatically produces fair cooperation. Differences can support complementary roles while simultaneously sustaining unequal power.</w:t>
      </w:r>
    </w:p>
    <w:p>
      <w:r>
        <w:t>Administrative nesting also does not prove self-similarity. A municipality and a nation can both have representatives while differing fundamentally in fiscal capacity, coercive authority, and membership rules. A rigorous self-similarity claim would specify a transformation across scales and demonstrate invariant relationships under it. The present project does not establish such invariance.</w:t>
      </w:r>
    </w:p>
    <w:p>
      <w:pPr>
        <w:pStyle w:val="Heading1"/>
      </w:pPr>
      <w:r>
        <w:t>Evidence on relationships and symbols</w:t>
      </w:r>
    </w:p>
    <w:p>
      <w:r>
        <w:t>The approximately 150-contact claim should not be a fixed premise. Lindenfors and colleagues challenged the precision of estimates extrapolated from primate brain data [S01]. Mac Carron and colleagues found layered structure in telephone contacts [S02]. Those propositions can coexist: evidence for structured social attention is not evidence for one universal population ceiling. Direct relationships and the total reach of a connected network are different quantities.</w:t>
      </w:r>
    </w:p>
    <w:p>
      <w:r>
        <w:t>The idea that a stranger evokes someone close to us has a relevant theoretical home in Andersen and Chen's relational-self account [S05]. It supplies a candidate mechanism for interpersonal responses, not proof that large coalitions are constructed by resemblance to a person's family. The sign of the response may depend on the relationship evoked. Familiarity should therefore be measured separately from positive evaluation.</w:t>
      </w:r>
    </w:p>
    <w:p>
      <w:r>
        <w:t>Efferson and colleagues experimentally studied how initially arbitrary markers can acquire behavioral meaning in coordination [S04]. The important distinction is between sharing a visible label and sharing reliable expectations. An emblem can identify a partner, an aspiration, a fashion, or a deliberate imitation; these uses have different implications. A research design should test comprehension, affiliation, and expected reciprocity separately.</w:t>
      </w:r>
    </w:p>
    <w:p>
      <w:r>
        <w:t>Roccas and Brewer formulated social identity complexity in terms of perceived relations among memberships [S28]. Miller and colleagues investigated its correlates and antecedents [S06]. This helps frame multiple identities without treating one identity as the person's essence. The retrieved evidence does not establish that increasing an identity-complexity score necessarily improves costly cooperation in all settings.</w:t>
      </w:r>
    </w:p>
    <w:p>
      <w:pPr>
        <w:pStyle w:val="Heading1"/>
      </w:pPr>
      <w:r>
        <w:t>Cooperation across groups</w:t>
      </w:r>
    </w:p>
    <w:p>
      <w:r>
        <w:t>Balliet and colleagues reported a standardized in-group cooperation advantage of d = 0.32, with d = 0.19 in settings without mutual interdependence and d = 0.42 in interdependent settings [S03]. These are standardized differences, not percentage increases. The evidence register preserves their abstract-level provenance; the present project did not reanalyze the meta-analysis. The findings motivate attention to expected reciprocity as well as categorization.</w:t>
      </w:r>
    </w:p>
    <w:p>
      <w:r>
        <w:t>An experimental-games study involving 300 participants in Kampala favored explanations involving cooperative expectations and social enforcement over simple shared tastes or greater altruism toward co-ethnics [S07]. It does not identify the causal effect of changing an entire community's ethnic composition. A Sierra Leone analysis instead found no adverse association between local diversity and several public-goods outcomes, including an instrumental-variable specification [S12]. Its identification still depends on the instrument and historical controls. Together these studies weaken any context-free rule that diversity necessarily prevents collective provision.</w:t>
      </w:r>
    </w:p>
    <w:p>
      <w:r>
        <w:t>Mousa's randomized soccer intervention in post-ISIS Iraq improved several behaviors toward Muslim peers among Christian participants, while broader off-field outcomes did not show the same gains [S08]. Lowe's cricket experiment in India distinguished beneficial collaborative contact from generally adverse competitive contact [S09]. These studies support designing relationships around common tasks, but neither is a direct trial of a national political order. Paluck and colleagues' review of randomized contact interventions with delayed outcomes further emphasizes uneven coverage and small-study concerns [S10].</w:t>
      </w:r>
    </w:p>
    <w:p>
      <w:r>
        <w:t>The institutional alternative also needs skepticism. Casey and colleagues found short-run public-goods and economic improvements from a Sierra Leone development program without evidence of durable change in the broader institutional outcomes studied [S11]. Ostrom's analysis of polycentric governance describes how authority and tasks can be distributed across levels [S13]. The conjunction suggests a design question, not an institutional cure-all: which arrangements actually change incentives, distribute authority, and survive beyond a supported intervention?</w:t>
      </w:r>
    </w:p>
    <w:p>
      <w:pPr>
        <w:pStyle w:val="Heading1"/>
      </w:pPr>
      <w:r>
        <w:t>Historical comparison without false equivalence</w:t>
      </w:r>
    </w:p>
    <w:p>
      <w:r>
        <w:t>Washington's 1895 address offered economic cooperation alongside social separation; editorial historical evidence also documents private support for legal challenges [S15]. Du Bois's 1903 criticism demanded voting rights, civic equality, and appropriate education [S16]. This is a conflict over rights, strategy, and political opportunity, not simply business versus intellectual improvement. Their writings cannot identify the counterfactual effects of replacing one strategy with another under otherwise identical conditions. Du Bois’s 1919 report of the Pan-African Congress adds a transnational organizational setting to this early comparison [S35]; it does not supply a complete account of his later development.</w:t>
      </w:r>
    </w:p>
    <w:p>
      <w:r>
        <w:t>Malcolm X's 1964 OAAU founding speech combined independent Black organization with international linkage [S17]. King's Poor People's Campaign proposed multiracial economic mobilization; the historical record also documents constrained results [S18]. Malcolm’s April 1964 speech connects community control with electoral and international demands [S33]. King’s 1967 antiwar address links domestic poverty and racism with obligations beyond nationality [S32]. Reading dated statements helps avoid treating either thinker as a timeless, internally uniform philosophy. In the cases considered here, autonomy and wider cooperation are organizational choices that can be combined or sequenced.</w:t>
      </w:r>
    </w:p>
    <w:p>
      <w:r>
        <w:t>The Combahee River Collective's statement articulates specific group oppression alongside coalition commitments and criticism of separatism [S19]. Baker's organizing legacy, documented by the SNCC Digital Gateway, shifts attention toward distributed grassroots capacity [S31]. These sources challenge a genealogy restricted to prominent male leaders and make internal voice part of effectiveness rather than an afterthought.</w:t>
      </w:r>
    </w:p>
    <w:p>
      <w:r>
        <w:t>Nkrumah's argument for continental economic coordination also explicitly recognizes uneven benefits among states [S21]. Getachew's introduction places anticolonial projects within an attempted reconstruction of international order [S29]. These readings undermine the assumption that Pan-Africanism can be exhausted by racial resemblance or that nationalism is invariably the opposite of internationalism. They do not settle which federation would have succeeded.</w:t>
      </w:r>
    </w:p>
    <w:p>
      <w:r>
        <w:t>The Balfour Declaration is a different kind of object: an imperial government's statement concerning a national home in a territory inhabited by others, with specified protections in its wording [S20]. It is not equivalent to an advocacy association or Du Bois's equal-citizenship argument. Comparing these cases requires explicit treatment of territory, consent, displacement, citizenship, and coercive power. This review does not estimate comparative outcomes for Israeli constitutional alternatives, Japan, or either Korean state.</w:t>
      </w:r>
    </w:p>
    <w:p>
      <w:pPr>
        <w:pStyle w:val="Heading1"/>
      </w:pPr>
      <w:r>
        <w:t>Culture and contemporary political arguments</w:t>
      </w:r>
    </w:p>
    <w:p>
      <w:r>
        <w:t>The oral form the project initially sought is the African American narrative toast. Jackson's research is discussed in a university interview [S22]. Artist interviews document Rudy Ray Moore's influence on particular rappers [S23]. This is a useful case of transmission through performance and media, but it cannot establish an aggregate increase in cultural homogeneity or political unity. Reception, ownership, gendered content, and institutional organization require distinct evidence.</w:t>
      </w:r>
    </w:p>
    <w:p>
      <w:r>
        <w:t>Contemporary disagreement clarifies the evaluative stakes. Appiah's discussion of cosmopolitanism allows universal concern alongside particular attachments [S26]. Fraser frames recognition and redistribution as jointly necessary dimensions of justice [S30]. Reed's essay foregrounds political-economic explanation and challenges essentialized accounts of racial politics [S24]. These are arguments to assess, not experimental effect estimates. Taiwo's Elite Capture is retained as a relevant reading lead; the full book was not assessed here [S25].</w:t>
      </w:r>
    </w:p>
    <w:p>
      <w:r>
        <w:t>The strongest objection to a broad material-interest coalition is that universal language can conceal whose interests are being represented. The strongest objection to identity-centered organization is that leaders can claim to speak for a diverse population while insulating themselves from accountability. Neither objection establishes that its target must fail. Both suggest asking who selects representatives, controls resources, sets priorities, and can contest decisions.</w:t>
      </w:r>
    </w:p>
    <w:p>
      <w:pPr>
        <w:pStyle w:val="Heading1"/>
      </w:pPr>
      <w:r>
        <w:t>Mobility and colonial power as separate questions</w:t>
      </w:r>
    </w:p>
    <w:p>
      <w:r>
        <w:t>The proposal for freedom to move and work raises both moral and empirical questions. Carens’s argument for open borders proceeds through political philosophy [S34]. It cannot by itself estimate effects on wages, fiscal systems, representation, or security. A useful empirical comparison would specify which rights move with a person, whether employers can exploit status differences, and how affected communities contest decisions.</w:t>
      </w:r>
    </w:p>
    <w:p>
      <w:r>
        <w:t>Free movement also does not logically guarantee the disappearance of group-specific needs. People could move freely while unequal wealth or unequal treatment persists. Conversely, retaining a cultural association need not require territorial exclusion. The hypothesis to test is whether particular mobility and citizenship arrangements reduce domination while preserving effective voice, not whether populations inevitably become one race. Racial categorization, ancestry, and culture should be modeled as distinct, historically variable concepts.</w:t>
      </w:r>
    </w:p>
    <w:p>
      <w:r>
        <w:t>The colonial counterfactual needs equal care. Africa is a continent with multiple political histories. An economic account of extraction and an account of racial domination can describe interacting mechanisms. The slave-trade-and-trust literature supplies a relevant but distinct historical question [S27]; it cannot stand in for an explanation of nineteenth-century partition. To ask whether an alternative coalition could have prevented conquest, specify when it could have formed, its resources, internal bargaining, military and financial asymmetries, and the likely response of imperial powers. The sources reviewed here do not identify that counterfactual.</w:t>
      </w:r>
    </w:p>
    <w:p>
      <w:pPr>
        <w:pStyle w:val="Heading1"/>
      </w:pPr>
      <w:r>
        <w:t>Formal models and their interpretation</w:t>
      </w:r>
    </w:p>
    <w:p>
      <w:r>
        <w:t>The Lean development first uses the infinite path on natural numbers. Every vertex has neighbors contained in two possible positions, yet every pair of vertices is reachable by a finite path. Thus a bound on immediate contacts does not logically bound total connected population. This result says nothing about communication delay, trust decay, or cognitive capacity. A long chain is a counterexample to a claimed mathematical necessity, not a blueprint for social organization.</w:t>
      </w:r>
    </w:p>
    <w:p>
      <w:r>
        <w:t>Membership predicates then give explicit examples of nested and overlapping affiliations. A separate witness assigns no trust to a connected population. The simplicity of these results is deliberate: they expose assumptions that an informal argument might otherwise smuggle into the word group.</w:t>
      </w:r>
    </w:p>
    <w:p>
      <w:r>
        <w:t>The behavioral model is a symmetric two-player donation game. A contribution gives the other player benefit b and costs its contributor c. A reliable external institution charges every defector sanction s. Payoffs use integer tokens; negative tokens are permitted. The matrix for the row player is:</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Row action</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Other contributes</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Other defects</w:t>
            </w:r>
          </w:p>
        </w:tc>
      </w:tr>
      <w:tr>
        <w:trPr>
          <w:cantSplit/>
        </w:trPr>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Contribute</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b - c</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w:t>
            </w:r>
          </w:p>
        </w:tc>
      </w:tr>
      <w:tr>
        <w:trPr>
          <w:cantSplit/>
        </w:trPr>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Defect</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b - s</w:t>
            </w:r>
          </w:p>
        </w:tc>
        <w:tc>
          <w:tcPr>
            <w:tcW w:type="dxa" w:w="3312"/>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-s</w:t>
            </w:r>
          </w:p>
        </w:tc>
      </w:tr>
    </w:tbl>
    <w:p>
      <w:pPr>
        <w:spacing w:after="20"/>
      </w:pPr>
    </w:p>
    <w:p>
      <w:r>
        <w:t>Mutual contribution resists unilateral deviation exactly when c &lt;= s. With positive costs and no sanctions it does not. Concrete witnesses exhibit heterogeneous labels with stable contribution and identical labels without it. These results rely on attributes not entering payoffs, full enforcement, fixed costs, and a specified deviation concept. They establish possibility and non-implication only. They do not prove labels never matter, justify coercion, or address the cost and legitimacy of enforcement. The accompanying verification report records actual build status and axiom output.</w:t>
      </w:r>
    </w:p>
    <w:p>
      <w:pPr>
        <w:pStyle w:val="Heading1"/>
      </w:pPr>
      <w:r>
        <w:t>A conditional political verdict</w:t>
      </w:r>
    </w:p>
    <w:p>
      <w:r>
        <w:t>The strongest descriptive conclusion is that scaling changes the means of coordination; it need not reproduce demographic sameness. The strongest practical mechanism recommendation is to organize repeated collaboration around concrete shared outcomes while making expectations and accountability credible. The political recommendation is weaker because it combines evidence from distinct levels rather than a direct comparative trial.</w:t>
      </w:r>
    </w:p>
    <w:p>
      <w:r>
        <w:t>Under equal civic standing, protection from domination, and material inclusion as evaluative commitments, the most defensible working design is a pluralist coalition: protect autonomous group voice, negotiate shared material goals, distribute authority where local knowledge matters, and maintain enforceable protections against abuse within and between groups. This is a conditional synthesis, not a discovered universally optimal regime.</w:t>
      </w:r>
    </w:p>
    <w:p>
      <w:r>
        <w:t>Its sequence matters. First protect participation and address immediate threats. Next establish representative procedures and a specific common project. Then create repeated opportunities for successful collaboration, transparent resource allocation, dispute resolution, and independent assessment. Expand only after observing retention, distribution of benefits, and treatment of dissent. This sequence is proposed for evaluation, not presented as an experimentally validated package.</w:t>
      </w:r>
    </w:p>
    <w:p>
      <w:r>
        <w:t>A security emergency may make autonomous organization temporarily indispensable. A redistribution campaign may require a constituency wider than any single ethnic group. A service-delivery network may benefit from federated administration. Territorial self-determination demands a separate analysis of affected populations and feasible alternatives. There is no evidence-based shortcut from successful sports contact to an answer about borders.</w:t>
      </w:r>
    </w:p>
    <w:p>
      <w:r>
        <w:t>The recommendation would weaken if representative coalition structures repeatedly failed while a feasible alternative improved both rights and material outcomes without exporting harm. It would strengthen through replicated field comparisons with sustained behavioral outcomes, credible identification, and evidence of transfer across settings. A nominally inclusive organization that suppresses internal dissent would fail the stated criteria even if it mobilized efficiently.</w:t>
      </w:r>
    </w:p>
    <w:p>
      <w:pPr>
        <w:pStyle w:val="Heading1"/>
      </w:pPr>
      <w:r>
        <w:t>Limitations and research agenda</w:t>
      </w:r>
    </w:p>
    <w:p>
      <w:r>
        <w:t>The source selection was targeted and English-dominant, with no independent second reviewer. Several psychological sources were available only as abstracts. Historical comparisons are illustrative, not matched-case causal estimates. Broad policy questions about migration, statehood, and international redistribution remain underidentified. The evidence does not support a new meta-analysis or precise comparative ranking of whole ideologies.</w:t>
      </w:r>
    </w:p>
    <w:p>
      <w:r>
        <w:t>The next empirical test should separate symbolic comprehension from material interdependence and institutional reliability, measure actual costly behavior, and test whether effects persist with unfamiliar partners. A later consented study can examine significant-other resemblance independently. The project protocol specifies these studies and their limitations. Contemporary theories and less accessible historical materials require deeper primary-text work before a publishable review could claim adequate coverage.</w:t>
      </w:r>
    </w:p>
    <w:p>
      <w:pPr>
        <w:pStyle w:val="Heading1"/>
      </w:pPr>
      <w:r>
        <w:t>Conclusion</w:t>
      </w:r>
    </w:p>
    <w:p>
      <w:r>
        <w:t>The evidence supports cooperation through shared expectations, complementary interests, and institutional arrangements without establishing demographic homogeneity as a prerequisite. Personal familiarity and cultural recognition are plausible contributors rather than universal foundations. Political evaluation must add distribution, rights, and accountability to mobilization success. The resulting recommendation favors protected pluralism and cross-group collaboration under stated commitments, while leaving comparative state design and long-run political superiority unresolved.</w:t>
      </w:r>
    </w:p>
    <w:p>
      <w:pPr>
        <w:pStyle w:val="Heading1"/>
      </w:pPr>
      <w:r>
        <w:t>References</w:t>
      </w:r>
    </w:p>
    <w:p>
      <w:r>
        <w:t>References S01–S35 are listed in the accompanying sources/references.md and sources/references.bib, and appended to the rendered manuscript. Source access and locators appear in evidence/source-register.csv; study-level extractions are in evidence/study-extraction.csv. Process integrity and inference robustness are assessed separately in report/research-report.md, sections 11 and 12.</w:t>
      </w:r>
    </w:p>
    <w:p>
      <w:r>
        <w:br w:type="page"/>
      </w:r>
    </w:p>
    <w:p>
      <w:pPr>
        <w:pStyle w:val="Heading1"/>
      </w:pPr>
      <w:r>
        <w:t>References and access notes</w:t>
      </w:r>
    </w:p>
    <w:p>
      <w:pPr>
        <w:keepNext/>
        <w:spacing w:after="60" w:line="240" w:lineRule="auto"/>
      </w:pPr>
      <w:r>
        <w:rPr>
          <w:sz w:val="20"/>
        </w:rPr>
        <w:t>Records S01–S35 retain stable IDs across the manuscript, report, evidence tables, and notes. Accessed 28 September 2026 UTC. “Full” describes the retrieved object, not a full-book reading or an independent replication. No subscription text is redistributed.</w:t>
      </w:r>
    </w:p>
    <w:p>
      <w:pPr>
        <w:pStyle w:val="Heading1"/>
        <w:spacing w:before="160" w:after="60"/>
      </w:pPr>
      <w:r>
        <w:rPr>
          <w:sz w:val="21"/>
        </w:rPr>
        <w:t>S01</w:t>
      </w:r>
    </w:p>
    <w:p>
      <w:pPr>
        <w:keepNext/>
        <w:spacing w:after="60" w:line="240" w:lineRule="auto"/>
      </w:pPr>
      <w:r>
        <w:rPr>
          <w:sz w:val="20"/>
        </w:rPr>
        <w:t xml:space="preserve">Lindenfors, Patrik and Wartel, Andreas and Lind, Johan (2021). </w:t>
      </w:r>
      <w:r>
        <w:rPr>
          <w:b/>
          <w:sz w:val="20"/>
        </w:rPr>
        <w:t>'Dunbar’s number' deconstructed</w:t>
      </w:r>
      <w:r>
        <w:rPr>
          <w:sz w:val="20"/>
        </w:rPr>
        <w:t>. Biology Letters 17(5), 20210158.</w:t>
      </w:r>
    </w:p>
    <w:p>
      <w:pPr>
        <w:keepNext/>
        <w:spacing w:after="60" w:line="240" w:lineRule="auto"/>
      </w:pPr>
      <w:hyperlink r:id="rId11">
        <w:r>
          <w:rPr>
            <w:color w:val="000000"/>
            <w:u w:val="single"/>
          </w:rPr>
          <w:t>Source link</w:t>
        </w:r>
      </w:hyperlink>
      <w:r>
        <w:rPr>
          <w:sz w:val="20"/>
        </w:rPr>
        <w:t xml:space="preserve"> </w:t>
      </w:r>
      <w:hyperlink r:id="rId12">
        <w:r>
          <w:rPr>
            <w:color w:val="000000"/>
            <w:u w:val="single"/>
          </w:rPr>
          <w:t>DOI</w:t>
        </w:r>
      </w:hyperlink>
    </w:p>
    <w:p>
      <w:pPr>
        <w:keepNext w:val="0"/>
        <w:spacing w:after="60" w:line="240" w:lineRule="auto"/>
      </w:pPr>
      <w:r>
        <w:rPr>
          <w:sz w:val="20"/>
        </w:rPr>
        <w:t>Access: full-text. Locator: Results and discussion. Does not establish unlimited personal relationships.</w:t>
      </w:r>
    </w:p>
    <w:p>
      <w:pPr>
        <w:pStyle w:val="Heading1"/>
        <w:spacing w:before="160" w:after="60"/>
      </w:pPr>
      <w:r>
        <w:rPr>
          <w:sz w:val="21"/>
        </w:rPr>
        <w:t>S02</w:t>
      </w:r>
    </w:p>
    <w:p>
      <w:pPr>
        <w:keepNext/>
        <w:spacing w:after="60" w:line="240" w:lineRule="auto"/>
      </w:pPr>
      <w:r>
        <w:rPr>
          <w:sz w:val="20"/>
        </w:rPr>
        <w:t xml:space="preserve">Mac Carron, Pádraig and Kaski, Kimmo and Dunbar, Robin (2016). </w:t>
      </w:r>
      <w:r>
        <w:rPr>
          <w:b/>
          <w:sz w:val="20"/>
        </w:rPr>
        <w:t>Calling Dunbar’s Numbers</w:t>
      </w:r>
      <w:r>
        <w:rPr>
          <w:sz w:val="20"/>
        </w:rPr>
        <w:t>. arXiv:1604.02400.</w:t>
      </w:r>
    </w:p>
    <w:p>
      <w:pPr>
        <w:keepNext/>
        <w:spacing w:after="60" w:line="240" w:lineRule="auto"/>
      </w:pPr>
      <w:hyperlink r:id="rId13">
        <w:r>
          <w:rPr>
            <w:color w:val="000000"/>
            <w:u w:val="single"/>
          </w:rPr>
          <w:t>Source link</w:t>
        </w:r>
      </w:hyperlink>
    </w:p>
    <w:p>
      <w:pPr>
        <w:keepNext w:val="0"/>
        <w:spacing w:after="60" w:line="240" w:lineRule="auto"/>
      </w:pPr>
      <w:r>
        <w:rPr>
          <w:sz w:val="20"/>
        </w:rPr>
        <w:t>Access: abstract. Locator: Abstract. Preprint abstract inspected; a communication proxy is not every kind of tie.</w:t>
      </w:r>
    </w:p>
    <w:p>
      <w:pPr>
        <w:pStyle w:val="Heading1"/>
        <w:spacing w:before="160" w:after="60"/>
      </w:pPr>
      <w:r>
        <w:rPr>
          <w:sz w:val="21"/>
        </w:rPr>
        <w:t>S03</w:t>
      </w:r>
    </w:p>
    <w:p>
      <w:pPr>
        <w:keepNext/>
        <w:spacing w:after="60" w:line="240" w:lineRule="auto"/>
      </w:pPr>
      <w:r>
        <w:rPr>
          <w:sz w:val="20"/>
        </w:rPr>
        <w:t xml:space="preserve">Balliet, Daniel and Wu, Junhui and De Dreu, Carsten K. W. (2014). </w:t>
      </w:r>
      <w:r>
        <w:rPr>
          <w:b/>
          <w:sz w:val="20"/>
        </w:rPr>
        <w:t>Ingroup favoritism in cooperation: a meta-analysis</w:t>
      </w:r>
      <w:r>
        <w:rPr>
          <w:sz w:val="20"/>
        </w:rPr>
        <w:t>. Psychological Bulletin 140(6), 1556–1581.</w:t>
      </w:r>
    </w:p>
    <w:p>
      <w:pPr>
        <w:keepNext/>
        <w:spacing w:after="60" w:line="240" w:lineRule="auto"/>
      </w:pPr>
      <w:hyperlink r:id="rId14">
        <w:r>
          <w:rPr>
            <w:color w:val="000000"/>
            <w:u w:val="single"/>
          </w:rPr>
          <w:t>Source link</w:t>
        </w:r>
      </w:hyperlink>
      <w:r>
        <w:rPr>
          <w:sz w:val="20"/>
        </w:rPr>
        <w:t xml:space="preserve"> </w:t>
      </w:r>
      <w:hyperlink r:id="rId15">
        <w:r>
          <w:rPr>
            <w:color w:val="000000"/>
            <w:u w:val="single"/>
          </w:rPr>
          <w:t>DOI</w:t>
        </w:r>
      </w:hyperlink>
    </w:p>
    <w:p>
      <w:pPr>
        <w:keepNext w:val="0"/>
        <w:spacing w:after="60" w:line="240" w:lineRule="auto"/>
      </w:pPr>
      <w:r>
        <w:rPr>
          <w:sz w:val="20"/>
        </w:rPr>
        <w:t>Access: abstract. Locator: Abstract; PMID 25222635. No full-text bias or effect extraction audit; no new meta-analysis.</w:t>
      </w:r>
    </w:p>
    <w:p>
      <w:pPr>
        <w:pStyle w:val="Heading1"/>
        <w:spacing w:before="160" w:after="60"/>
      </w:pPr>
      <w:r>
        <w:rPr>
          <w:sz w:val="21"/>
        </w:rPr>
        <w:t>S04</w:t>
      </w:r>
    </w:p>
    <w:p>
      <w:pPr>
        <w:keepNext/>
        <w:spacing w:after="60" w:line="240" w:lineRule="auto"/>
      </w:pPr>
      <w:r>
        <w:rPr>
          <w:sz w:val="20"/>
        </w:rPr>
        <w:t xml:space="preserve">Efferson, Charles and Lalive, Rafael and Fehr, Ernst (2008). </w:t>
      </w:r>
      <w:r>
        <w:rPr>
          <w:b/>
          <w:sz w:val="20"/>
        </w:rPr>
        <w:t>The coevolution of cultural groups and ingroup favoritism</w:t>
      </w:r>
      <w:r>
        <w:rPr>
          <w:sz w:val="20"/>
        </w:rPr>
        <w:t>. Science 321(5897), 1844–1849.</w:t>
      </w:r>
    </w:p>
    <w:p>
      <w:pPr>
        <w:keepNext/>
        <w:spacing w:after="60" w:line="240" w:lineRule="auto"/>
      </w:pPr>
      <w:hyperlink r:id="rId16">
        <w:r>
          <w:rPr>
            <w:color w:val="000000"/>
            <w:u w:val="single"/>
          </w:rPr>
          <w:t>Source link</w:t>
        </w:r>
      </w:hyperlink>
      <w:r>
        <w:rPr>
          <w:sz w:val="20"/>
        </w:rPr>
        <w:t xml:space="preserve"> </w:t>
      </w:r>
      <w:hyperlink r:id="rId17">
        <w:r>
          <w:rPr>
            <w:color w:val="000000"/>
            <w:u w:val="single"/>
          </w:rPr>
          <w:t>DOI</w:t>
        </w:r>
      </w:hyperlink>
    </w:p>
    <w:p>
      <w:pPr>
        <w:keepNext w:val="0"/>
        <w:spacing w:after="60" w:line="240" w:lineRule="auto"/>
      </w:pPr>
      <w:r>
        <w:rPr>
          <w:sz w:val="20"/>
        </w:rPr>
        <w:t>Access: abstract. Locator: Abstract; PMID 18818361. Arbitrary laboratory groups do not reproduce racialization or national politics.</w:t>
      </w:r>
    </w:p>
    <w:p>
      <w:pPr>
        <w:pStyle w:val="Heading1"/>
        <w:spacing w:before="160" w:after="60"/>
      </w:pPr>
      <w:r>
        <w:rPr>
          <w:sz w:val="21"/>
        </w:rPr>
        <w:t>S05</w:t>
      </w:r>
    </w:p>
    <w:p>
      <w:pPr>
        <w:keepNext/>
        <w:spacing w:after="60" w:line="240" w:lineRule="auto"/>
      </w:pPr>
      <w:r>
        <w:rPr>
          <w:sz w:val="20"/>
        </w:rPr>
        <w:t xml:space="preserve">Andersen, Susan M. and Chen, Serena (2002). </w:t>
      </w:r>
      <w:r>
        <w:rPr>
          <w:b/>
          <w:sz w:val="20"/>
        </w:rPr>
        <w:t>The relational self: an interpersonal social-cognitive theory</w:t>
      </w:r>
      <w:r>
        <w:rPr>
          <w:sz w:val="20"/>
        </w:rPr>
        <w:t>. Psychological Review 109(4), 619–645.</w:t>
      </w:r>
    </w:p>
    <w:p>
      <w:pPr>
        <w:keepNext/>
        <w:spacing w:after="60" w:line="240" w:lineRule="auto"/>
      </w:pPr>
      <w:hyperlink r:id="rId18">
        <w:r>
          <w:rPr>
            <w:color w:val="000000"/>
            <w:u w:val="single"/>
          </w:rPr>
          <w:t>Source link</w:t>
        </w:r>
      </w:hyperlink>
      <w:r>
        <w:rPr>
          <w:sz w:val="20"/>
        </w:rPr>
        <w:t xml:space="preserve"> </w:t>
      </w:r>
      <w:hyperlink r:id="rId19">
        <w:r>
          <w:rPr>
            <w:color w:val="000000"/>
            <w:u w:val="single"/>
          </w:rPr>
          <w:t>DOI</w:t>
        </w:r>
      </w:hyperlink>
    </w:p>
    <w:p>
      <w:pPr>
        <w:keepNext w:val="0"/>
        <w:spacing w:after="60" w:line="240" w:lineRule="auto"/>
      </w:pPr>
      <w:r>
        <w:rPr>
          <w:sz w:val="20"/>
        </w:rPr>
        <w:t>Access: abstract. Locator: Abstract; PMID 12374322. Theory abstract cannot establish coalition-scale effects.</w:t>
      </w:r>
    </w:p>
    <w:p>
      <w:pPr>
        <w:pStyle w:val="Heading1"/>
        <w:spacing w:before="160" w:after="60"/>
      </w:pPr>
      <w:r>
        <w:rPr>
          <w:sz w:val="21"/>
        </w:rPr>
        <w:t>S06</w:t>
      </w:r>
    </w:p>
    <w:p>
      <w:pPr>
        <w:keepNext/>
        <w:spacing w:after="60" w:line="240" w:lineRule="auto"/>
      </w:pPr>
      <w:r>
        <w:rPr>
          <w:sz w:val="20"/>
        </w:rPr>
        <w:t xml:space="preserve">Miller, Kevin P. and Brewer, Marilynn B. and Arbuckle, Nathan L. (2009). </w:t>
      </w:r>
      <w:r>
        <w:rPr>
          <w:b/>
          <w:sz w:val="20"/>
        </w:rPr>
        <w:t>Social Identity Complexity: Its Correlates and Antecedents</w:t>
      </w:r>
      <w:r>
        <w:rPr>
          <w:sz w:val="20"/>
        </w:rPr>
        <w:t>. Group Processes &amp; Intergroup Relations 12(1).</w:t>
      </w:r>
    </w:p>
    <w:p>
      <w:pPr>
        <w:keepNext/>
        <w:spacing w:after="60" w:line="240" w:lineRule="auto"/>
      </w:pPr>
      <w:hyperlink r:id="rId20">
        <w:r>
          <w:rPr>
            <w:color w:val="000000"/>
            <w:u w:val="single"/>
          </w:rPr>
          <w:t>Source link</w:t>
        </w:r>
      </w:hyperlink>
      <w:r>
        <w:rPr>
          <w:sz w:val="20"/>
        </w:rPr>
        <w:t xml:space="preserve"> </w:t>
      </w:r>
      <w:hyperlink r:id="rId21">
        <w:r>
          <w:rPr>
            <w:color w:val="000000"/>
            <w:u w:val="single"/>
          </w:rPr>
          <w:t>DOI</w:t>
        </w:r>
      </w:hyperlink>
    </w:p>
    <w:p>
      <w:pPr>
        <w:keepNext w:val="0"/>
        <w:spacing w:after="60" w:line="240" w:lineRule="auto"/>
      </w:pPr>
      <w:r>
        <w:rPr>
          <w:sz w:val="20"/>
        </w:rPr>
        <w:t>Access: abstract-and-notes. Locator: Abstract and publisher notes. Associations and experimental antecedents are distinct causal questions.</w:t>
      </w:r>
    </w:p>
    <w:p>
      <w:pPr>
        <w:pStyle w:val="Heading1"/>
        <w:spacing w:before="160" w:after="60"/>
      </w:pPr>
      <w:r>
        <w:rPr>
          <w:sz w:val="21"/>
        </w:rPr>
        <w:t>S07</w:t>
      </w:r>
    </w:p>
    <w:p>
      <w:pPr>
        <w:keepNext/>
        <w:spacing w:after="60" w:line="240" w:lineRule="auto"/>
      </w:pPr>
      <w:r>
        <w:rPr>
          <w:sz w:val="20"/>
        </w:rPr>
        <w:t xml:space="preserve">Habyarimana, James and Humphreys, Macartan and Posner, Daniel N. and Weinstein, Jeremy M. (2007). </w:t>
      </w:r>
      <w:r>
        <w:rPr>
          <w:b/>
          <w:sz w:val="20"/>
        </w:rPr>
        <w:t>Why Does Ethnic Diversity Undermine Public Goods Provision?</w:t>
      </w:r>
      <w:r>
        <w:rPr>
          <w:sz w:val="20"/>
        </w:rPr>
        <w:t>. American Political Science Review 101(4), 709–725.</w:t>
      </w:r>
    </w:p>
    <w:p>
      <w:pPr>
        <w:keepNext/>
        <w:spacing w:after="60" w:line="240" w:lineRule="auto"/>
      </w:pPr>
      <w:hyperlink r:id="rId22">
        <w:r>
          <w:rPr>
            <w:color w:val="000000"/>
            <w:u w:val="single"/>
          </w:rPr>
          <w:t>Source link</w:t>
        </w:r>
      </w:hyperlink>
      <w:r>
        <w:rPr>
          <w:sz w:val="20"/>
        </w:rPr>
        <w:t xml:space="preserve"> </w:t>
      </w:r>
      <w:hyperlink r:id="rId23">
        <w:r>
          <w:rPr>
            <w:color w:val="000000"/>
            <w:u w:val="single"/>
          </w:rPr>
          <w:t>DOI</w:t>
        </w:r>
      </w:hyperlink>
    </w:p>
    <w:p>
      <w:pPr>
        <w:keepNext w:val="0"/>
        <w:spacing w:after="60" w:line="240" w:lineRule="auto"/>
      </w:pPr>
      <w:r>
        <w:rPr>
          <w:sz w:val="20"/>
        </w:rPr>
        <w:t>Access: full-text. Locator: Experimental results and conclusion; pp. 719–724. Partner assignment varies; whole-community ethnicity is not randomized.</w:t>
      </w:r>
    </w:p>
    <w:p>
      <w:pPr>
        <w:pStyle w:val="Heading1"/>
        <w:spacing w:before="160" w:after="60"/>
      </w:pPr>
      <w:r>
        <w:rPr>
          <w:sz w:val="21"/>
        </w:rPr>
        <w:t>S08</w:t>
      </w:r>
    </w:p>
    <w:p>
      <w:pPr>
        <w:keepNext/>
        <w:spacing w:after="60" w:line="240" w:lineRule="auto"/>
      </w:pPr>
      <w:r>
        <w:rPr>
          <w:sz w:val="20"/>
        </w:rPr>
        <w:t xml:space="preserve">Mousa, Salma (2020). </w:t>
      </w:r>
      <w:r>
        <w:rPr>
          <w:b/>
          <w:sz w:val="20"/>
        </w:rPr>
        <w:t>Building social cohesion between Christians and Muslims through soccer in post-ISIS Iraq</w:t>
      </w:r>
      <w:r>
        <w:rPr>
          <w:sz w:val="20"/>
        </w:rPr>
        <w:t>. Science 369(6505), 866–870.</w:t>
      </w:r>
    </w:p>
    <w:p>
      <w:pPr>
        <w:keepNext/>
        <w:spacing w:after="60" w:line="240" w:lineRule="auto"/>
      </w:pPr>
      <w:hyperlink r:id="rId24">
        <w:r>
          <w:rPr>
            <w:color w:val="000000"/>
            <w:u w:val="single"/>
          </w:rPr>
          <w:t>Source link</w:t>
        </w:r>
      </w:hyperlink>
      <w:r>
        <w:rPr>
          <w:sz w:val="20"/>
        </w:rPr>
        <w:t xml:space="preserve"> </w:t>
      </w:r>
      <w:hyperlink r:id="rId25">
        <w:r>
          <w:rPr>
            <w:color w:val="000000"/>
            <w:u w:val="single"/>
          </w:rPr>
          <w:t>DOI</w:t>
        </w:r>
      </w:hyperlink>
    </w:p>
    <w:p>
      <w:pPr>
        <w:keepNext w:val="0"/>
        <w:spacing w:after="60" w:line="240" w:lineRule="auto"/>
      </w:pPr>
      <w:r>
        <w:rPr>
          <w:sz w:val="20"/>
        </w:rPr>
        <w:t>Access: full-text. Locator: p. 868; on-field and off-field results. Selected male sports participants and context; null transfer is not proof of zero effect.</w:t>
      </w:r>
    </w:p>
    <w:p>
      <w:pPr>
        <w:pStyle w:val="Heading1"/>
        <w:spacing w:before="160" w:after="60"/>
      </w:pPr>
      <w:r>
        <w:rPr>
          <w:sz w:val="21"/>
        </w:rPr>
        <w:t>S09</w:t>
      </w:r>
    </w:p>
    <w:p>
      <w:pPr>
        <w:keepNext/>
        <w:spacing w:after="60" w:line="240" w:lineRule="auto"/>
      </w:pPr>
      <w:r>
        <w:rPr>
          <w:sz w:val="20"/>
        </w:rPr>
        <w:t xml:space="preserve">Lowe, Matt (2021). </w:t>
      </w:r>
      <w:r>
        <w:rPr>
          <w:b/>
          <w:sz w:val="20"/>
        </w:rPr>
        <w:t>Types of Contact: A Field Experiment on Collaborative and Adversarial Caste Integration</w:t>
      </w:r>
      <w:r>
        <w:rPr>
          <w:sz w:val="20"/>
        </w:rPr>
        <w:t>. American Economic Review 111(6), 1807–1844.</w:t>
      </w:r>
    </w:p>
    <w:p>
      <w:pPr>
        <w:keepNext/>
        <w:spacing w:after="60" w:line="240" w:lineRule="auto"/>
      </w:pPr>
      <w:hyperlink r:id="rId26">
        <w:r>
          <w:rPr>
            <w:color w:val="000000"/>
            <w:u w:val="single"/>
          </w:rPr>
          <w:t>Source link</w:t>
        </w:r>
      </w:hyperlink>
      <w:r>
        <w:rPr>
          <w:sz w:val="20"/>
        </w:rPr>
        <w:t xml:space="preserve"> </w:t>
      </w:r>
      <w:hyperlink r:id="rId27">
        <w:r>
          <w:rPr>
            <w:color w:val="000000"/>
            <w:u w:val="single"/>
          </w:rPr>
          <w:t>DOI</w:t>
        </w:r>
      </w:hyperlink>
    </w:p>
    <w:p>
      <w:pPr>
        <w:keepNext w:val="0"/>
        <w:spacing w:after="60" w:line="240" w:lineRule="auto"/>
      </w:pPr>
      <w:r>
        <w:rPr>
          <w:sz w:val="20"/>
        </w:rPr>
        <w:t>Access: abstract. Locator: Publisher abstract. Full-text download returned 403; estimates and attrition not independently audited.</w:t>
      </w:r>
    </w:p>
    <w:p>
      <w:pPr>
        <w:pStyle w:val="Heading1"/>
        <w:spacing w:before="160" w:after="60"/>
      </w:pPr>
      <w:r>
        <w:rPr>
          <w:sz w:val="21"/>
        </w:rPr>
        <w:t>S10</w:t>
      </w:r>
    </w:p>
    <w:p>
      <w:pPr>
        <w:keepNext/>
        <w:spacing w:after="60" w:line="240" w:lineRule="auto"/>
      </w:pPr>
      <w:r>
        <w:rPr>
          <w:sz w:val="20"/>
        </w:rPr>
        <w:t xml:space="preserve">Paluck, Elizabeth Levy and Green, Seth A. and Green, Donald P. (2019). </w:t>
      </w:r>
      <w:r>
        <w:rPr>
          <w:b/>
          <w:sz w:val="20"/>
        </w:rPr>
        <w:t>The contact hypothesis re-evaluated</w:t>
      </w:r>
      <w:r>
        <w:rPr>
          <w:sz w:val="20"/>
        </w:rPr>
        <w:t>. Behavioural Public Policy 3(2), 129–158.</w:t>
      </w:r>
    </w:p>
    <w:p>
      <w:pPr>
        <w:keepNext/>
        <w:spacing w:after="60" w:line="240" w:lineRule="auto"/>
      </w:pPr>
      <w:hyperlink r:id="rId28">
        <w:r>
          <w:rPr>
            <w:color w:val="000000"/>
            <w:u w:val="single"/>
          </w:rPr>
          <w:t>Source link</w:t>
        </w:r>
      </w:hyperlink>
      <w:r>
        <w:rPr>
          <w:sz w:val="20"/>
        </w:rPr>
        <w:t xml:space="preserve"> </w:t>
      </w:r>
      <w:hyperlink r:id="rId29">
        <w:r>
          <w:rPr>
            <w:color w:val="000000"/>
            <w:u w:val="single"/>
          </w:rPr>
          <w:t>DOI</w:t>
        </w:r>
      </w:hyperlink>
    </w:p>
    <w:p>
      <w:pPr>
        <w:keepNext w:val="0"/>
        <w:spacing w:after="60" w:line="240" w:lineRule="auto"/>
      </w:pPr>
      <w:r>
        <w:rPr>
          <w:sz w:val="20"/>
        </w:rPr>
        <w:t>Access: full-text. Locator: Inclusion criteria, meta-analysis, and discussion. Corpus reflects its search period; not an up-to-2026 census.</w:t>
      </w:r>
    </w:p>
    <w:p>
      <w:pPr>
        <w:pStyle w:val="Heading1"/>
        <w:spacing w:before="160" w:after="60"/>
      </w:pPr>
      <w:r>
        <w:rPr>
          <w:sz w:val="21"/>
        </w:rPr>
        <w:t>S11</w:t>
      </w:r>
    </w:p>
    <w:p>
      <w:pPr>
        <w:keepNext/>
        <w:spacing w:after="60" w:line="240" w:lineRule="auto"/>
      </w:pPr>
      <w:r>
        <w:rPr>
          <w:sz w:val="20"/>
        </w:rPr>
        <w:t xml:space="preserve">Casey, Katherine and Glennerster, Rachel and Miguel, Edward (2012). </w:t>
      </w:r>
      <w:r>
        <w:rPr>
          <w:b/>
          <w:sz w:val="20"/>
        </w:rPr>
        <w:t>Reshaping Institutions: Evidence on Aid Impacts Using a Preanalysis Plan</w:t>
      </w:r>
      <w:r>
        <w:rPr>
          <w:sz w:val="20"/>
        </w:rPr>
        <w:t>. Quarterly Journal of Economics 127(4), 1755–1812.</w:t>
      </w:r>
    </w:p>
    <w:p>
      <w:pPr>
        <w:keepNext/>
        <w:spacing w:after="60" w:line="240" w:lineRule="auto"/>
      </w:pPr>
      <w:hyperlink r:id="rId30">
        <w:r>
          <w:rPr>
            <w:color w:val="000000"/>
            <w:u w:val="single"/>
          </w:rPr>
          <w:t>Source link</w:t>
        </w:r>
      </w:hyperlink>
      <w:r>
        <w:rPr>
          <w:sz w:val="20"/>
        </w:rPr>
        <w:t xml:space="preserve"> </w:t>
      </w:r>
      <w:hyperlink r:id="rId31">
        <w:r>
          <w:rPr>
            <w:color w:val="000000"/>
            <w:u w:val="single"/>
          </w:rPr>
          <w:t>DOI</w:t>
        </w:r>
      </w:hyperlink>
    </w:p>
    <w:p>
      <w:pPr>
        <w:keepNext w:val="0"/>
        <w:spacing w:after="60" w:line="240" w:lineRule="auto"/>
      </w:pPr>
      <w:r>
        <w:rPr>
          <w:sz w:val="20"/>
        </w:rPr>
        <w:t>Access: full-text. Locator: Abstract; results on family A and family B outcomes; conclusion. One program and observation window; does not show every participatory program fails.</w:t>
      </w:r>
    </w:p>
    <w:p>
      <w:pPr>
        <w:pStyle w:val="Heading1"/>
        <w:spacing w:before="160" w:after="60"/>
      </w:pPr>
      <w:r>
        <w:rPr>
          <w:sz w:val="21"/>
        </w:rPr>
        <w:t>S12</w:t>
      </w:r>
    </w:p>
    <w:p>
      <w:pPr>
        <w:keepNext/>
        <w:spacing w:after="60" w:line="240" w:lineRule="auto"/>
      </w:pPr>
      <w:r>
        <w:rPr>
          <w:sz w:val="20"/>
        </w:rPr>
        <w:t xml:space="preserve">Glennerster, Rachel and Miguel, Edward and Rothenberg, Alexander D. (2013). </w:t>
      </w:r>
      <w:r>
        <w:rPr>
          <w:b/>
          <w:sz w:val="20"/>
        </w:rPr>
        <w:t>Collective Action in Diverse Sierra Leone Communities</w:t>
      </w:r>
      <w:r>
        <w:rPr>
          <w:sz w:val="20"/>
        </w:rPr>
        <w:t>. Economic Journal 123(568), 285–316.</w:t>
      </w:r>
    </w:p>
    <w:p>
      <w:pPr>
        <w:keepNext/>
        <w:spacing w:after="60" w:line="240" w:lineRule="auto"/>
      </w:pPr>
      <w:hyperlink r:id="rId32">
        <w:r>
          <w:rPr>
            <w:color w:val="000000"/>
            <w:u w:val="single"/>
          </w:rPr>
          <w:t>Source link</w:t>
        </w:r>
      </w:hyperlink>
    </w:p>
    <w:p>
      <w:pPr>
        <w:keepNext w:val="0"/>
        <w:spacing w:after="60" w:line="240" w:lineRule="auto"/>
      </w:pPr>
      <w:r>
        <w:rPr>
          <w:sz w:val="20"/>
        </w:rPr>
        <w:t>Access: full-text. Locator: Abstract; empirical results and instrumental-variable discussion. Historical instrument needs an exclusion restriction; estimates remain context-specific.</w:t>
      </w:r>
    </w:p>
    <w:p>
      <w:pPr>
        <w:pStyle w:val="Heading1"/>
        <w:spacing w:before="160" w:after="60"/>
      </w:pPr>
      <w:r>
        <w:rPr>
          <w:sz w:val="21"/>
        </w:rPr>
        <w:t>S13</w:t>
      </w:r>
    </w:p>
    <w:p>
      <w:pPr>
        <w:keepNext/>
        <w:spacing w:after="60" w:line="240" w:lineRule="auto"/>
      </w:pPr>
      <w:r>
        <w:rPr>
          <w:sz w:val="20"/>
        </w:rPr>
        <w:t xml:space="preserve">Ostrom, Elinor (2009). </w:t>
      </w:r>
      <w:r>
        <w:rPr>
          <w:b/>
          <w:sz w:val="20"/>
        </w:rPr>
        <w:t>Beyond Markets and States: Polycentric Governance of Complex Economic Systems</w:t>
      </w:r>
      <w:r>
        <w:rPr>
          <w:sz w:val="20"/>
        </w:rPr>
        <w:t>. Revised Nobel lecture draft; later published in 2010.</w:t>
      </w:r>
    </w:p>
    <w:p>
      <w:pPr>
        <w:keepNext/>
        <w:spacing w:after="60" w:line="240" w:lineRule="auto"/>
      </w:pPr>
      <w:hyperlink r:id="rId33">
        <w:r>
          <w:rPr>
            <w:color w:val="000000"/>
            <w:u w:val="single"/>
          </w:rPr>
          <w:t>Source link</w:t>
        </w:r>
      </w:hyperlink>
    </w:p>
    <w:p>
      <w:pPr>
        <w:keepNext w:val="0"/>
        <w:spacing w:after="60" w:line="240" w:lineRule="auto"/>
      </w:pPr>
      <w:r>
        <w:rPr>
          <w:sz w:val="20"/>
        </w:rPr>
        <w:t>Access: full-text. Locator: p. 13, design principle 8; wider governance discussion. The retrieved draft is a theoretical synthesis, not a national regime experiment.</w:t>
      </w:r>
    </w:p>
    <w:p>
      <w:pPr>
        <w:pStyle w:val="Heading1"/>
        <w:spacing w:before="160" w:after="60"/>
      </w:pPr>
      <w:r>
        <w:rPr>
          <w:sz w:val="21"/>
        </w:rPr>
        <w:t>S14</w:t>
      </w:r>
    </w:p>
    <w:p>
      <w:pPr>
        <w:keepNext/>
        <w:spacing w:after="60" w:line="240" w:lineRule="auto"/>
      </w:pPr>
      <w:r>
        <w:rPr>
          <w:sz w:val="20"/>
        </w:rPr>
        <w:t xml:space="preserve">Durkheim, Émile (1893). </w:t>
      </w:r>
      <w:r>
        <w:rPr>
          <w:b/>
          <w:sz w:val="20"/>
        </w:rPr>
        <w:t>The Division of Labor in Society</w:t>
      </w:r>
      <w:r>
        <w:rPr>
          <w:sz w:val="20"/>
        </w:rPr>
        <w:t>. George Simpson translation (1947); university excerpt.</w:t>
      </w:r>
    </w:p>
    <w:p>
      <w:pPr>
        <w:keepNext/>
        <w:spacing w:after="60" w:line="240" w:lineRule="auto"/>
      </w:pPr>
      <w:hyperlink r:id="rId34">
        <w:r>
          <w:rPr>
            <w:color w:val="000000"/>
            <w:u w:val="single"/>
          </w:rPr>
          <w:t>Source link</w:t>
        </w:r>
      </w:hyperlink>
    </w:p>
    <w:p>
      <w:pPr>
        <w:keepNext w:val="0"/>
        <w:spacing w:after="60" w:line="240" w:lineRule="auto"/>
      </w:pPr>
      <w:r>
        <w:rPr>
          <w:sz w:val="20"/>
        </w:rPr>
        <w:t>Access: excerpt. Locator: Mechanical and organic solidarity excerpt. Excerpt only; conceptual distinction is not an automatic harmony claim.</w:t>
      </w:r>
    </w:p>
    <w:p>
      <w:pPr>
        <w:pStyle w:val="Heading1"/>
        <w:spacing w:before="160" w:after="60"/>
      </w:pPr>
      <w:r>
        <w:rPr>
          <w:sz w:val="21"/>
        </w:rPr>
        <w:t>S15</w:t>
      </w:r>
    </w:p>
    <w:p>
      <w:pPr>
        <w:keepNext/>
        <w:spacing w:after="60" w:line="240" w:lineRule="auto"/>
      </w:pPr>
      <w:r>
        <w:rPr>
          <w:sz w:val="20"/>
        </w:rPr>
        <w:t xml:space="preserve">Washington, Booker T. (1895). </w:t>
      </w:r>
      <w:r>
        <w:rPr>
          <w:b/>
          <w:sz w:val="20"/>
        </w:rPr>
        <w:t>Atlanta Exposition Address</w:t>
      </w:r>
      <w:r>
        <w:rPr>
          <w:sz w:val="20"/>
        </w:rPr>
        <w:t>. 18 September; reproduced speech with editorial introduction.</w:t>
      </w:r>
    </w:p>
    <w:p>
      <w:pPr>
        <w:keepNext/>
        <w:spacing w:after="60" w:line="240" w:lineRule="auto"/>
      </w:pPr>
      <w:hyperlink r:id="rId35">
        <w:r>
          <w:rPr>
            <w:color w:val="000000"/>
            <w:u w:val="single"/>
          </w:rPr>
          <w:t>Source link</w:t>
        </w:r>
      </w:hyperlink>
    </w:p>
    <w:p>
      <w:pPr>
        <w:keepNext w:val="0"/>
        <w:spacing w:after="60" w:line="240" w:lineRule="auto"/>
      </w:pPr>
      <w:r>
        <w:rPr>
          <w:sz w:val="20"/>
        </w:rPr>
        <w:t>Access: full-speech-plus-editorial. Locator: Speech and separately identified editorial introduction. Private litigation claim rests on editorial account, not inspected correspondence.</w:t>
      </w:r>
    </w:p>
    <w:p>
      <w:pPr>
        <w:pStyle w:val="Heading1"/>
        <w:spacing w:before="160" w:after="60"/>
      </w:pPr>
      <w:r>
        <w:rPr>
          <w:sz w:val="21"/>
        </w:rPr>
        <w:t>S16</w:t>
      </w:r>
    </w:p>
    <w:p>
      <w:pPr>
        <w:keepNext/>
        <w:spacing w:after="60" w:line="240" w:lineRule="auto"/>
      </w:pPr>
      <w:r>
        <w:rPr>
          <w:sz w:val="20"/>
        </w:rPr>
        <w:t xml:space="preserve">Du Bois, W. E. B. (1903). </w:t>
      </w:r>
      <w:r>
        <w:rPr>
          <w:b/>
          <w:sz w:val="20"/>
        </w:rPr>
        <w:t>The Souls of Black Folk</w:t>
      </w:r>
      <w:r>
        <w:rPr>
          <w:sz w:val="20"/>
        </w:rPr>
        <w:t>. Chapter III: Of Mr. Booker T. Washington and Others.</w:t>
      </w:r>
    </w:p>
    <w:p>
      <w:pPr>
        <w:keepNext/>
        <w:spacing w:after="60" w:line="240" w:lineRule="auto"/>
      </w:pPr>
      <w:hyperlink r:id="rId36">
        <w:r>
          <w:rPr>
            <w:color w:val="000000"/>
            <w:u w:val="single"/>
          </w:rPr>
          <w:t>Source link</w:t>
        </w:r>
      </w:hyperlink>
    </w:p>
    <w:p>
      <w:pPr>
        <w:keepNext w:val="0"/>
        <w:spacing w:after="60" w:line="240" w:lineRule="auto"/>
      </w:pPr>
      <w:r>
        <w:rPr>
          <w:sz w:val="20"/>
        </w:rPr>
        <w:t>Access: chapter. Locator: Chapter III, numbered demands near end. One period and chapter cannot represent the full evolution of Du Bois.</w:t>
      </w:r>
    </w:p>
    <w:p>
      <w:pPr>
        <w:pStyle w:val="Heading1"/>
        <w:spacing w:before="160" w:after="60"/>
      </w:pPr>
      <w:r>
        <w:rPr>
          <w:sz w:val="21"/>
        </w:rPr>
        <w:t>S17</w:t>
      </w:r>
    </w:p>
    <w:p>
      <w:pPr>
        <w:keepNext/>
        <w:spacing w:after="60" w:line="240" w:lineRule="auto"/>
      </w:pPr>
      <w:r>
        <w:rPr>
          <w:sz w:val="20"/>
        </w:rPr>
        <w:t xml:space="preserve">Malcolm X (1964). </w:t>
      </w:r>
      <w:r>
        <w:rPr>
          <w:b/>
          <w:sz w:val="20"/>
        </w:rPr>
        <w:t>Speech at the OAAU founding rally</w:t>
      </w:r>
      <w:r>
        <w:rPr>
          <w:sz w:val="20"/>
        </w:rPr>
        <w:t>. 28 June; reproduced transcript.</w:t>
      </w:r>
    </w:p>
    <w:p>
      <w:pPr>
        <w:keepNext/>
        <w:spacing w:after="60" w:line="240" w:lineRule="auto"/>
      </w:pPr>
      <w:hyperlink r:id="rId37">
        <w:r>
          <w:rPr>
            <w:color w:val="000000"/>
            <w:u w:val="single"/>
          </w:rPr>
          <w:t>Source link</w:t>
        </w:r>
      </w:hyperlink>
    </w:p>
    <w:p>
      <w:pPr>
        <w:keepNext w:val="0"/>
        <w:spacing w:after="60" w:line="240" w:lineRule="auto"/>
      </w:pPr>
      <w:r>
        <w:rPr>
          <w:sz w:val="20"/>
        </w:rPr>
        <w:t>Access: full-transcript. Locator: Membership, independent organization, and international linkage passages. Programmatic speech; no estimated causal effectiveness.</w:t>
      </w:r>
    </w:p>
    <w:p>
      <w:pPr>
        <w:pStyle w:val="Heading1"/>
        <w:spacing w:before="160" w:after="60"/>
      </w:pPr>
      <w:r>
        <w:rPr>
          <w:sz w:val="21"/>
        </w:rPr>
        <w:t>S18</w:t>
      </w:r>
    </w:p>
    <w:p>
      <w:pPr>
        <w:keepNext/>
        <w:spacing w:after="60" w:line="240" w:lineRule="auto"/>
      </w:pPr>
      <w:r>
        <w:rPr>
          <w:sz w:val="20"/>
        </w:rPr>
        <w:t xml:space="preserve">The Martin Luther King, Jr. Research and Education Institute (n.d.). </w:t>
      </w:r>
      <w:r>
        <w:rPr>
          <w:b/>
          <w:sz w:val="20"/>
        </w:rPr>
        <w:t>Poor People’s Campaign</w:t>
      </w:r>
      <w:r>
        <w:rPr>
          <w:sz w:val="20"/>
        </w:rPr>
        <w:t>. Stanford University historical encyclopedia.</w:t>
      </w:r>
    </w:p>
    <w:p>
      <w:pPr>
        <w:keepNext/>
        <w:spacing w:after="60" w:line="240" w:lineRule="auto"/>
      </w:pPr>
      <w:hyperlink r:id="rId38">
        <w:r>
          <w:rPr>
            <w:color w:val="000000"/>
            <w:u w:val="single"/>
          </w:rPr>
          <w:t>Source link</w:t>
        </w:r>
      </w:hyperlink>
    </w:p>
    <w:p>
      <w:pPr>
        <w:keepNext w:val="0"/>
        <w:spacing w:after="60" w:line="240" w:lineRule="auto"/>
      </w:pPr>
      <w:r>
        <w:rPr>
          <w:sz w:val="20"/>
        </w:rPr>
        <w:t>Access: full-entry. Locator: Campaign planning and 1968 outcomes. Institutional secondary summary; no matched strategy counterfactual.</w:t>
      </w:r>
    </w:p>
    <w:p>
      <w:pPr>
        <w:pStyle w:val="Heading1"/>
        <w:spacing w:before="160" w:after="60"/>
      </w:pPr>
      <w:r>
        <w:rPr>
          <w:sz w:val="21"/>
        </w:rPr>
        <w:t>S19</w:t>
      </w:r>
    </w:p>
    <w:p>
      <w:pPr>
        <w:keepNext/>
        <w:spacing w:after="60" w:line="240" w:lineRule="auto"/>
      </w:pPr>
      <w:r>
        <w:rPr>
          <w:sz w:val="20"/>
        </w:rPr>
        <w:t xml:space="preserve">Combahee River Collective (1977). </w:t>
      </w:r>
      <w:r>
        <w:rPr>
          <w:b/>
          <w:sz w:val="20"/>
        </w:rPr>
        <w:t>The Combahee River Collective Statement</w:t>
      </w:r>
      <w:r>
        <w:rPr>
          <w:sz w:val="20"/>
        </w:rPr>
        <w:t>. Primary statement reproduced by Verso.</w:t>
      </w:r>
    </w:p>
    <w:p>
      <w:pPr>
        <w:keepNext/>
        <w:spacing w:after="60" w:line="240" w:lineRule="auto"/>
      </w:pPr>
      <w:hyperlink r:id="rId39">
        <w:r>
          <w:rPr>
            <w:color w:val="000000"/>
            <w:u w:val="single"/>
          </w:rPr>
          <w:t>Source link</w:t>
        </w:r>
      </w:hyperlink>
    </w:p>
    <w:p>
      <w:pPr>
        <w:keepNext w:val="0"/>
        <w:spacing w:after="60" w:line="240" w:lineRule="auto"/>
      </w:pPr>
      <w:r>
        <w:rPr>
          <w:sz w:val="20"/>
        </w:rPr>
        <w:t>Access: full-statement. Locator: Sections 2 and 3. Normative and organizational statement, not an outcome study.</w:t>
      </w:r>
    </w:p>
    <w:p>
      <w:pPr>
        <w:pStyle w:val="Heading1"/>
        <w:spacing w:before="160" w:after="60"/>
      </w:pPr>
      <w:r>
        <w:rPr>
          <w:sz w:val="21"/>
        </w:rPr>
        <w:t>S20</w:t>
      </w:r>
    </w:p>
    <w:p>
      <w:pPr>
        <w:keepNext/>
        <w:spacing w:after="60" w:line="240" w:lineRule="auto"/>
      </w:pPr>
      <w:r>
        <w:rPr>
          <w:sz w:val="20"/>
        </w:rPr>
        <w:t xml:space="preserve">Balfour, Arthur James (1917). </w:t>
      </w:r>
      <w:r>
        <w:rPr>
          <w:b/>
          <w:sz w:val="20"/>
        </w:rPr>
        <w:t>The Balfour Declaration</w:t>
      </w:r>
      <w:r>
        <w:rPr>
          <w:sz w:val="20"/>
        </w:rPr>
        <w:t>. 2 November; Yale Avalon Project transcription.</w:t>
      </w:r>
    </w:p>
    <w:p>
      <w:pPr>
        <w:keepNext/>
        <w:spacing w:after="60" w:line="240" w:lineRule="auto"/>
      </w:pPr>
      <w:hyperlink r:id="rId40">
        <w:r>
          <w:rPr>
            <w:color w:val="000000"/>
            <w:u w:val="single"/>
          </w:rPr>
          <w:t>Source link</w:t>
        </w:r>
      </w:hyperlink>
    </w:p>
    <w:p>
      <w:pPr>
        <w:keepNext w:val="0"/>
        <w:spacing w:after="60" w:line="240" w:lineRule="auto"/>
      </w:pPr>
      <w:r>
        <w:rPr>
          <w:sz w:val="20"/>
        </w:rPr>
        <w:t>Access: full-document. Locator: Declaration body. Text alone does not evaluate implementation, present law, or constitutional alternatives.</w:t>
      </w:r>
    </w:p>
    <w:p>
      <w:pPr>
        <w:pStyle w:val="Heading1"/>
        <w:spacing w:before="160" w:after="60"/>
      </w:pPr>
      <w:r>
        <w:rPr>
          <w:sz w:val="21"/>
        </w:rPr>
        <w:t>S21</w:t>
      </w:r>
    </w:p>
    <w:p>
      <w:pPr>
        <w:keepNext/>
        <w:spacing w:after="60" w:line="240" w:lineRule="auto"/>
      </w:pPr>
      <w:r>
        <w:rPr>
          <w:sz w:val="20"/>
        </w:rPr>
        <w:t xml:space="preserve">Nkrumah, Kwame (1965). </w:t>
      </w:r>
      <w:r>
        <w:rPr>
          <w:b/>
          <w:sz w:val="20"/>
        </w:rPr>
        <w:t>Neo-Colonialism, the Last Stage of Imperialism</w:t>
      </w:r>
      <w:r>
        <w:rPr>
          <w:sz w:val="20"/>
        </w:rPr>
        <w:t>. Chapter 2: Obstacles to economic progress.</w:t>
      </w:r>
    </w:p>
    <w:p>
      <w:pPr>
        <w:keepNext/>
        <w:spacing w:after="60" w:line="240" w:lineRule="auto"/>
      </w:pPr>
      <w:hyperlink r:id="rId41">
        <w:r>
          <w:rPr>
            <w:color w:val="000000"/>
            <w:u w:val="single"/>
          </w:rPr>
          <w:t>Source link</w:t>
        </w:r>
      </w:hyperlink>
    </w:p>
    <w:p>
      <w:pPr>
        <w:keepNext w:val="0"/>
        <w:spacing w:after="60" w:line="240" w:lineRule="auto"/>
      </w:pPr>
      <w:r>
        <w:rPr>
          <w:sz w:val="20"/>
        </w:rPr>
        <w:t>Access: chapter. Locator: Chapter 2, continental planning and uneven benefits passages. Primary political argument; the projected alternative was not experimentally tested.</w:t>
      </w:r>
    </w:p>
    <w:p>
      <w:pPr>
        <w:pStyle w:val="Heading1"/>
        <w:spacing w:before="160" w:after="60"/>
      </w:pPr>
      <w:r>
        <w:rPr>
          <w:sz w:val="21"/>
        </w:rPr>
        <w:t>S22</w:t>
      </w:r>
    </w:p>
    <w:p>
      <w:pPr>
        <w:keepNext/>
        <w:spacing w:after="60" w:line="240" w:lineRule="auto"/>
      </w:pPr>
      <w:r>
        <w:rPr>
          <w:sz w:val="20"/>
        </w:rPr>
        <w:t xml:space="preserve">Gambini, Bert (2024). </w:t>
      </w:r>
      <w:r>
        <w:rPr>
          <w:b/>
          <w:sz w:val="20"/>
        </w:rPr>
        <w:t>SUNY Press publishes new edition of classic work on African American toasts</w:t>
      </w:r>
      <w:r>
        <w:rPr>
          <w:sz w:val="20"/>
        </w:rPr>
        <w:t>. University at Buffalo; 27 February; interview with Bruce Jackson.</w:t>
      </w:r>
    </w:p>
    <w:p>
      <w:pPr>
        <w:keepNext/>
        <w:spacing w:after="60" w:line="240" w:lineRule="auto"/>
      </w:pPr>
      <w:hyperlink r:id="rId42">
        <w:r>
          <w:rPr>
            <w:color w:val="000000"/>
            <w:u w:val="single"/>
          </w:rPr>
          <w:t>Source link</w:t>
        </w:r>
      </w:hyperlink>
    </w:p>
    <w:p>
      <w:pPr>
        <w:keepNext w:val="0"/>
        <w:spacing w:after="60" w:line="240" w:lineRule="auto"/>
      </w:pPr>
      <w:r>
        <w:rPr>
          <w:sz w:val="20"/>
        </w:rPr>
        <w:t>Access: full-interview. Locator: Interview discussion of toasts and collection. This record is an interview, not a claim to have read Jackson’s full book.</w:t>
      </w:r>
    </w:p>
    <w:p>
      <w:pPr>
        <w:pStyle w:val="Heading1"/>
        <w:spacing w:before="160" w:after="60"/>
      </w:pPr>
      <w:r>
        <w:rPr>
          <w:sz w:val="21"/>
        </w:rPr>
        <w:t>S23</w:t>
      </w:r>
    </w:p>
    <w:p>
      <w:pPr>
        <w:keepNext/>
        <w:spacing w:after="60" w:line="240" w:lineRule="auto"/>
      </w:pPr>
      <w:r>
        <w:rPr>
          <w:sz w:val="20"/>
        </w:rPr>
        <w:t xml:space="preserve">Chow, Andrew R. (2019). </w:t>
      </w:r>
      <w:r>
        <w:rPr>
          <w:b/>
          <w:sz w:val="20"/>
        </w:rPr>
        <w:t>Rappers Reflect on the Enduring Hip-Hop Legacy of Dolemite Comedian Rudy Ray Moore</w:t>
      </w:r>
      <w:r>
        <w:rPr>
          <w:sz w:val="20"/>
        </w:rPr>
        <w:t>. TIME; 26 October; artist interviews.</w:t>
      </w:r>
    </w:p>
    <w:p>
      <w:pPr>
        <w:keepNext/>
        <w:spacing w:after="60" w:line="240" w:lineRule="auto"/>
      </w:pPr>
      <w:hyperlink r:id="rId43">
        <w:r>
          <w:rPr>
            <w:color w:val="000000"/>
            <w:u w:val="single"/>
          </w:rPr>
          <w:t>Source link</w:t>
        </w:r>
      </w:hyperlink>
    </w:p>
    <w:p>
      <w:pPr>
        <w:keepNext w:val="0"/>
        <w:spacing w:after="60" w:line="240" w:lineRule="auto"/>
      </w:pPr>
      <w:r>
        <w:rPr>
          <w:sz w:val="20"/>
        </w:rPr>
        <w:t>Access: full-article. Locator: Artist interviews in article body. Interview testimony does not establish a single origin of rap.</w:t>
      </w:r>
    </w:p>
    <w:p>
      <w:pPr>
        <w:pStyle w:val="Heading1"/>
        <w:spacing w:before="160" w:after="60"/>
      </w:pPr>
      <w:r>
        <w:rPr>
          <w:sz w:val="21"/>
        </w:rPr>
        <w:t>S24</w:t>
      </w:r>
    </w:p>
    <w:p>
      <w:pPr>
        <w:keepNext/>
        <w:spacing w:after="60" w:line="240" w:lineRule="auto"/>
      </w:pPr>
      <w:r>
        <w:rPr>
          <w:sz w:val="20"/>
        </w:rPr>
        <w:t xml:space="preserve">Reed, Adolph, Jr. (n.d.). </w:t>
      </w:r>
      <w:r>
        <w:rPr>
          <w:b/>
          <w:sz w:val="20"/>
        </w:rPr>
        <w:t>Afropessimism, or Black Studies as a Class Project</w:t>
      </w:r>
      <w:r>
        <w:rPr>
          <w:sz w:val="20"/>
        </w:rPr>
        <w:t>. nonsite.org; original essay.</w:t>
      </w:r>
    </w:p>
    <w:p>
      <w:pPr>
        <w:keepNext/>
        <w:spacing w:after="60" w:line="240" w:lineRule="auto"/>
      </w:pPr>
      <w:hyperlink r:id="rId44">
        <w:r>
          <w:rPr>
            <w:color w:val="000000"/>
            <w:u w:val="single"/>
          </w:rPr>
          <w:t>Source link</w:t>
        </w:r>
      </w:hyperlink>
    </w:p>
    <w:p>
      <w:pPr>
        <w:keepNext w:val="0"/>
        <w:spacing w:after="60" w:line="240" w:lineRule="auto"/>
      </w:pPr>
      <w:r>
        <w:rPr>
          <w:sz w:val="20"/>
        </w:rPr>
        <w:t>Access: full-essay. Locator: Political-economic critique. Publication date not confirmed; argument is not a causal effect estimate.</w:t>
      </w:r>
    </w:p>
    <w:p>
      <w:pPr>
        <w:pStyle w:val="Heading1"/>
        <w:spacing w:before="160" w:after="60"/>
      </w:pPr>
      <w:r>
        <w:rPr>
          <w:sz w:val="21"/>
        </w:rPr>
        <w:t>S25</w:t>
      </w:r>
    </w:p>
    <w:p>
      <w:pPr>
        <w:keepNext/>
        <w:spacing w:after="60" w:line="240" w:lineRule="auto"/>
      </w:pPr>
      <w:r>
        <w:rPr>
          <w:sz w:val="20"/>
        </w:rPr>
        <w:t xml:space="preserve">Táíwò, Olúfẹ́mi O. (2022). </w:t>
      </w:r>
      <w:r>
        <w:rPr>
          <w:b/>
          <w:sz w:val="20"/>
        </w:rPr>
        <w:t>Elite Capture: How the Powerful Took Over Identity Politics (and Everything Else)</w:t>
      </w:r>
      <w:r>
        <w:rPr>
          <w:sz w:val="20"/>
        </w:rPr>
        <w:t>. Haymarket Books.</w:t>
      </w:r>
    </w:p>
    <w:p>
      <w:pPr>
        <w:keepNext/>
        <w:spacing w:after="60" w:line="240" w:lineRule="auto"/>
      </w:pPr>
      <w:hyperlink r:id="rId45">
        <w:r>
          <w:rPr>
            <w:color w:val="000000"/>
            <w:u w:val="single"/>
          </w:rPr>
          <w:t>Source link</w:t>
        </w:r>
      </w:hyperlink>
    </w:p>
    <w:p>
      <w:pPr>
        <w:keepNext w:val="0"/>
        <w:spacing w:after="60" w:line="240" w:lineRule="auto"/>
      </w:pPr>
      <w:r>
        <w:rPr>
          <w:sz w:val="20"/>
        </w:rPr>
        <w:t>Access: catalog-only. Locator: Publisher catalog. Full book not assessed; not used as decisive evidence.</w:t>
      </w:r>
    </w:p>
    <w:p>
      <w:pPr>
        <w:pStyle w:val="Heading1"/>
        <w:spacing w:before="160" w:after="60"/>
      </w:pPr>
      <w:r>
        <w:rPr>
          <w:sz w:val="21"/>
        </w:rPr>
        <w:t>S26</w:t>
      </w:r>
    </w:p>
    <w:p>
      <w:pPr>
        <w:keepNext/>
        <w:spacing w:after="60" w:line="240" w:lineRule="auto"/>
      </w:pPr>
      <w:r>
        <w:rPr>
          <w:sz w:val="20"/>
        </w:rPr>
        <w:t xml:space="preserve">Carroll, Sean and Appiah, Kwame Anthony (2020). </w:t>
      </w:r>
      <w:r>
        <w:rPr>
          <w:b/>
          <w:sz w:val="20"/>
        </w:rPr>
        <w:t>Kwame Anthony Appiah on Identity, Stories, and Cosmopolitanism</w:t>
      </w:r>
      <w:r>
        <w:rPr>
          <w:sz w:val="20"/>
        </w:rPr>
        <w:t>. Mindscape 83; 10 February; interview transcript.</w:t>
      </w:r>
    </w:p>
    <w:p>
      <w:pPr>
        <w:keepNext/>
        <w:spacing w:after="60" w:line="240" w:lineRule="auto"/>
      </w:pPr>
      <w:hyperlink r:id="rId46">
        <w:r>
          <w:rPr>
            <w:color w:val="000000"/>
            <w:u w:val="single"/>
          </w:rPr>
          <w:t>Source link</w:t>
        </w:r>
      </w:hyperlink>
    </w:p>
    <w:p>
      <w:pPr>
        <w:keepNext w:val="0"/>
        <w:spacing w:after="60" w:line="240" w:lineRule="auto"/>
      </w:pPr>
      <w:r>
        <w:rPr>
          <w:sz w:val="20"/>
        </w:rPr>
        <w:t>Access: full-transcript. Locator: Around 1:17:20 and subsequent discussion. Interview explains a normative position; does not test political effectiveness.</w:t>
      </w:r>
    </w:p>
    <w:p>
      <w:pPr>
        <w:pStyle w:val="Heading1"/>
        <w:spacing w:before="160" w:after="60"/>
      </w:pPr>
      <w:r>
        <w:rPr>
          <w:sz w:val="21"/>
        </w:rPr>
        <w:t>S27</w:t>
      </w:r>
    </w:p>
    <w:p>
      <w:pPr>
        <w:keepNext/>
        <w:spacing w:after="60" w:line="240" w:lineRule="auto"/>
      </w:pPr>
      <w:r>
        <w:rPr>
          <w:sz w:val="20"/>
        </w:rPr>
        <w:t xml:space="preserve">Nunn, Nathan and Wantchekon, Leonard (2011). </w:t>
      </w:r>
      <w:r>
        <w:rPr>
          <w:b/>
          <w:sz w:val="20"/>
        </w:rPr>
        <w:t>The Slave Trade and the Origins of Mistrust in Africa</w:t>
      </w:r>
      <w:r>
        <w:rPr>
          <w:sz w:val="20"/>
        </w:rPr>
        <w:t>. American Economic Review 101(7), 3221–3252.</w:t>
      </w:r>
    </w:p>
    <w:p>
      <w:pPr>
        <w:keepNext/>
        <w:spacing w:after="60" w:line="240" w:lineRule="auto"/>
      </w:pPr>
      <w:hyperlink r:id="rId47">
        <w:r>
          <w:rPr>
            <w:color w:val="000000"/>
            <w:u w:val="single"/>
          </w:rPr>
          <w:t>Source link</w:t>
        </w:r>
      </w:hyperlink>
      <w:r>
        <w:rPr>
          <w:sz w:val="20"/>
        </w:rPr>
        <w:t xml:space="preserve"> </w:t>
      </w:r>
      <w:hyperlink r:id="rId48">
        <w:r>
          <w:rPr>
            <w:color w:val="000000"/>
            <w:u w:val="single"/>
          </w:rPr>
          <w:t>DOI</w:t>
        </w:r>
      </w:hyperlink>
    </w:p>
    <w:p>
      <w:pPr>
        <w:keepNext w:val="0"/>
        <w:spacing w:after="60" w:line="240" w:lineRule="auto"/>
      </w:pPr>
      <w:r>
        <w:rPr>
          <w:sz w:val="20"/>
        </w:rPr>
        <w:t>Access: metadata-and-indexed-abstract. Locator: Author metadata; indexed NBER w14783 abstract. NBER direct access failed; no full-text identification audit; slave trade is not identical to colonial partition.</w:t>
      </w:r>
    </w:p>
    <w:p>
      <w:pPr>
        <w:pStyle w:val="Heading1"/>
        <w:spacing w:before="160" w:after="60"/>
      </w:pPr>
      <w:r>
        <w:rPr>
          <w:sz w:val="21"/>
        </w:rPr>
        <w:t>S28</w:t>
      </w:r>
    </w:p>
    <w:p>
      <w:pPr>
        <w:keepNext/>
        <w:spacing w:after="60" w:line="240" w:lineRule="auto"/>
      </w:pPr>
      <w:r>
        <w:rPr>
          <w:sz w:val="20"/>
        </w:rPr>
        <w:t xml:space="preserve">Roccas, Sonia and Brewer, Marilynn B. (2002). </w:t>
      </w:r>
      <w:r>
        <w:rPr>
          <w:b/>
          <w:sz w:val="20"/>
        </w:rPr>
        <w:t>Social Identity Complexity</w:t>
      </w:r>
      <w:r>
        <w:rPr>
          <w:sz w:val="20"/>
        </w:rPr>
        <w:t>. Personality and Social Psychology Review 6(2), 88–106.</w:t>
      </w:r>
    </w:p>
    <w:p>
      <w:pPr>
        <w:keepNext/>
        <w:spacing w:after="60" w:line="240" w:lineRule="auto"/>
      </w:pPr>
      <w:hyperlink r:id="rId49">
        <w:r>
          <w:rPr>
            <w:color w:val="000000"/>
            <w:u w:val="single"/>
          </w:rPr>
          <w:t>Source link</w:t>
        </w:r>
      </w:hyperlink>
      <w:r>
        <w:rPr>
          <w:sz w:val="20"/>
        </w:rPr>
        <w:t xml:space="preserve"> </w:t>
      </w:r>
      <w:hyperlink r:id="rId50">
        <w:r>
          <w:rPr>
            <w:color w:val="000000"/>
            <w:u w:val="single"/>
          </w:rPr>
          <w:t>DOI</w:t>
        </w:r>
      </w:hyperlink>
    </w:p>
    <w:p>
      <w:pPr>
        <w:keepNext w:val="0"/>
        <w:spacing w:after="60" w:line="240" w:lineRule="auto"/>
      </w:pPr>
      <w:r>
        <w:rPr>
          <w:sz w:val="20"/>
        </w:rPr>
        <w:t>Access: indexed-abstract. Locator: Indexed abstract; direct page timed out. Theory discovery record only; not a causal organizational result.</w:t>
      </w:r>
    </w:p>
    <w:p>
      <w:pPr>
        <w:pStyle w:val="Heading1"/>
        <w:spacing w:before="160" w:after="60"/>
      </w:pPr>
      <w:r>
        <w:rPr>
          <w:sz w:val="21"/>
        </w:rPr>
        <w:t>S29</w:t>
      </w:r>
    </w:p>
    <w:p>
      <w:pPr>
        <w:keepNext/>
        <w:spacing w:after="60" w:line="240" w:lineRule="auto"/>
      </w:pPr>
      <w:r>
        <w:rPr>
          <w:sz w:val="20"/>
        </w:rPr>
        <w:t xml:space="preserve">Getachew, Adom (2019). </w:t>
      </w:r>
      <w:r>
        <w:rPr>
          <w:b/>
          <w:sz w:val="20"/>
        </w:rPr>
        <w:t>Worldmaking after Empire: The Rise and Fall of Self-Determination</w:t>
      </w:r>
      <w:r>
        <w:rPr>
          <w:sz w:val="20"/>
        </w:rPr>
        <w:t>. Princeton University Press; introduction.</w:t>
      </w:r>
    </w:p>
    <w:p>
      <w:pPr>
        <w:keepNext/>
        <w:spacing w:after="60" w:line="240" w:lineRule="auto"/>
      </w:pPr>
      <w:hyperlink r:id="rId51">
        <w:r>
          <w:rPr>
            <w:color w:val="000000"/>
            <w:u w:val="single"/>
          </w:rPr>
          <w:t>Source link</w:t>
        </w:r>
      </w:hyperlink>
      <w:r>
        <w:rPr>
          <w:sz w:val="20"/>
        </w:rPr>
        <w:t xml:space="preserve"> </w:t>
      </w:r>
      <w:hyperlink r:id="rId52">
        <w:r>
          <w:rPr>
            <w:color w:val="000000"/>
            <w:u w:val="single"/>
          </w:rPr>
          <w:t>DOI</w:t>
        </w:r>
      </w:hyperlink>
    </w:p>
    <w:p>
      <w:pPr>
        <w:keepNext w:val="0"/>
        <w:spacing w:after="60" w:line="240" w:lineRule="auto"/>
      </w:pPr>
      <w:r>
        <w:rPr>
          <w:sz w:val="20"/>
        </w:rPr>
        <w:t>Access: introduction. Locator: Introduction, international order and federation discussion. Introduction inspected; complete book and underlying archive not assessed.</w:t>
      </w:r>
    </w:p>
    <w:p>
      <w:pPr>
        <w:pStyle w:val="Heading1"/>
        <w:spacing w:before="160" w:after="60"/>
      </w:pPr>
      <w:r>
        <w:rPr>
          <w:sz w:val="21"/>
        </w:rPr>
        <w:t>S30</w:t>
      </w:r>
    </w:p>
    <w:p>
      <w:pPr>
        <w:keepNext/>
        <w:spacing w:after="60" w:line="240" w:lineRule="auto"/>
      </w:pPr>
      <w:r>
        <w:rPr>
          <w:sz w:val="20"/>
        </w:rPr>
        <w:t xml:space="preserve">Fraser, Nancy (1995). </w:t>
      </w:r>
      <w:r>
        <w:rPr>
          <w:b/>
          <w:sz w:val="20"/>
        </w:rPr>
        <w:t>From Redistribution to Recognition? Dilemmas of Justice in a 'Post-Socialist' Age</w:t>
      </w:r>
      <w:r>
        <w:rPr>
          <w:sz w:val="20"/>
        </w:rPr>
        <w:t>. New Left Review I/212, 68–93.</w:t>
      </w:r>
    </w:p>
    <w:p>
      <w:pPr>
        <w:keepNext/>
        <w:spacing w:after="60" w:line="240" w:lineRule="auto"/>
      </w:pPr>
      <w:hyperlink r:id="rId53">
        <w:r>
          <w:rPr>
            <w:color w:val="000000"/>
            <w:u w:val="single"/>
          </w:rPr>
          <w:t>Source link</w:t>
        </w:r>
      </w:hyperlink>
    </w:p>
    <w:p>
      <w:pPr>
        <w:keepNext w:val="0"/>
        <w:spacing w:after="60" w:line="240" w:lineRule="auto"/>
      </w:pPr>
      <w:r>
        <w:rPr>
          <w:sz w:val="20"/>
        </w:rPr>
        <w:t>Access: opening-excerpt. Locator: Public opening before subscription wall. URL returned HTML excerpt; full article not accessed.</w:t>
      </w:r>
    </w:p>
    <w:p>
      <w:pPr>
        <w:pStyle w:val="Heading1"/>
        <w:spacing w:before="160" w:after="60"/>
      </w:pPr>
      <w:r>
        <w:rPr>
          <w:sz w:val="21"/>
        </w:rPr>
        <w:t>S31</w:t>
      </w:r>
    </w:p>
    <w:p>
      <w:pPr>
        <w:keepNext/>
        <w:spacing w:after="60" w:line="240" w:lineRule="auto"/>
      </w:pPr>
      <w:r>
        <w:rPr>
          <w:sz w:val="20"/>
        </w:rPr>
        <w:t xml:space="preserve">SNCC Digital Gateway (n.d.). </w:t>
      </w:r>
      <w:r>
        <w:rPr>
          <w:b/>
          <w:sz w:val="20"/>
        </w:rPr>
        <w:t>Ella Baker</w:t>
      </w:r>
      <w:r>
        <w:rPr>
          <w:sz w:val="20"/>
        </w:rPr>
        <w:t>. Institutional historical profile.</w:t>
      </w:r>
    </w:p>
    <w:p>
      <w:pPr>
        <w:keepNext/>
        <w:spacing w:after="60" w:line="240" w:lineRule="auto"/>
      </w:pPr>
      <w:hyperlink r:id="rId54">
        <w:r>
          <w:rPr>
            <w:color w:val="000000"/>
            <w:u w:val="single"/>
          </w:rPr>
          <w:t>Source link</w:t>
        </w:r>
      </w:hyperlink>
    </w:p>
    <w:p>
      <w:pPr>
        <w:keepNext w:val="0"/>
        <w:spacing w:after="60" w:line="240" w:lineRule="auto"/>
      </w:pPr>
      <w:r>
        <w:rPr>
          <w:sz w:val="20"/>
        </w:rPr>
        <w:t>Access: full-profile. Locator: Organizing approach and grassroots leadership discussion. Secondary profile; linked oral histories were not examined.</w:t>
      </w:r>
    </w:p>
    <w:p>
      <w:pPr>
        <w:pStyle w:val="Heading1"/>
        <w:spacing w:before="160" w:after="60"/>
      </w:pPr>
      <w:r>
        <w:rPr>
          <w:sz w:val="21"/>
        </w:rPr>
        <w:t>S32</w:t>
      </w:r>
    </w:p>
    <w:p>
      <w:pPr>
        <w:keepNext/>
        <w:spacing w:after="60" w:line="240" w:lineRule="auto"/>
      </w:pPr>
      <w:r>
        <w:rPr>
          <w:sz w:val="20"/>
        </w:rPr>
        <w:t xml:space="preserve">King, Martin Luther, Jr. (1967). </w:t>
      </w:r>
      <w:r>
        <w:rPr>
          <w:b/>
          <w:sz w:val="20"/>
        </w:rPr>
        <w:t>Beyond Vietnam: A Time to Break Silence</w:t>
      </w:r>
      <w:r>
        <w:rPr>
          <w:sz w:val="20"/>
        </w:rPr>
        <w:t>. 4 April; Riverside Church; Civil Rights Movement Archive transcript.</w:t>
      </w:r>
    </w:p>
    <w:p>
      <w:pPr>
        <w:keepNext/>
        <w:spacing w:after="60" w:line="240" w:lineRule="auto"/>
      </w:pPr>
      <w:hyperlink r:id="rId55">
        <w:r>
          <w:rPr>
            <w:color w:val="000000"/>
            <w:u w:val="single"/>
          </w:rPr>
          <w:t>Source link</w:t>
        </w:r>
      </w:hyperlink>
    </w:p>
    <w:p>
      <w:pPr>
        <w:keepNext w:val="0"/>
        <w:spacing w:after="60" w:line="240" w:lineRule="auto"/>
      </w:pPr>
      <w:r>
        <w:rPr>
          <w:sz w:val="20"/>
        </w:rPr>
        <w:t>Access: full-transcript. Locator: Opening reasons; concluding discussion of values and global obligations. A speech establishes stated commitments, not the effects of that strategy.</w:t>
      </w:r>
    </w:p>
    <w:p>
      <w:pPr>
        <w:pStyle w:val="Heading1"/>
        <w:spacing w:before="160" w:after="60"/>
      </w:pPr>
      <w:r>
        <w:rPr>
          <w:sz w:val="21"/>
        </w:rPr>
        <w:t>S33</w:t>
      </w:r>
    </w:p>
    <w:p>
      <w:pPr>
        <w:keepNext/>
        <w:spacing w:after="60" w:line="240" w:lineRule="auto"/>
      </w:pPr>
      <w:r>
        <w:rPr>
          <w:sz w:val="20"/>
        </w:rPr>
        <w:t xml:space="preserve">Malcolm X (1964). </w:t>
      </w:r>
      <w:r>
        <w:rPr>
          <w:b/>
          <w:sz w:val="20"/>
        </w:rPr>
        <w:t>The Ballot or the Bullet</w:t>
      </w:r>
      <w:r>
        <w:rPr>
          <w:sz w:val="20"/>
        </w:rPr>
        <w:t>. April; transcript hosted by Ruhr University Bochum.</w:t>
      </w:r>
    </w:p>
    <w:p>
      <w:pPr>
        <w:keepNext/>
        <w:spacing w:after="60" w:line="240" w:lineRule="auto"/>
      </w:pPr>
      <w:hyperlink r:id="rId56">
        <w:r>
          <w:rPr>
            <w:color w:val="000000"/>
            <w:u w:val="single"/>
          </w:rPr>
          <w:t>Source link</w:t>
        </w:r>
      </w:hyperlink>
    </w:p>
    <w:p>
      <w:pPr>
        <w:keepNext w:val="0"/>
        <w:spacing w:after="60" w:line="240" w:lineRule="auto"/>
      </w:pPr>
      <w:r>
        <w:rPr>
          <w:sz w:val="20"/>
        </w:rPr>
        <w:t>Access: full-transcript. Locator: Community economy, voting, and human-rights passages. Multiple speech versions exist; no claim this captures every 1964 or later position.</w:t>
      </w:r>
    </w:p>
    <w:p>
      <w:pPr>
        <w:pStyle w:val="Heading1"/>
        <w:spacing w:before="160" w:after="60"/>
      </w:pPr>
      <w:r>
        <w:rPr>
          <w:sz w:val="21"/>
        </w:rPr>
        <w:t>S34</w:t>
      </w:r>
    </w:p>
    <w:p>
      <w:pPr>
        <w:keepNext/>
        <w:spacing w:after="60" w:line="240" w:lineRule="auto"/>
      </w:pPr>
      <w:r>
        <w:rPr>
          <w:sz w:val="20"/>
        </w:rPr>
        <w:t xml:space="preserve">Carens, Joseph H. (1987). </w:t>
      </w:r>
      <w:r>
        <w:rPr>
          <w:b/>
          <w:sz w:val="20"/>
        </w:rPr>
        <w:t>Aliens and Citizens: The Case for Open Borders</w:t>
      </w:r>
      <w:r>
        <w:rPr>
          <w:sz w:val="20"/>
        </w:rPr>
        <w:t>. The Review of Politics 49(2), 251–273.</w:t>
      </w:r>
    </w:p>
    <w:p>
      <w:pPr>
        <w:keepNext/>
        <w:spacing w:after="60" w:line="240" w:lineRule="auto"/>
      </w:pPr>
      <w:hyperlink r:id="rId57">
        <w:r>
          <w:rPr>
            <w:color w:val="000000"/>
            <w:u w:val="single"/>
          </w:rPr>
          <w:t>Source link</w:t>
        </w:r>
      </w:hyperlink>
      <w:r>
        <w:rPr>
          <w:sz w:val="20"/>
        </w:rPr>
        <w:t xml:space="preserve"> </w:t>
      </w:r>
      <w:hyperlink r:id="rId58">
        <w:r>
          <w:rPr>
            <w:color w:val="000000"/>
            <w:u w:val="single"/>
          </w:rPr>
          <w:t>DOI</w:t>
        </w:r>
      </w:hyperlink>
    </w:p>
    <w:p>
      <w:pPr>
        <w:keepNext w:val="0"/>
        <w:spacing w:after="60" w:line="240" w:lineRule="auto"/>
      </w:pPr>
      <w:r>
        <w:rPr>
          <w:sz w:val="20"/>
        </w:rPr>
        <w:t>Access: publisher-abstract. Locator: Abstract and bibliographic record. University PDF retrieval failed; no labor-market effect estimate follows from this normative abstract.</w:t>
      </w:r>
    </w:p>
    <w:p>
      <w:pPr>
        <w:pStyle w:val="Heading1"/>
        <w:spacing w:before="160" w:after="60"/>
      </w:pPr>
      <w:r>
        <w:rPr>
          <w:sz w:val="21"/>
        </w:rPr>
        <w:t>S35</w:t>
      </w:r>
    </w:p>
    <w:p>
      <w:pPr>
        <w:keepNext/>
        <w:spacing w:after="60" w:line="240" w:lineRule="auto"/>
      </w:pPr>
      <w:r>
        <w:rPr>
          <w:sz w:val="20"/>
        </w:rPr>
        <w:t xml:space="preserve">Du Bois, W. E. B. (1919). </w:t>
      </w:r>
      <w:r>
        <w:rPr>
          <w:b/>
          <w:sz w:val="20"/>
        </w:rPr>
        <w:t>The Pan-African Congress</w:t>
      </w:r>
      <w:r>
        <w:rPr>
          <w:sz w:val="20"/>
        </w:rPr>
        <w:t>. Cayton’s Weekly, 19 April; reproduced by World History Commons.</w:t>
      </w:r>
    </w:p>
    <w:p>
      <w:pPr>
        <w:keepNext/>
        <w:spacing w:after="60" w:line="240" w:lineRule="auto"/>
      </w:pPr>
      <w:hyperlink r:id="rId59">
        <w:r>
          <w:rPr>
            <w:color w:val="000000"/>
            <w:u w:val="single"/>
          </w:rPr>
          <w:t>Source link</w:t>
        </w:r>
      </w:hyperlink>
    </w:p>
    <w:p>
      <w:pPr>
        <w:keepNext w:val="0"/>
        <w:spacing w:after="60" w:line="240" w:lineRule="auto"/>
      </w:pPr>
      <w:r>
        <w:rPr>
          <w:sz w:val="20"/>
        </w:rPr>
        <w:t>Access: retrieved-transcription. Locator: Transcription of congress report. Not collated against newspaper image; hosting page has a Clayton/Cayton spelling inconsistency.</w:t>
      </w:r>
    </w:p>
    <w:sectPr w:rsidR="00FC693F" w:rsidRPr="0006063C" w:rsidSect="00034616">
      <w:headerReference w:type="default" r:id="rId9"/>
      <w:footerReference w:type="default" r:id="rId10"/>
      <w:pgSz w:w="12240" w:h="15840"/>
      <w:pgMar w:top="979"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Initial research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SOLIDARITY AT SCALE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Times New Roman" w:hAnsi="Times New Roman"/>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diva-portal.org/smash/get/diva2:1738998/FULLTEXT01.pdf" TargetMode="External"/><Relationship Id="rId12" Type="http://schemas.openxmlformats.org/officeDocument/2006/relationships/hyperlink" Target="https://doi.org/10.1098/rsbl.2021.0158" TargetMode="External"/><Relationship Id="rId13" Type="http://schemas.openxmlformats.org/officeDocument/2006/relationships/hyperlink" Target="https://arxiv.org/abs/1604.02400" TargetMode="External"/><Relationship Id="rId14" Type="http://schemas.openxmlformats.org/officeDocument/2006/relationships/hyperlink" Target="https://pubmed.ncbi.nlm.nih.gov/25222635/" TargetMode="External"/><Relationship Id="rId15" Type="http://schemas.openxmlformats.org/officeDocument/2006/relationships/hyperlink" Target="https://doi.org/10.1037/a0037737" TargetMode="External"/><Relationship Id="rId16" Type="http://schemas.openxmlformats.org/officeDocument/2006/relationships/hyperlink" Target="https://pubmed.ncbi.nlm.nih.gov/18818361/" TargetMode="External"/><Relationship Id="rId17" Type="http://schemas.openxmlformats.org/officeDocument/2006/relationships/hyperlink" Target="https://doi.org/10.1126/science.1155805" TargetMode="External"/><Relationship Id="rId18" Type="http://schemas.openxmlformats.org/officeDocument/2006/relationships/hyperlink" Target="https://pubmed.ncbi.nlm.nih.gov/12374322/" TargetMode="External"/><Relationship Id="rId19" Type="http://schemas.openxmlformats.org/officeDocument/2006/relationships/hyperlink" Target="https://doi.org/10.1037/0033-295X.109.4.619" TargetMode="External"/><Relationship Id="rId20" Type="http://schemas.openxmlformats.org/officeDocument/2006/relationships/hyperlink" Target="https://journals.sagepub.com/doi/10.1177/1368430208098778" TargetMode="External"/><Relationship Id="rId21" Type="http://schemas.openxmlformats.org/officeDocument/2006/relationships/hyperlink" Target="https://doi.org/10.1177/1368430208098778" TargetMode="External"/><Relationship Id="rId22" Type="http://schemas.openxmlformats.org/officeDocument/2006/relationships/hyperlink" Target="https://web.mit.edu/posner/www/papers/HHPW.pdf" TargetMode="External"/><Relationship Id="rId23" Type="http://schemas.openxmlformats.org/officeDocument/2006/relationships/hyperlink" Target="https://doi.org/10.1017/S0003055407070499" TargetMode="External"/><Relationship Id="rId24" Type="http://schemas.openxmlformats.org/officeDocument/2006/relationships/hyperlink" Target="https://poverty-action.org/sites/default/files/publications/Building-social-cohesion-between-Christians-and-Muslims-through-soccer-in-post-ISIS-Iraq.pdf" TargetMode="External"/><Relationship Id="rId25" Type="http://schemas.openxmlformats.org/officeDocument/2006/relationships/hyperlink" Target="https://doi.org/10.1126/science.abb3153" TargetMode="External"/><Relationship Id="rId26" Type="http://schemas.openxmlformats.org/officeDocument/2006/relationships/hyperlink" Target="https://topcat.aeaweb.org/articles?id=10.1257/aer.20191780" TargetMode="External"/><Relationship Id="rId27" Type="http://schemas.openxmlformats.org/officeDocument/2006/relationships/hyperlink" Target="https://doi.org/10.1257/aer.20191780" TargetMode="External"/><Relationship Id="rId28" Type="http://schemas.openxmlformats.org/officeDocument/2006/relationships/hyperlink" Target="https://www.cambridge.org/core/journals/behavioural-public-policy/article/contact-hypothesis-reevaluated/142C913E7FA9E121277B29E994124EC5" TargetMode="External"/><Relationship Id="rId29" Type="http://schemas.openxmlformats.org/officeDocument/2006/relationships/hyperlink" Target="https://doi.org/10.1017/bpp.2018.25" TargetMode="External"/><Relationship Id="rId30" Type="http://schemas.openxmlformats.org/officeDocument/2006/relationships/hyperlink" Target="https://emiguel.econ.berkeley.edu/assets/miguel_research/8/_Paper__Reshaping_Institutions_-_Evidence__on__Aid__Impacts__Using__a__Pre___Analysis__Plan.pdf" TargetMode="External"/><Relationship Id="rId31" Type="http://schemas.openxmlformats.org/officeDocument/2006/relationships/hyperlink" Target="https://doi.org/10.1093/qje/qje027" TargetMode="External"/><Relationship Id="rId32" Type="http://schemas.openxmlformats.org/officeDocument/2006/relationships/hyperlink" Target="https://emiguel.econ.berkeley.edu/wordpress/wp-content/uploads/2021/03/Paper__Collective__Action_in_Diverse_Sierra_Leone_Communities.pdf" TargetMode="External"/><Relationship Id="rId33" Type="http://schemas.openxmlformats.org/officeDocument/2006/relationships/hyperlink" Target="https://dlc.dlib.indiana.edu/dlc/bitstreams/0a7a52e6-8cf0-42c3-ae20-776095e6fd1d/download" TargetMode="External"/><Relationship Id="rId34" Type="http://schemas.openxmlformats.org/officeDocument/2006/relationships/hyperlink" Target="https://www.d.umn.edu/cla/faculty/jhamlin/4111/Durkheim%20-%20Division%20of%20Labor_files/Durkheim%20-%20Division%20of%20Labor.htm" TargetMode="External"/><Relationship Id="rId35" Type="http://schemas.openxmlformats.org/officeDocument/2006/relationships/hyperlink" Target="https://teachingamericanhistory.org/document/atlanta-exposition-address/" TargetMode="External"/><Relationship Id="rId36" Type="http://schemas.openxmlformats.org/officeDocument/2006/relationships/hyperlink" Target="https://www.gutenberg.org/files/408/408-h/408-h.htm" TargetMode="External"/><Relationship Id="rId37" Type="http://schemas.openxmlformats.org/officeDocument/2006/relationships/hyperlink" Target="https://www.icit-digital.org/articles/malcolm-x-s-speech-at-the-oaau-founding-rally-june-28-1964" TargetMode="External"/><Relationship Id="rId38" Type="http://schemas.openxmlformats.org/officeDocument/2006/relationships/hyperlink" Target="https://kinginstitute.stanford.edu/poor-peoples-campaign" TargetMode="External"/><Relationship Id="rId39" Type="http://schemas.openxmlformats.org/officeDocument/2006/relationships/hyperlink" Target="https://www.versobooks.com/blogs/news/2866-the-combahee-river-collective-statement" TargetMode="External"/><Relationship Id="rId40" Type="http://schemas.openxmlformats.org/officeDocument/2006/relationships/hyperlink" Target="https://avalon.law.yale.edu/20th_century/balfour.asp" TargetMode="External"/><Relationship Id="rId41" Type="http://schemas.openxmlformats.org/officeDocument/2006/relationships/hyperlink" Target="https://www.marxists.org/subject/africa/nkrumah/neo-colonialism/ch02.htm" TargetMode="External"/><Relationship Id="rId42" Type="http://schemas.openxmlformats.org/officeDocument/2006/relationships/hyperlink" Target="https://www.buffalo.edu/ubnow/stories/2024/02/jackson-toasts.html" TargetMode="External"/><Relationship Id="rId43" Type="http://schemas.openxmlformats.org/officeDocument/2006/relationships/hyperlink" Target="https://time.com/5711219/dolemite-is-my-name-rudy-ray-moore-legacy/" TargetMode="External"/><Relationship Id="rId44" Type="http://schemas.openxmlformats.org/officeDocument/2006/relationships/hyperlink" Target="https://nonsite.org/afropessimism-or-black-studies-as-a-class-project/" TargetMode="External"/><Relationship Id="rId45" Type="http://schemas.openxmlformats.org/officeDocument/2006/relationships/hyperlink" Target="https://next.haymarketbooks.org/books/1850-elite-capture" TargetMode="External"/><Relationship Id="rId46" Type="http://schemas.openxmlformats.org/officeDocument/2006/relationships/hyperlink" Target="https://preposterousuniverse.com/podcast/2020/02/10/83-kwame-anthony-appiah-on-identity-stories-and-cosmopolitanism/" TargetMode="External"/><Relationship Id="rId47" Type="http://schemas.openxmlformats.org/officeDocument/2006/relationships/hyperlink" Target="https://lwantche.scholar.princeton.edu/publications/slave-trade-and-origins-mistrust-africa" TargetMode="External"/><Relationship Id="rId48" Type="http://schemas.openxmlformats.org/officeDocument/2006/relationships/hyperlink" Target="https://doi.org/10.1257/aer.101.7.3221" TargetMode="External"/><Relationship Id="rId49" Type="http://schemas.openxmlformats.org/officeDocument/2006/relationships/hyperlink" Target="https://journals.sagepub.com/doi/10.1207/S15327957PSPR0602_01" TargetMode="External"/><Relationship Id="rId50" Type="http://schemas.openxmlformats.org/officeDocument/2006/relationships/hyperlink" Target="https://doi.org/10.1207/S15327957PSPR0602_01" TargetMode="External"/><Relationship Id="rId51" Type="http://schemas.openxmlformats.org/officeDocument/2006/relationships/hyperlink" Target="https://assets.press.princeton.edu/chapters/i13336.pdf" TargetMode="External"/><Relationship Id="rId52" Type="http://schemas.openxmlformats.org/officeDocument/2006/relationships/hyperlink" Target="https://doi.org/10.1515/9780691184340" TargetMode="External"/><Relationship Id="rId53" Type="http://schemas.openxmlformats.org/officeDocument/2006/relationships/hyperlink" Target="https://newleftreview.org/issues/i212/articles/nancy-fraser-from-redistribution-to-recognition-dilemmas-of-justice-in-a-post-socialist-age.pdf" TargetMode="External"/><Relationship Id="rId54" Type="http://schemas.openxmlformats.org/officeDocument/2006/relationships/hyperlink" Target="https://snccdigital.org/people/ella-baker/" TargetMode="External"/><Relationship Id="rId55" Type="http://schemas.openxmlformats.org/officeDocument/2006/relationships/hyperlink" Target="https://www.crmvet.org/docs/mlk-viet.htm" TargetMode="External"/><Relationship Id="rId56" Type="http://schemas.openxmlformats.org/officeDocument/2006/relationships/hyperlink" Target="https://www.ruhr-uni-bochum.de/gna/Quellensammlung/10/10_malcolmxballotorthebullet_1964.html" TargetMode="External"/><Relationship Id="rId57" Type="http://schemas.openxmlformats.org/officeDocument/2006/relationships/hyperlink" Target="https://www.cambridge.org/core/journals/review-of-politics/article/abs/aliens-and-citizens-the-case-for-open-borders/5B0946DEB5203B576657C506C58F0FD6" TargetMode="External"/><Relationship Id="rId58" Type="http://schemas.openxmlformats.org/officeDocument/2006/relationships/hyperlink" Target="https://doi.org/10.1017/S0034670500033817" TargetMode="External"/><Relationship Id="rId59" Type="http://schemas.openxmlformats.org/officeDocument/2006/relationships/hyperlink" Target="https://worldhistorycommons.org/web-dubois-details-1919-pan-african-congress-newspaper-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Solidarity at scale: Research manuscript</dc:title>
  <dc:subject>Identity, collective action, political institutions, and scoped Lean models</dc:subject>
  <dc:creator>Codex research assistance for Nolan Downard</dc:creator>
  <cp:keywords/>
  <dc:description>generated by python-docx</dc:description>
  <cp:lastModifiedBy/>
  <cp:revision>1</cp:revision>
  <dcterms:created xsi:type="dcterms:W3CDTF">2013-12-23T23:15:00Z</dcterms:created>
  <dcterms:modified xsi:type="dcterms:W3CDTF">2013-12-23T23:15:00Z</dcterms:modified>
  <cp:category/>
</cp:coreProperties>
</file>