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Solidarity at scale</w:t>
      </w:r>
    </w:p>
    <w:p>
      <w:pPr>
        <w:pStyle w:val="Subtitle"/>
      </w:pPr>
      <w:r>
        <w:t>Evidence and political decision report</w:t>
      </w:r>
    </w:p>
    <w:p>
      <w:r>
        <w:t>Prepared for Nolan Downard. Initial research version, 27 September 2026, America/Los_Angeles. Companion to the manuscript, source register, and Lean models. This is a targeted evidence map, not a completed systematic review.</w:t>
      </w:r>
    </w:p>
    <w:p>
      <w:pPr>
        <w:pStyle w:val="Heading1"/>
      </w:pPr>
      <w:r>
        <w:t>0 Executive decision brief</w:t>
      </w:r>
    </w:p>
    <w:p>
      <w:r>
        <w:rPr>
          <w:b/>
        </w:rPr>
        <w:t>Main answer.</w:t>
      </w:r>
      <w:r>
        <w:t xml:space="preserve"> Large-scale solidarity need not depend on making everyone alike. People can cooperate through recognizable commitments, shared tasks, complementary interests, and trustworthy procedures. The evidence does not identify a universal size limit, a necessary degree of ethnic homogeneity, or one best political ideology.</w:t>
      </w:r>
    </w:p>
    <w:p>
      <w:r>
        <w:rPr>
          <w:b/>
        </w:rPr>
        <w:t>Political recommendation.</w:t>
      </w:r>
      <w:r>
        <w:t xml:space="preserve"> Given equal rights, non-domination, and broadly shared material gains as goals, use a pluralist coalition with protected group voice and specific common projects. Build accountable representation and assess actual distribution of benefits. Treat this as a provisional design recommendation. Evidence for its constituent mechanisms is stronger than evidence that the combined package outperforms every alternative.</w:t>
      </w:r>
    </w:p>
    <w:p>
      <w:r>
        <w:rPr>
          <w:b/>
        </w:rPr>
        <w:t>Scope and confidence.</w:t>
      </w:r>
      <w:r>
        <w:t xml:space="preserve"> Psychological and field evidence informs mechanisms; historical texts clarify programs; mathematical models check implications. Moderate confidence supports context-dependent identity and cooperation mechanisms. Low confidence supports extrapolation to national institutional design. Freedom-of-movement policy and competing statehood arrangements require additional evidence. The bands are adapted judgments, not formal GRADE ratings.</w:t>
      </w:r>
    </w:p>
    <w:p>
      <w:r>
        <w:rPr>
          <w:b/>
        </w:rPr>
        <w:t>Five findings with direct consequences.</w:t>
      </w:r>
    </w:p>
    <w:p>
      <w:r>
        <w:t>1. In-group cooperation advantage is real on average in a published synthesis: d = 0.32, not a 32 percent increase [S03]. Measure its conditions rather than treating ancestry as destiny.</w:t>
      </w:r>
    </w:p>
    <w:p>
      <w:r>
        <w:t>2. Collaboration and competition across groups can have different effects [S09]. Design the encounter, not just the population mix.</w:t>
      </w:r>
    </w:p>
    <w:p>
      <w:r>
        <w:t>3. In one Iraqi soccer experiment, an on-field sportsmanship outcome rose 26 percentage points, while broader off-field transfer was limited [S08]. Test transfer rather than presuming it.</w:t>
      </w:r>
    </w:p>
    <w:p>
      <w:r>
        <w:t>4. Local ethnic diversity was not associated with poorer public goods in a Sierra Leone study [S12]. Context-free homogeneity claims are too strong.</w:t>
      </w:r>
    </w:p>
    <w:p>
      <w:r>
        <w:t>5. A development program improved some outputs without demonstrating durable institutional transformation [S11]. Delivering a project and changing power are separate outcomes.</w:t>
      </w:r>
    </w:p>
    <w:p>
      <w:r>
        <w:rPr>
          <w:b/>
        </w:rPr>
        <w:t>Next actions.</w:t>
      </w:r>
      <w:r>
        <w:t xml:space="preserve"> Complete full-text appraisal of decisive abstract-only sources; run a preregistered experiment separating cultural signals from incentives; expand the historical comparison with explicit outcome and case-selection rules. No participant recruitment has begun.</w:t>
      </w:r>
    </w:p>
    <w:p>
      <w:pPr>
        <w:pStyle w:val="Heading1"/>
        <w:pageBreakBefore/>
      </w:pPr>
      <w:r>
        <w:t>1 Abstract</w:t>
      </w:r>
    </w:p>
    <w:p>
      <w:r>
        <w:t>This report translates a question about small-group similarity into a research program on cooperation across scale. It distinguishes familiarity, culture, identity, interests, and institutions; evaluates political strategies against multiple outcomes; corrects historical conflations; and defines what Lean can verify. The recommendation combines particular group voice with broader collaboration, subject to accountability and equal-rights criteria. It is an inference from heterogeneous evidence, not the result of a direct experiment comparing political systems.</w:t>
      </w:r>
    </w:p>
    <w:p>
      <w:pPr>
        <w:pStyle w:val="Heading1"/>
      </w:pPr>
      <w:r>
        <w:t>2 Introduction</w:t>
      </w:r>
    </w:p>
    <w:p>
      <w:r>
        <w:t>Your original question contains an especially useful distinction: someone may feel familiar because they evoke a person you know, or because they understand a reference you recognize. These cues can overlap, but neither logically requires the other. A person may share your cultural vocabulary while pursuing incompatible goals; another may know little of your background but honor a clear commitment.</w:t>
      </w:r>
    </w:p>
    <w:p>
      <w:r>
        <w:t>The project therefore asks what must be shared to accomplish a particular form of collective action. It replaces one broad homogeneity variable with measurable dimensions. It also separates a group's ability to act from whether the action is fair to members or outsiders.</w:t>
      </w:r>
    </w:p>
    <w:p>
      <w:pPr>
        <w:pStyle w:val="Heading1"/>
      </w:pPr>
      <w:r>
        <w:t>3 Methods</w:t>
      </w:r>
    </w:p>
    <w:p>
      <w:r>
        <w:t>The review uses targeted searching, source retrieval, and comparative reasoning. It incorporates original studies, a published meta-analysis, a policy-oriented review, primary historical texts, scholarly interpretations, and explicitly marked discovery leads. English-language online accessibility influenced selection. Retrieval occurred on 27 September Pacific time and 28 September UTC. The search log records the new execution pass; earlier conversational searches are identified as inherited leads rather than reconstructed screening counts.</w:t>
      </w:r>
    </w:p>
    <w:p>
      <w:r>
        <w:t>Every evidence row states source type, access depth, claim locator, and limitation. A finding based on an abstract remains abstract-based even if bibliographic metadata are complete. No clinical trial appraisal tool is applied to political philosophy, and no historical speech is counted as a causal outcome evaluation. The protocol describes how a later review could improve coverage and reproducibility.</w:t>
      </w:r>
    </w:p>
    <w:p>
      <w:pPr>
        <w:pStyle w:val="Heading1"/>
      </w:pPr>
      <w:r>
        <w:t>4 Findings</w:t>
      </w:r>
    </w:p>
    <w:p>
      <w:pPr>
        <w:pStyle w:val="Heading2"/>
      </w:pPr>
      <w:r>
        <w:t>Similarity is not one thing</w:t>
      </w:r>
    </w:p>
    <w:tbl>
      <w:tblPr>
        <w:tblW w:type="auto" w:w="0"/>
        <w:tblLayout w:type="fixed"/>
        <w:tblLook w:firstColumn="1" w:firstRow="1" w:lastColumn="0" w:lastRow="0" w:noHBand="0" w:noVBand="1" w:val="04A0"/>
      </w:tblPr>
      <w:tblGrid>
        <w:gridCol w:w="2448"/>
        <w:gridCol w:w="3744"/>
        <w:gridCol w:w="3744"/>
      </w:tblGrid>
      <w:tr>
        <w:trPr>
          <w:tblHeade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Dimension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Example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What to measure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Demographic composition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Distribution of self-identified backgrounds</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Composition and segregation, with appropriate consent</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Perceived similarity</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stranger seems like me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Rating independent of actual background</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Relational familiarity</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Someone evokes a known person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Resemblance, relationship valence, and accessibility</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Symbolic competence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Understanding a story or practice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Comprehension, interpretation, and endorsement separately</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Shared expectations</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Anticipating reciprocity</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Incentivized predictions and observed behavior</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Institutional reliability</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Expecting agreements to be upheld</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Actual reliability, contestability, and enforcement cost</w:t>
            </w:r>
          </w:p>
        </w:tc>
      </w:tr>
    </w:tbl>
    <w:p>
      <w:pPr>
        <w:spacing w:after="20"/>
      </w:pPr>
    </w:p>
    <w:p>
      <w:r>
        <w:t>Andersen and Chen provide a relevant account of how significant-other representations enter encounters [S05]. Efferson and colleagues offer a distinct account of markers becoming useful for coordination [S04]. These are competing or interacting candidates. Their relative contributions to political coalition formation remain unmeasured here.</w:t>
      </w:r>
    </w:p>
    <w:p>
      <w:pPr>
        <w:pStyle w:val="Heading2"/>
      </w:pPr>
      <w:r>
        <w:t>Size and scale</w:t>
      </w:r>
    </w:p>
    <w:p>
      <w:r>
        <w:t>The Dunbar literature concerns patterns and constraints on relationships, not a rule limiting the size of every organization. Competing analyses qualify the precision of 150 [S01; S02]. A person can have few direct contacts while participating in a much larger network. That does not mean communication is effortless: path length, misinformation, bottlenecks, and accountability may worsen as reach expands.</w:t>
      </w:r>
    </w:p>
    <w:p>
      <w:r>
        <w:t>Nested identities describe containment. Cross-cutting identities describe overlap. A city can be administratively nested in a state while its residents share professional or religious identities with people elsewhere. Neither arrangement proves that local and national politics operate by the same causal law.</w:t>
      </w:r>
    </w:p>
    <w:p>
      <w:pPr>
        <w:pStyle w:val="Heading2"/>
      </w:pPr>
      <w:r>
        <w:t>Institutions and inequality</w:t>
      </w:r>
    </w:p>
    <w:p>
      <w:r>
        <w:t>The Kampala experiments distinguish explanations based on tastes from explanations based on expectations and enforcement [S07]. Ostrom's analysis provides a framework for distributing governance across levels [S13]. Both motivate asking how cooperation is organized. Neither licenses the conclusion that more policing or more organizational layers always improves welfare.</w:t>
      </w:r>
    </w:p>
    <w:p>
      <w:r>
        <w:t>Institutions also determine who can make demands. The relevant question is not simply whether a rule is enforced, but whether affected people can contest it and whether enforcement protects them equally. Efficiency and domination can coexist. A research project that measures only contribution rates could mistakenly recommend an abusive institution.</w:t>
      </w:r>
    </w:p>
    <w:p>
      <w:pPr>
        <w:pStyle w:val="Heading2"/>
      </w:pPr>
      <w:r>
        <w:t>Historical corrections</w:t>
      </w:r>
    </w:p>
    <w:p>
      <w:r>
        <w:t>Washington cannot be summarized as a straightforward advocate of labor unions, and Du Bois cannot be reduced to an educational route toward separatist statehood [S15; S16]. The OAAU, a civic coalition, a transnational federation, and a sovereign state are different objects. The historical comparison file distinguishes their constituencies, authority, territorial claims, and outcome evidence.</w:t>
      </w:r>
    </w:p>
    <w:p>
      <w:r>
        <w:t>King's economic coalition project and the Combahee statement provide examples of common aims coexisting with attention to distinct group positions [S18; S19]. The important research question becomes how coalition partners retain voice and resolve conflicts over priorities.</w:t>
      </w:r>
    </w:p>
    <w:p>
      <w:pPr>
        <w:pStyle w:val="Heading2"/>
      </w:pPr>
      <w:r>
        <w:t>Culture and political grouping</w:t>
      </w:r>
    </w:p>
    <w:p>
      <w:r>
        <w:t>Toasts are the oral-narrative tradition relevant to the Dolemite example [S22]. Moore's influence on named artists is documented through interviews [S23]. That supports a transmission case, not a theory that everyone adopting a cultural reference becomes politically homogeneous. A shared aesthetic may cross social boundaries without eliminating them.</w:t>
      </w:r>
    </w:p>
    <w:p>
      <w:pPr>
        <w:pStyle w:val="Heading2"/>
      </w:pPr>
      <w:r>
        <w:t>Mobility and historical development</w:t>
      </w:r>
    </w:p>
    <w:p>
      <w:r>
        <w:t>Carens’s philosophical case for open borders is a reading entry point [S34]. This project has not estimated the effects of migration arrangements. Compare residence, work, citizenship, labor protection, and representation separately; freedom to move alone does not logically eliminate group-specific harms. Dated texts also matter: Du Bois’s 1919 congress report, Malcolm’s April 1964 speech, and King’s 1967 antiwar address broaden the comparison beyond fixed labels [S35; S33; S32].</w:t>
      </w:r>
    </w:p>
    <w:p>
      <w:pPr>
        <w:pStyle w:val="Heading1"/>
      </w:pPr>
      <w:r>
        <w:t>5 Conditional political verdict</w:t>
      </w:r>
    </w:p>
    <w:p>
      <w:r>
        <w:rPr>
          <w:b/>
        </w:rPr>
        <w:t>Most supported explanation:</w:t>
      </w:r>
      <w:r>
        <w:t xml:space="preserve"> cooperation depends on relationships among identity, expectations, material incentives, and institutions. A universal homogeneity explanation is less defensible than this conditional account.</w:t>
      </w:r>
    </w:p>
    <w:p>
      <w:r>
        <w:rPr>
          <w:b/>
        </w:rPr>
        <w:t>Most defensible strategy for the stated goals:</w:t>
      </w:r>
      <w:r>
        <w:t xml:space="preserve"> preserve group-specific voice while constructing practical collaboration across groups. Add transparent resource decisions, contestable authority, and protections for people who disagree. This is a recommendation derived from evidence and ethical premises, not an identified total treatment effect.</w:t>
      </w:r>
    </w:p>
    <w:tbl>
      <w:tblPr>
        <w:tblW w:type="auto" w:w="0"/>
        <w:tblLayout w:type="fixed"/>
        <w:tblLook w:firstColumn="1" w:firstRow="1" w:lastColumn="0" w:lastRow="0" w:noHBand="0" w:noVBand="1" w:val="04A0"/>
      </w:tblPr>
      <w:tblGrid>
        <w:gridCol w:w="2232"/>
        <w:gridCol w:w="2376"/>
        <w:gridCol w:w="2376"/>
        <w:gridCol w:w="2952"/>
      </w:tblGrid>
      <w:tr>
        <w:trPr>
          <w:tblHeade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Strategy</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Best-fitting task</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Main vulnerability</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Current verdict</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Group-specific mutual aid</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Immediate support, voice, safety</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Gatekeeping and limited reach</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Useful component; not a whole political order</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Material-interest coalition</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Broad bargaining over resources</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Specific harms obscured by majority priorities</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Promising if distribution and representation are explicit</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Common civic identity</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Shared rules and equal standing</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Dominant culture presented as neutral</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Useful when belonging is inclusive in practice</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Pluralist or dual-identity coalition</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Cooperation with retained affiliations</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More negotiation and potential veto conflict</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Preferred working design under this report's goals</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Federated or polycentric institutions</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Problems spanning different local scales</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Fragmentation, unequal capacity, capture</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Match authority to task; assess empirically</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Territorial self-determination</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Protection or control under specific conditions</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New minorities, contested territory, displacement</w:t>
            </w:r>
          </w:p>
        </w:tc>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Separate case analysis required; no general ranking</w:t>
            </w:r>
          </w:p>
        </w:tc>
      </w:tr>
    </w:tbl>
    <w:p>
      <w:pPr>
        <w:spacing w:after="20"/>
      </w:pPr>
    </w:p>
    <w:p>
      <w:r>
        <w:t>The recommended sequence is to secure participation, choose a concrete common task, negotiate representation and benefit-sharing, create repeated collaboration, and monitor both success and exclusion. Expand only when the arrangement demonstrates acceptable outcomes. This proposed sequence is a researchable program, not a validated recipe.</w:t>
      </w:r>
    </w:p>
    <w:p>
      <w:r>
        <w:t>The normative reasons are explicit: equal standing protects a person from being discounted merely because of group membership; non-domination requires contestable power; inclusion asks whether gains reach those expected to contribute. These commitments are open to philosophical challenge. The empirical literature cannot select moral premises by itself.</w:t>
      </w:r>
    </w:p>
    <w:p>
      <w:r>
        <w:t>Changing priorities changes recommendations. If urgent protection dominates, autonomous organizing may take priority. If maximizing short-run output dominates, a centralized arrangement may be attractive even when this report would reject its rights costs. If local autonomy dominates, federation gains weight but coordination and unequal capacity need attention. No numerical composite ranking is supplied because the required outcome estimates and legitimate weights are absent.</w:t>
      </w:r>
    </w:p>
    <w:p>
      <w:pPr>
        <w:pStyle w:val="Heading1"/>
      </w:pPr>
      <w:r>
        <w:t>6 Deconstructive analysis</w:t>
      </w:r>
    </w:p>
    <w:p>
      <w:r>
        <w:t>The starting argument can be separated into four claims: personal networks are bounded; similarity supports cooperation; symbolic identity expands the in-group; and enlarged in-groups produce effective political coalitions. Even if the first three are sometimes true, the fourth does not follow automatically.</w:t>
      </w:r>
    </w:p>
    <w:p>
      <w:r>
        <w:t>Each step needs a bridge. A bounded number of direct ties does not bound indirect reach. Similarity may predict opportunities to interact rather than preference for cooperation. Shared meaning may coordinate conflict as readily as mutual aid. Political effectiveness requires resources, institutions, and a feasible target. Treating all these bridges as homogeneity makes the explanation difficult to falsify.</w:t>
      </w:r>
    </w:p>
    <w:p>
      <w:r>
        <w:t>A second conflation concerns motive and result. An organization may fail despite reasonable strategy because repression increases. A successful organization may benefit from external support unavailable to competitors. An outcome alone does not reveal a leader's hidden motive or identify what another strategy would have achieved.</w:t>
      </w:r>
    </w:p>
    <w:p>
      <w:pPr>
        <w:pStyle w:val="Heading1"/>
      </w:pPr>
      <w:r>
        <w:t>7 Reconstructive analysis</w:t>
      </w:r>
    </w:p>
    <w:p>
      <w:r>
        <w:t>Begin with agents who differ in knowledge, resources, and preferences. Give them opportunities to interact, noisy signals of reliability, and rules for allocating gains. Cooperation may emerge when benefits and expectations make it worthwhile, when norms support it, or when institutions reduce vulnerability. Culture can influence each element without being a fixed essence.</w:t>
      </w:r>
    </w:p>
    <w:p>
      <w:r>
        <w:t>Add groups as overlapping memberships rather than boxes that completely determine persons. Allow representatives to diverge from constituents. Add a second governance layer only when it solves a coordination problem that lower layers cannot handle adequately. Measure costs introduced by that layer as well as benefits.</w:t>
      </w:r>
    </w:p>
    <w:p>
      <w:r>
        <w:t>This reconstruction yields falsifiable predictions: if symbolic comprehension matters independently, it should predict behavior after goals and enforcement are held constant; if institutional guarantees substitute for familiarity, their effects should be strongest among unfamiliar partners. Interaction effects should be specified before seeing outcomes.</w:t>
      </w:r>
    </w:p>
    <w:p>
      <w:pPr>
        <w:pStyle w:val="Heading1"/>
      </w:pPr>
      <w:r>
        <w:t>8 Middle-out synthesis</w:t>
      </w:r>
    </w:p>
    <w:p>
      <w:r>
        <w:t>Organizations are a useful intermediate level between individuals and states. A food cooperative, workplace association, or local coalition has observable membership rules, tasks, resource allocation, and disputes. These features permit study without pretending that a two-person game directly represents a nation.</w:t>
      </w:r>
    </w:p>
    <w:p>
      <w:r>
        <w:t>The empirical sequence should move from controlled mechanism tests to organizational comparisons, followed by carefully bounded policy inference. The mathematical sequence should move from explicit definitions to conditional results, counterexamples, and sensitivity to assumptions. The two sequences meet when a model parameter corresponds to an observed institutional mechanism; neither replaces the other.</w:t>
      </w:r>
    </w:p>
    <w:p>
      <w:pPr>
        <w:pStyle w:val="Heading1"/>
      </w:pPr>
      <w:r>
        <w:t>9 Glossary</w:t>
      </w:r>
    </w:p>
    <w:tbl>
      <w:tblPr>
        <w:tblW w:type="auto" w:w="0"/>
        <w:tblLayout w:type="fixed"/>
        <w:tblLook w:firstColumn="1" w:firstRow="1" w:lastColumn="0" w:lastRow="0" w:noHBand="0" w:noVBand="1" w:val="04A0"/>
      </w:tblPr>
      <w:tblGrid>
        <w:gridCol w:w="3168"/>
        <w:gridCol w:w="6768"/>
      </w:tblGrid>
      <w:tr>
        <w:trPr>
          <w:tblHeade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Term</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Working meaning</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Homophily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Ties disproportionately connect similar people; opportunity and preference must be distinguished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Coordination</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Actions fit together toward a pattern or task</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Costly cooperation</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An action bears a personal cost for another person or common undertaking</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Solidarity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Interpreted mutual obligation supporting action beyond immediate exchange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Nested identity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membership contained in a broader membership</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Cross-cutting identity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An affiliation intersects rather than reproduces another boundary</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Polycentric governance</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Multiple centers of decision-making with relationships to one another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Non-domination</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Protection against arbitrary, insufficiently contestable power</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Elite capture</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Actors with disproportionate power redirect an institution or agenda toward their interests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Identification</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Conditions supporting a causal interpretation of an estimated relationship</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Transportability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Whether an inference applies in a different population or setting</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Counterexample</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A valid case showing that a universal implication does not hold</w:t>
            </w:r>
          </w:p>
        </w:tc>
      </w:tr>
    </w:tbl>
    <w:p>
      <w:pPr>
        <w:spacing w:after="20"/>
      </w:pPr>
    </w:p>
    <w:p>
      <w:pPr>
        <w:pStyle w:val="Heading1"/>
      </w:pPr>
      <w:r>
        <w:t>10 Bibliography</w:t>
      </w:r>
    </w:p>
    <w:p>
      <w:r>
        <w:t>The complete numbered source list is appended in rendered versions and is available as sources/references.md. Import sources/references.bib into Zotero. Access-depth notes are part of the bibliography; a catalog record is not represented as a read book.</w:t>
      </w:r>
    </w:p>
    <w:p>
      <w:pPr>
        <w:pStyle w:val="Heading1"/>
      </w:pPr>
      <w:r>
        <w:t>11 Process integrity assessment</w:t>
      </w:r>
    </w:p>
    <w:p>
      <w:r>
        <w:rPr>
          <w:b/>
        </w:rPr>
        <w:t>Project-specific score: 11 of 16.</w:t>
      </w:r>
      <w:r>
        <w:t xml:space="preserve"> This is a transparent internal checklist, not an AMSTAR-2 rating or a probability that the conclusions are correct. Each item scores 0 absent, 1 partial, or 2 substantially implemented at this phase.</w:t>
      </w:r>
    </w:p>
    <w:tbl>
      <w:tblPr>
        <w:tblW w:type="auto" w:w="0"/>
        <w:tblLayout w:type="fixed"/>
        <w:tblLook w:firstColumn="1" w:firstRow="1" w:lastColumn="0" w:lastRow="0" w:noHBand="0" w:noVBand="1" w:val="04A0"/>
      </w:tblPr>
      <w:tblGrid>
        <w:gridCol w:w="3312"/>
        <w:gridCol w:w="864"/>
        <w:gridCol w:w="5760"/>
      </w:tblGrid>
      <w:tr>
        <w:trPr>
          <w:tblHeade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Process domain</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Score</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Reason and repair</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Question and construct separation</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2</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Explicit types and operational definitions</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Search reproducibility</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1</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New-pass queries recorded; earlier leads not a full screening log</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Coverage and eligibility</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1</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Criteria stated; purposive English-dominant selection</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Primary-source access</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1</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Several full objects; decisive records also abstract-only</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Claim-level extraction</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2</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Source IDs, locators, and limitations supplied</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Bias appraisal</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1</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Design-specific concerns; no independent duplicate appraisal</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Counterevidence</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jc w:val="center"/>
            </w:pPr>
            <w:r>
              <w:rPr>
                <w:b w:val="0"/>
                <w:sz w:val="19"/>
              </w:rPr>
              <w:t>2</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Null outcomes, failed transfer, and diversity counterexample included</w:t>
            </w:r>
          </w:p>
        </w:tc>
      </w:tr>
      <w:tr>
        <w:trPr>
          <w:cantSplit/>
        </w:trPr>
        <w:tc>
          <w:tcPr>
            <w:tcW w:type="dxa" w:w="33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Protocol and reproducibility</w:t>
            </w:r>
          </w:p>
        </w:tc>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jc w:val="center"/>
            </w:pPr>
            <w:r>
              <w:rPr>
                <w:b w:val="0"/>
                <w:sz w:val="19"/>
              </w:rPr>
              <w:t>1</w:t>
            </w:r>
          </w:p>
        </w:tc>
        <w:tc>
          <w:tcPr>
            <w:tcW w:type="dxa" w:w="57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Files and formal checks; no prospective review registration</w:t>
            </w:r>
          </w:p>
        </w:tc>
      </w:tr>
    </w:tbl>
    <w:p>
      <w:pPr>
        <w:spacing w:after="20"/>
      </w:pPr>
    </w:p>
    <w:p>
      <w:r>
        <w:t>The largest repair is a second, prospectively specified retrieval and screening pass with full-text verification. A second reviewer should check the extracted claim and its locator without seeing the provisional recommendation. Historical material needs edition checks, correspondence where relevant, and attention to unsuccessful cases. Do not retroactively call this initial search preregistered.</w:t>
      </w:r>
    </w:p>
    <w:p>
      <w:r>
        <w:t>Selection was influenced by the starting interest in cosmopolitan coalition-building. Deliberately including disappointing institutional results and limited generalization reduces, but does not remove, confirmation bias. The present source map is too small to establish coverage of all rival political explanations.</w:t>
      </w:r>
    </w:p>
    <w:p>
      <w:pPr>
        <w:pStyle w:val="Heading1"/>
      </w:pPr>
      <w:r>
        <w:t>12 Inference and robustness assessment</w:t>
      </w:r>
    </w:p>
    <w:p>
      <w:r>
        <w:rPr>
          <w:b/>
        </w:rPr>
        <w:t>Robustness verdict:</w:t>
      </w:r>
      <w:r>
        <w:t xml:space="preserve"> strongest for rejecting simple logical necessities and for bounded experimental findings; moderate for a conditional mechanism account; low for the overall political recommendation; unresolved for a universal ranking of constitutional systems.</w:t>
      </w:r>
    </w:p>
    <w:p>
      <w:r>
        <w:t>No new meta-analysis was performed. Q, tau-squared, I-squared, pooled effects, funnel plots, and Egger tests are therefore not computed. The selected evidence combines standardized game effects, field behavior, institutional outcomes, and historical interpretation. Pooling them would conceal rather than resolve heterogeneity. Paluck and colleagues' analysis shows why even a narrower contact literature requires attention to coverage and small-study patterns [S10].</w:t>
      </w:r>
    </w:p>
    <w:p>
      <w:r>
        <w:t>Sensitivity reasoning gives three conclusions. Remove the historical cases and the bounded experimental claims remain, but the genealogy becomes unsupported. Remove abstract-only psychological records and several proposed mechanisms become more tentative, while the field-study counterexamples remain. Remove the equal-rights and non-domination premises and the political recommendation no longer follows, even though empirical estimates are unchanged.</w:t>
      </w:r>
    </w:p>
    <w:p>
      <w:r>
        <w:t>Formal proofs do not remove these vulnerabilities. A sanction threshold assumes reliable enforcement and omits its financing, legitimacy, and selective application. If enforcement is corrupt or asymmetric, the simplified model is not a reliable policy guide. Labels are payoff-irrelevant by construction; the existence proof cannot establish empirical irrelevance of identity.</w:t>
      </w:r>
    </w:p>
    <w:p>
      <w:r>
        <w:t>What would change the conclusion? Repeated, credible field comparisons demonstrating sustained benefits and fair distribution from a rival arrangement would alter the recommendation. Evidence that the preferred coalition design systematically suppresses marginalized members would also count against it. Confidence intervals, meaningful-effect thresholds, and explicit value trade-offs matter more than accumulating agreeable citations.</w:t>
      </w:r>
    </w:p>
    <w:p>
      <w:pPr>
        <w:pStyle w:val="Heading1"/>
      </w:pPr>
      <w:r>
        <w:t>13 Zotero and Obsidian integration</w:t>
      </w:r>
    </w:p>
    <w:p>
      <w:r>
        <w:t>Import references.bib into a collection named Solidarity at Scale. Preserve source-specific access notes. Suggested tags are mechanism/identity, mechanism/expectations, mechanism/institutions, method/experiment, method/history, and status/full-text or status/abstract-only. Relationships in evidence/source-relations.csv distinguish support, challenge, and historical comparison. Zotero's Related field is symmetric; store directional relationship labels in notes as well.</w:t>
      </w:r>
    </w:p>
    <w:p>
      <w:r>
        <w:t>The notes directory contains staged Markdown source and synthesis notes. Link the project overview to separate notes on familiarity, cultural symbols, nested identities, coalition design, and model assumptions. Attach the report to the project note and the manuscript to the research-writing note. No live vault or Zotero database has been modified or claimed to be synchronized.</w:t>
      </w:r>
    </w:p>
    <w:p>
      <w:pPr>
        <w:pStyle w:val="Heading1"/>
      </w:pPr>
      <w:r>
        <w:t>14 Appendix and boundaries</w:t>
      </w:r>
    </w:p>
    <w:p>
      <w:r>
        <w:t>The formal development is at repository root in Solidarity.lean. Its scope, witnesses, interpretation, and verification status are recorded under formal/. The proposed empirical study is under protocol/. The broader reading agenda is in historical-comparison.md. A YouTube source remains pending; no transcript content has been invented.</w:t>
      </w:r>
    </w:p>
    <w:p>
      <w:r>
        <w:t>This initial version does not estimate optimal immigration policy, prove that group-specific institutions become unnecessary under free movement, or establish the causes of every colonial conquest. It preserves those questions with the variables needed for a defensible later investigation. There is no new human dataset, no simulated effect presented as observation, and no claim of peer review.</w:t>
      </w:r>
    </w:p>
    <w:p>
      <w:r>
        <w:br w:type="page"/>
      </w:r>
    </w:p>
    <w:p>
      <w:pPr>
        <w:pStyle w:val="Heading1"/>
      </w:pPr>
      <w:r>
        <w:t>References and access notes</w:t>
      </w:r>
    </w:p>
    <w:p>
      <w:pPr>
        <w:keepNext/>
        <w:spacing w:after="60" w:line="240" w:lineRule="auto"/>
      </w:pPr>
      <w:r>
        <w:rPr>
          <w:sz w:val="20"/>
        </w:rPr>
        <w:t>Records S01–S35 retain stable IDs across the manuscript, report, evidence tables, and notes. Accessed 28 September 2026 UTC. “Full” describes the retrieved object, not a full-book reading or an independent replication. No subscription text is redistributed.</w:t>
      </w:r>
    </w:p>
    <w:p>
      <w:pPr>
        <w:pStyle w:val="Heading1"/>
        <w:spacing w:before="160" w:after="60"/>
      </w:pPr>
      <w:r>
        <w:rPr>
          <w:sz w:val="21"/>
        </w:rPr>
        <w:t>S01</w:t>
      </w:r>
    </w:p>
    <w:p>
      <w:pPr>
        <w:keepNext/>
        <w:spacing w:after="60" w:line="240" w:lineRule="auto"/>
      </w:pPr>
      <w:r>
        <w:rPr>
          <w:sz w:val="20"/>
        </w:rPr>
        <w:t xml:space="preserve">Lindenfors, Patrik and Wartel, Andreas and Lind, Johan (2021). </w:t>
      </w:r>
      <w:r>
        <w:rPr>
          <w:b/>
          <w:sz w:val="20"/>
        </w:rPr>
        <w:t>'Dunbar’s number' deconstructed</w:t>
      </w:r>
      <w:r>
        <w:rPr>
          <w:sz w:val="20"/>
        </w:rPr>
        <w:t>. Biology Letters 17(5), 20210158.</w:t>
      </w:r>
    </w:p>
    <w:p>
      <w:pPr>
        <w:keepNext/>
        <w:spacing w:after="60" w:line="240" w:lineRule="auto"/>
      </w:pPr>
      <w:hyperlink r:id="rId11">
        <w:r>
          <w:rPr>
            <w:color w:val="000000"/>
            <w:u w:val="single"/>
          </w:rPr>
          <w:t>Source link</w:t>
        </w:r>
      </w:hyperlink>
      <w:r>
        <w:rPr>
          <w:sz w:val="20"/>
        </w:rPr>
        <w:t xml:space="preserve"> </w:t>
      </w:r>
      <w:hyperlink r:id="rId12">
        <w:r>
          <w:rPr>
            <w:color w:val="000000"/>
            <w:u w:val="single"/>
          </w:rPr>
          <w:t>DOI</w:t>
        </w:r>
      </w:hyperlink>
    </w:p>
    <w:p>
      <w:pPr>
        <w:keepNext w:val="0"/>
        <w:spacing w:after="60" w:line="240" w:lineRule="auto"/>
      </w:pPr>
      <w:r>
        <w:rPr>
          <w:sz w:val="20"/>
        </w:rPr>
        <w:t>Access: full-text. Locator: Results and discussion. Does not establish unlimited personal relationships.</w:t>
      </w:r>
    </w:p>
    <w:p>
      <w:pPr>
        <w:pStyle w:val="Heading1"/>
        <w:spacing w:before="160" w:after="60"/>
      </w:pPr>
      <w:r>
        <w:rPr>
          <w:sz w:val="21"/>
        </w:rPr>
        <w:t>S02</w:t>
      </w:r>
    </w:p>
    <w:p>
      <w:pPr>
        <w:keepNext/>
        <w:spacing w:after="60" w:line="240" w:lineRule="auto"/>
      </w:pPr>
      <w:r>
        <w:rPr>
          <w:sz w:val="20"/>
        </w:rPr>
        <w:t xml:space="preserve">Mac Carron, Pádraig and Kaski, Kimmo and Dunbar, Robin (2016). </w:t>
      </w:r>
      <w:r>
        <w:rPr>
          <w:b/>
          <w:sz w:val="20"/>
        </w:rPr>
        <w:t>Calling Dunbar’s Numbers</w:t>
      </w:r>
      <w:r>
        <w:rPr>
          <w:sz w:val="20"/>
        </w:rPr>
        <w:t>. arXiv:1604.02400.</w:t>
      </w:r>
    </w:p>
    <w:p>
      <w:pPr>
        <w:keepNext/>
        <w:spacing w:after="60" w:line="240" w:lineRule="auto"/>
      </w:pPr>
      <w:hyperlink r:id="rId13">
        <w:r>
          <w:rPr>
            <w:color w:val="000000"/>
            <w:u w:val="single"/>
          </w:rPr>
          <w:t>Source link</w:t>
        </w:r>
      </w:hyperlink>
    </w:p>
    <w:p>
      <w:pPr>
        <w:keepNext w:val="0"/>
        <w:spacing w:after="60" w:line="240" w:lineRule="auto"/>
      </w:pPr>
      <w:r>
        <w:rPr>
          <w:sz w:val="20"/>
        </w:rPr>
        <w:t>Access: abstract. Locator: Abstract. Preprint abstract inspected; a communication proxy is not every kind of tie.</w:t>
      </w:r>
    </w:p>
    <w:p>
      <w:pPr>
        <w:pStyle w:val="Heading1"/>
        <w:spacing w:before="160" w:after="60"/>
      </w:pPr>
      <w:r>
        <w:rPr>
          <w:sz w:val="21"/>
        </w:rPr>
        <w:t>S03</w:t>
      </w:r>
    </w:p>
    <w:p>
      <w:pPr>
        <w:keepNext/>
        <w:spacing w:after="60" w:line="240" w:lineRule="auto"/>
      </w:pPr>
      <w:r>
        <w:rPr>
          <w:sz w:val="20"/>
        </w:rPr>
        <w:t xml:space="preserve">Balliet, Daniel and Wu, Junhui and De Dreu, Carsten K. W. (2014). </w:t>
      </w:r>
      <w:r>
        <w:rPr>
          <w:b/>
          <w:sz w:val="20"/>
        </w:rPr>
        <w:t>Ingroup favoritism in cooperation: a meta-analysis</w:t>
      </w:r>
      <w:r>
        <w:rPr>
          <w:sz w:val="20"/>
        </w:rPr>
        <w:t>. Psychological Bulletin 140(6), 1556–1581.</w:t>
      </w:r>
    </w:p>
    <w:p>
      <w:pPr>
        <w:keepNext/>
        <w:spacing w:after="60" w:line="240" w:lineRule="auto"/>
      </w:pPr>
      <w:hyperlink r:id="rId14">
        <w:r>
          <w:rPr>
            <w:color w:val="000000"/>
            <w:u w:val="single"/>
          </w:rPr>
          <w:t>Source link</w:t>
        </w:r>
      </w:hyperlink>
      <w:r>
        <w:rPr>
          <w:sz w:val="20"/>
        </w:rPr>
        <w:t xml:space="preserve"> </w:t>
      </w:r>
      <w:hyperlink r:id="rId15">
        <w:r>
          <w:rPr>
            <w:color w:val="000000"/>
            <w:u w:val="single"/>
          </w:rPr>
          <w:t>DOI</w:t>
        </w:r>
      </w:hyperlink>
    </w:p>
    <w:p>
      <w:pPr>
        <w:keepNext w:val="0"/>
        <w:spacing w:after="60" w:line="240" w:lineRule="auto"/>
      </w:pPr>
      <w:r>
        <w:rPr>
          <w:sz w:val="20"/>
        </w:rPr>
        <w:t>Access: abstract. Locator: Abstract; PMID 25222635. No full-text bias or effect extraction audit; no new meta-analysis.</w:t>
      </w:r>
    </w:p>
    <w:p>
      <w:pPr>
        <w:pStyle w:val="Heading1"/>
        <w:spacing w:before="160" w:after="60"/>
      </w:pPr>
      <w:r>
        <w:rPr>
          <w:sz w:val="21"/>
        </w:rPr>
        <w:t>S04</w:t>
      </w:r>
    </w:p>
    <w:p>
      <w:pPr>
        <w:keepNext/>
        <w:spacing w:after="60" w:line="240" w:lineRule="auto"/>
      </w:pPr>
      <w:r>
        <w:rPr>
          <w:sz w:val="20"/>
        </w:rPr>
        <w:t xml:space="preserve">Efferson, Charles and Lalive, Rafael and Fehr, Ernst (2008). </w:t>
      </w:r>
      <w:r>
        <w:rPr>
          <w:b/>
          <w:sz w:val="20"/>
        </w:rPr>
        <w:t>The coevolution of cultural groups and ingroup favoritism</w:t>
      </w:r>
      <w:r>
        <w:rPr>
          <w:sz w:val="20"/>
        </w:rPr>
        <w:t>. Science 321(5897), 1844–1849.</w:t>
      </w:r>
    </w:p>
    <w:p>
      <w:pPr>
        <w:keepNext/>
        <w:spacing w:after="60" w:line="240" w:lineRule="auto"/>
      </w:pPr>
      <w:hyperlink r:id="rId16">
        <w:r>
          <w:rPr>
            <w:color w:val="000000"/>
            <w:u w:val="single"/>
          </w:rPr>
          <w:t>Source link</w:t>
        </w:r>
      </w:hyperlink>
      <w:r>
        <w:rPr>
          <w:sz w:val="20"/>
        </w:rPr>
        <w:t xml:space="preserve"> </w:t>
      </w:r>
      <w:hyperlink r:id="rId17">
        <w:r>
          <w:rPr>
            <w:color w:val="000000"/>
            <w:u w:val="single"/>
          </w:rPr>
          <w:t>DOI</w:t>
        </w:r>
      </w:hyperlink>
    </w:p>
    <w:p>
      <w:pPr>
        <w:keepNext w:val="0"/>
        <w:spacing w:after="60" w:line="240" w:lineRule="auto"/>
      </w:pPr>
      <w:r>
        <w:rPr>
          <w:sz w:val="20"/>
        </w:rPr>
        <w:t>Access: abstract. Locator: Abstract; PMID 18818361. Arbitrary laboratory groups do not reproduce racialization or national politics.</w:t>
      </w:r>
    </w:p>
    <w:p>
      <w:pPr>
        <w:pStyle w:val="Heading1"/>
        <w:spacing w:before="160" w:after="60"/>
      </w:pPr>
      <w:r>
        <w:rPr>
          <w:sz w:val="21"/>
        </w:rPr>
        <w:t>S05</w:t>
      </w:r>
    </w:p>
    <w:p>
      <w:pPr>
        <w:keepNext/>
        <w:spacing w:after="60" w:line="240" w:lineRule="auto"/>
      </w:pPr>
      <w:r>
        <w:rPr>
          <w:sz w:val="20"/>
        </w:rPr>
        <w:t xml:space="preserve">Andersen, Susan M. and Chen, Serena (2002). </w:t>
      </w:r>
      <w:r>
        <w:rPr>
          <w:b/>
          <w:sz w:val="20"/>
        </w:rPr>
        <w:t>The relational self: an interpersonal social-cognitive theory</w:t>
      </w:r>
      <w:r>
        <w:rPr>
          <w:sz w:val="20"/>
        </w:rPr>
        <w:t>. Psychological Review 109(4), 619–645.</w:t>
      </w:r>
    </w:p>
    <w:p>
      <w:pPr>
        <w:keepNext/>
        <w:spacing w:after="60" w:line="240" w:lineRule="auto"/>
      </w:pPr>
      <w:hyperlink r:id="rId18">
        <w:r>
          <w:rPr>
            <w:color w:val="000000"/>
            <w:u w:val="single"/>
          </w:rPr>
          <w:t>Source link</w:t>
        </w:r>
      </w:hyperlink>
      <w:r>
        <w:rPr>
          <w:sz w:val="20"/>
        </w:rPr>
        <w:t xml:space="preserve"> </w:t>
      </w:r>
      <w:hyperlink r:id="rId19">
        <w:r>
          <w:rPr>
            <w:color w:val="000000"/>
            <w:u w:val="single"/>
          </w:rPr>
          <w:t>DOI</w:t>
        </w:r>
      </w:hyperlink>
    </w:p>
    <w:p>
      <w:pPr>
        <w:keepNext w:val="0"/>
        <w:spacing w:after="60" w:line="240" w:lineRule="auto"/>
      </w:pPr>
      <w:r>
        <w:rPr>
          <w:sz w:val="20"/>
        </w:rPr>
        <w:t>Access: abstract. Locator: Abstract; PMID 12374322. Theory abstract cannot establish coalition-scale effects.</w:t>
      </w:r>
    </w:p>
    <w:p>
      <w:pPr>
        <w:pStyle w:val="Heading1"/>
        <w:spacing w:before="160" w:after="60"/>
      </w:pPr>
      <w:r>
        <w:rPr>
          <w:sz w:val="21"/>
        </w:rPr>
        <w:t>S06</w:t>
      </w:r>
    </w:p>
    <w:p>
      <w:pPr>
        <w:keepNext/>
        <w:spacing w:after="60" w:line="240" w:lineRule="auto"/>
      </w:pPr>
      <w:r>
        <w:rPr>
          <w:sz w:val="20"/>
        </w:rPr>
        <w:t xml:space="preserve">Miller, Kevin P. and Brewer, Marilynn B. and Arbuckle, Nathan L. (2009). </w:t>
      </w:r>
      <w:r>
        <w:rPr>
          <w:b/>
          <w:sz w:val="20"/>
        </w:rPr>
        <w:t>Social Identity Complexity: Its Correlates and Antecedents</w:t>
      </w:r>
      <w:r>
        <w:rPr>
          <w:sz w:val="20"/>
        </w:rPr>
        <w:t>. Group Processes &amp; Intergroup Relations 12(1).</w:t>
      </w:r>
    </w:p>
    <w:p>
      <w:pPr>
        <w:keepNext/>
        <w:spacing w:after="60" w:line="240" w:lineRule="auto"/>
      </w:pPr>
      <w:hyperlink r:id="rId20">
        <w:r>
          <w:rPr>
            <w:color w:val="000000"/>
            <w:u w:val="single"/>
          </w:rPr>
          <w:t>Source link</w:t>
        </w:r>
      </w:hyperlink>
      <w:r>
        <w:rPr>
          <w:sz w:val="20"/>
        </w:rPr>
        <w:t xml:space="preserve"> </w:t>
      </w:r>
      <w:hyperlink r:id="rId21">
        <w:r>
          <w:rPr>
            <w:color w:val="000000"/>
            <w:u w:val="single"/>
          </w:rPr>
          <w:t>DOI</w:t>
        </w:r>
      </w:hyperlink>
    </w:p>
    <w:p>
      <w:pPr>
        <w:keepNext w:val="0"/>
        <w:spacing w:after="60" w:line="240" w:lineRule="auto"/>
      </w:pPr>
      <w:r>
        <w:rPr>
          <w:sz w:val="20"/>
        </w:rPr>
        <w:t>Access: abstract-and-notes. Locator: Abstract and publisher notes. Associations and experimental antecedents are distinct causal questions.</w:t>
      </w:r>
    </w:p>
    <w:p>
      <w:pPr>
        <w:pStyle w:val="Heading1"/>
        <w:spacing w:before="160" w:after="60"/>
      </w:pPr>
      <w:r>
        <w:rPr>
          <w:sz w:val="21"/>
        </w:rPr>
        <w:t>S07</w:t>
      </w:r>
    </w:p>
    <w:p>
      <w:pPr>
        <w:keepNext/>
        <w:spacing w:after="60" w:line="240" w:lineRule="auto"/>
      </w:pPr>
      <w:r>
        <w:rPr>
          <w:sz w:val="20"/>
        </w:rPr>
        <w:t xml:space="preserve">Habyarimana, James and Humphreys, Macartan and Posner, Daniel N. and Weinstein, Jeremy M. (2007). </w:t>
      </w:r>
      <w:r>
        <w:rPr>
          <w:b/>
          <w:sz w:val="20"/>
        </w:rPr>
        <w:t>Why Does Ethnic Diversity Undermine Public Goods Provision?</w:t>
      </w:r>
      <w:r>
        <w:rPr>
          <w:sz w:val="20"/>
        </w:rPr>
        <w:t>. American Political Science Review 101(4), 709–725.</w:t>
      </w:r>
    </w:p>
    <w:p>
      <w:pPr>
        <w:keepNext/>
        <w:spacing w:after="60" w:line="240" w:lineRule="auto"/>
      </w:pPr>
      <w:hyperlink r:id="rId22">
        <w:r>
          <w:rPr>
            <w:color w:val="000000"/>
            <w:u w:val="single"/>
          </w:rPr>
          <w:t>Source link</w:t>
        </w:r>
      </w:hyperlink>
      <w:r>
        <w:rPr>
          <w:sz w:val="20"/>
        </w:rPr>
        <w:t xml:space="preserve"> </w:t>
      </w:r>
      <w:hyperlink r:id="rId23">
        <w:r>
          <w:rPr>
            <w:color w:val="000000"/>
            <w:u w:val="single"/>
          </w:rPr>
          <w:t>DOI</w:t>
        </w:r>
      </w:hyperlink>
    </w:p>
    <w:p>
      <w:pPr>
        <w:keepNext w:val="0"/>
        <w:spacing w:after="60" w:line="240" w:lineRule="auto"/>
      </w:pPr>
      <w:r>
        <w:rPr>
          <w:sz w:val="20"/>
        </w:rPr>
        <w:t>Access: full-text. Locator: Experimental results and conclusion; pp. 719–724. Partner assignment varies; whole-community ethnicity is not randomized.</w:t>
      </w:r>
    </w:p>
    <w:p>
      <w:pPr>
        <w:pStyle w:val="Heading1"/>
        <w:spacing w:before="160" w:after="60"/>
      </w:pPr>
      <w:r>
        <w:rPr>
          <w:sz w:val="21"/>
        </w:rPr>
        <w:t>S08</w:t>
      </w:r>
    </w:p>
    <w:p>
      <w:pPr>
        <w:keepNext/>
        <w:spacing w:after="60" w:line="240" w:lineRule="auto"/>
      </w:pPr>
      <w:r>
        <w:rPr>
          <w:sz w:val="20"/>
        </w:rPr>
        <w:t xml:space="preserve">Mousa, Salma (2020). </w:t>
      </w:r>
      <w:r>
        <w:rPr>
          <w:b/>
          <w:sz w:val="20"/>
        </w:rPr>
        <w:t>Building social cohesion between Christians and Muslims through soccer in post-ISIS Iraq</w:t>
      </w:r>
      <w:r>
        <w:rPr>
          <w:sz w:val="20"/>
        </w:rPr>
        <w:t>. Science 369(6505), 866–870.</w:t>
      </w:r>
    </w:p>
    <w:p>
      <w:pPr>
        <w:keepNext/>
        <w:spacing w:after="60" w:line="240" w:lineRule="auto"/>
      </w:pPr>
      <w:hyperlink r:id="rId24">
        <w:r>
          <w:rPr>
            <w:color w:val="000000"/>
            <w:u w:val="single"/>
          </w:rPr>
          <w:t>Source link</w:t>
        </w:r>
      </w:hyperlink>
      <w:r>
        <w:rPr>
          <w:sz w:val="20"/>
        </w:rPr>
        <w:t xml:space="preserve"> </w:t>
      </w:r>
      <w:hyperlink r:id="rId25">
        <w:r>
          <w:rPr>
            <w:color w:val="000000"/>
            <w:u w:val="single"/>
          </w:rPr>
          <w:t>DOI</w:t>
        </w:r>
      </w:hyperlink>
    </w:p>
    <w:p>
      <w:pPr>
        <w:keepNext w:val="0"/>
        <w:spacing w:after="60" w:line="240" w:lineRule="auto"/>
      </w:pPr>
      <w:r>
        <w:rPr>
          <w:sz w:val="20"/>
        </w:rPr>
        <w:t>Access: full-text. Locator: p. 868; on-field and off-field results. Selected male sports participants and context; null transfer is not proof of zero effect.</w:t>
      </w:r>
    </w:p>
    <w:p>
      <w:pPr>
        <w:pStyle w:val="Heading1"/>
        <w:spacing w:before="160" w:after="60"/>
      </w:pPr>
      <w:r>
        <w:rPr>
          <w:sz w:val="21"/>
        </w:rPr>
        <w:t>S09</w:t>
      </w:r>
    </w:p>
    <w:p>
      <w:pPr>
        <w:keepNext/>
        <w:spacing w:after="60" w:line="240" w:lineRule="auto"/>
      </w:pPr>
      <w:r>
        <w:rPr>
          <w:sz w:val="20"/>
        </w:rPr>
        <w:t xml:space="preserve">Lowe, Matt (2021). </w:t>
      </w:r>
      <w:r>
        <w:rPr>
          <w:b/>
          <w:sz w:val="20"/>
        </w:rPr>
        <w:t>Types of Contact: A Field Experiment on Collaborative and Adversarial Caste Integration</w:t>
      </w:r>
      <w:r>
        <w:rPr>
          <w:sz w:val="20"/>
        </w:rPr>
        <w:t>. American Economic Review 111(6), 1807–1844.</w:t>
      </w:r>
    </w:p>
    <w:p>
      <w:pPr>
        <w:keepNext/>
        <w:spacing w:after="60" w:line="240" w:lineRule="auto"/>
      </w:pPr>
      <w:hyperlink r:id="rId26">
        <w:r>
          <w:rPr>
            <w:color w:val="000000"/>
            <w:u w:val="single"/>
          </w:rPr>
          <w:t>Source link</w:t>
        </w:r>
      </w:hyperlink>
      <w:r>
        <w:rPr>
          <w:sz w:val="20"/>
        </w:rPr>
        <w:t xml:space="preserve"> </w:t>
      </w:r>
      <w:hyperlink r:id="rId27">
        <w:r>
          <w:rPr>
            <w:color w:val="000000"/>
            <w:u w:val="single"/>
          </w:rPr>
          <w:t>DOI</w:t>
        </w:r>
      </w:hyperlink>
    </w:p>
    <w:p>
      <w:pPr>
        <w:keepNext w:val="0"/>
        <w:spacing w:after="60" w:line="240" w:lineRule="auto"/>
      </w:pPr>
      <w:r>
        <w:rPr>
          <w:sz w:val="20"/>
        </w:rPr>
        <w:t>Access: abstract. Locator: Publisher abstract. Full-text download returned 403; estimates and attrition not independently audited.</w:t>
      </w:r>
    </w:p>
    <w:p>
      <w:pPr>
        <w:pStyle w:val="Heading1"/>
        <w:spacing w:before="160" w:after="60"/>
      </w:pPr>
      <w:r>
        <w:rPr>
          <w:sz w:val="21"/>
        </w:rPr>
        <w:t>S10</w:t>
      </w:r>
    </w:p>
    <w:p>
      <w:pPr>
        <w:keepNext/>
        <w:spacing w:after="60" w:line="240" w:lineRule="auto"/>
      </w:pPr>
      <w:r>
        <w:rPr>
          <w:sz w:val="20"/>
        </w:rPr>
        <w:t xml:space="preserve">Paluck, Elizabeth Levy and Green, Seth A. and Green, Donald P. (2019). </w:t>
      </w:r>
      <w:r>
        <w:rPr>
          <w:b/>
          <w:sz w:val="20"/>
        </w:rPr>
        <w:t>The contact hypothesis re-evaluated</w:t>
      </w:r>
      <w:r>
        <w:rPr>
          <w:sz w:val="20"/>
        </w:rPr>
        <w:t>. Behavioural Public Policy 3(2), 129–158.</w:t>
      </w:r>
    </w:p>
    <w:p>
      <w:pPr>
        <w:keepNext/>
        <w:spacing w:after="60" w:line="240" w:lineRule="auto"/>
      </w:pPr>
      <w:hyperlink r:id="rId28">
        <w:r>
          <w:rPr>
            <w:color w:val="000000"/>
            <w:u w:val="single"/>
          </w:rPr>
          <w:t>Source link</w:t>
        </w:r>
      </w:hyperlink>
      <w:r>
        <w:rPr>
          <w:sz w:val="20"/>
        </w:rPr>
        <w:t xml:space="preserve"> </w:t>
      </w:r>
      <w:hyperlink r:id="rId29">
        <w:r>
          <w:rPr>
            <w:color w:val="000000"/>
            <w:u w:val="single"/>
          </w:rPr>
          <w:t>DOI</w:t>
        </w:r>
      </w:hyperlink>
    </w:p>
    <w:p>
      <w:pPr>
        <w:keepNext w:val="0"/>
        <w:spacing w:after="60" w:line="240" w:lineRule="auto"/>
      </w:pPr>
      <w:r>
        <w:rPr>
          <w:sz w:val="20"/>
        </w:rPr>
        <w:t>Access: full-text. Locator: Inclusion criteria, meta-analysis, and discussion. Corpus reflects its search period; not an up-to-2026 census.</w:t>
      </w:r>
    </w:p>
    <w:p>
      <w:pPr>
        <w:pStyle w:val="Heading1"/>
        <w:spacing w:before="160" w:after="60"/>
      </w:pPr>
      <w:r>
        <w:rPr>
          <w:sz w:val="21"/>
        </w:rPr>
        <w:t>S11</w:t>
      </w:r>
    </w:p>
    <w:p>
      <w:pPr>
        <w:keepNext/>
        <w:spacing w:after="60" w:line="240" w:lineRule="auto"/>
      </w:pPr>
      <w:r>
        <w:rPr>
          <w:sz w:val="20"/>
        </w:rPr>
        <w:t xml:space="preserve">Casey, Katherine and Glennerster, Rachel and Miguel, Edward (2012). </w:t>
      </w:r>
      <w:r>
        <w:rPr>
          <w:b/>
          <w:sz w:val="20"/>
        </w:rPr>
        <w:t>Reshaping Institutions: Evidence on Aid Impacts Using a Preanalysis Plan</w:t>
      </w:r>
      <w:r>
        <w:rPr>
          <w:sz w:val="20"/>
        </w:rPr>
        <w:t>. Quarterly Journal of Economics 127(4), 1755–1812.</w:t>
      </w:r>
    </w:p>
    <w:p>
      <w:pPr>
        <w:keepNext/>
        <w:spacing w:after="60" w:line="240" w:lineRule="auto"/>
      </w:pPr>
      <w:hyperlink r:id="rId30">
        <w:r>
          <w:rPr>
            <w:color w:val="000000"/>
            <w:u w:val="single"/>
          </w:rPr>
          <w:t>Source link</w:t>
        </w:r>
      </w:hyperlink>
      <w:r>
        <w:rPr>
          <w:sz w:val="20"/>
        </w:rPr>
        <w:t xml:space="preserve"> </w:t>
      </w:r>
      <w:hyperlink r:id="rId31">
        <w:r>
          <w:rPr>
            <w:color w:val="000000"/>
            <w:u w:val="single"/>
          </w:rPr>
          <w:t>DOI</w:t>
        </w:r>
      </w:hyperlink>
    </w:p>
    <w:p>
      <w:pPr>
        <w:keepNext w:val="0"/>
        <w:spacing w:after="60" w:line="240" w:lineRule="auto"/>
      </w:pPr>
      <w:r>
        <w:rPr>
          <w:sz w:val="20"/>
        </w:rPr>
        <w:t>Access: full-text. Locator: Abstract; results on family A and family B outcomes; conclusion. One program and observation window; does not show every participatory program fails.</w:t>
      </w:r>
    </w:p>
    <w:p>
      <w:pPr>
        <w:pStyle w:val="Heading1"/>
        <w:spacing w:before="160" w:after="60"/>
      </w:pPr>
      <w:r>
        <w:rPr>
          <w:sz w:val="21"/>
        </w:rPr>
        <w:t>S12</w:t>
      </w:r>
    </w:p>
    <w:p>
      <w:pPr>
        <w:keepNext/>
        <w:spacing w:after="60" w:line="240" w:lineRule="auto"/>
      </w:pPr>
      <w:r>
        <w:rPr>
          <w:sz w:val="20"/>
        </w:rPr>
        <w:t xml:space="preserve">Glennerster, Rachel and Miguel, Edward and Rothenberg, Alexander D. (2013). </w:t>
      </w:r>
      <w:r>
        <w:rPr>
          <w:b/>
          <w:sz w:val="20"/>
        </w:rPr>
        <w:t>Collective Action in Diverse Sierra Leone Communities</w:t>
      </w:r>
      <w:r>
        <w:rPr>
          <w:sz w:val="20"/>
        </w:rPr>
        <w:t>. Economic Journal 123(568), 285–316.</w:t>
      </w:r>
    </w:p>
    <w:p>
      <w:pPr>
        <w:keepNext/>
        <w:spacing w:after="60" w:line="240" w:lineRule="auto"/>
      </w:pPr>
      <w:hyperlink r:id="rId32">
        <w:r>
          <w:rPr>
            <w:color w:val="000000"/>
            <w:u w:val="single"/>
          </w:rPr>
          <w:t>Source link</w:t>
        </w:r>
      </w:hyperlink>
    </w:p>
    <w:p>
      <w:pPr>
        <w:keepNext w:val="0"/>
        <w:spacing w:after="60" w:line="240" w:lineRule="auto"/>
      </w:pPr>
      <w:r>
        <w:rPr>
          <w:sz w:val="20"/>
        </w:rPr>
        <w:t>Access: full-text. Locator: Abstract; empirical results and instrumental-variable discussion. Historical instrument needs an exclusion restriction; estimates remain context-specific.</w:t>
      </w:r>
    </w:p>
    <w:p>
      <w:pPr>
        <w:pStyle w:val="Heading1"/>
        <w:spacing w:before="160" w:after="60"/>
      </w:pPr>
      <w:r>
        <w:rPr>
          <w:sz w:val="21"/>
        </w:rPr>
        <w:t>S13</w:t>
      </w:r>
    </w:p>
    <w:p>
      <w:pPr>
        <w:keepNext/>
        <w:spacing w:after="60" w:line="240" w:lineRule="auto"/>
      </w:pPr>
      <w:r>
        <w:rPr>
          <w:sz w:val="20"/>
        </w:rPr>
        <w:t xml:space="preserve">Ostrom, Elinor (2009). </w:t>
      </w:r>
      <w:r>
        <w:rPr>
          <w:b/>
          <w:sz w:val="20"/>
        </w:rPr>
        <w:t>Beyond Markets and States: Polycentric Governance of Complex Economic Systems</w:t>
      </w:r>
      <w:r>
        <w:rPr>
          <w:sz w:val="20"/>
        </w:rPr>
        <w:t>. Revised Nobel lecture draft; later published in 2010.</w:t>
      </w:r>
    </w:p>
    <w:p>
      <w:pPr>
        <w:keepNext/>
        <w:spacing w:after="60" w:line="240" w:lineRule="auto"/>
      </w:pPr>
      <w:hyperlink r:id="rId33">
        <w:r>
          <w:rPr>
            <w:color w:val="000000"/>
            <w:u w:val="single"/>
          </w:rPr>
          <w:t>Source link</w:t>
        </w:r>
      </w:hyperlink>
    </w:p>
    <w:p>
      <w:pPr>
        <w:keepNext w:val="0"/>
        <w:spacing w:after="60" w:line="240" w:lineRule="auto"/>
      </w:pPr>
      <w:r>
        <w:rPr>
          <w:sz w:val="20"/>
        </w:rPr>
        <w:t>Access: full-text. Locator: p. 13, design principle 8; wider governance discussion. The retrieved draft is a theoretical synthesis, not a national regime experiment.</w:t>
      </w:r>
    </w:p>
    <w:p>
      <w:pPr>
        <w:pStyle w:val="Heading1"/>
        <w:spacing w:before="160" w:after="60"/>
      </w:pPr>
      <w:r>
        <w:rPr>
          <w:sz w:val="21"/>
        </w:rPr>
        <w:t>S14</w:t>
      </w:r>
    </w:p>
    <w:p>
      <w:pPr>
        <w:keepNext/>
        <w:spacing w:after="60" w:line="240" w:lineRule="auto"/>
      </w:pPr>
      <w:r>
        <w:rPr>
          <w:sz w:val="20"/>
        </w:rPr>
        <w:t xml:space="preserve">Durkheim, Émile (1893). </w:t>
      </w:r>
      <w:r>
        <w:rPr>
          <w:b/>
          <w:sz w:val="20"/>
        </w:rPr>
        <w:t>The Division of Labor in Society</w:t>
      </w:r>
      <w:r>
        <w:rPr>
          <w:sz w:val="20"/>
        </w:rPr>
        <w:t>. George Simpson translation (1947); university excerpt.</w:t>
      </w:r>
    </w:p>
    <w:p>
      <w:pPr>
        <w:keepNext/>
        <w:spacing w:after="60" w:line="240" w:lineRule="auto"/>
      </w:pPr>
      <w:hyperlink r:id="rId34">
        <w:r>
          <w:rPr>
            <w:color w:val="000000"/>
            <w:u w:val="single"/>
          </w:rPr>
          <w:t>Source link</w:t>
        </w:r>
      </w:hyperlink>
    </w:p>
    <w:p>
      <w:pPr>
        <w:keepNext w:val="0"/>
        <w:spacing w:after="60" w:line="240" w:lineRule="auto"/>
      </w:pPr>
      <w:r>
        <w:rPr>
          <w:sz w:val="20"/>
        </w:rPr>
        <w:t>Access: excerpt. Locator: Mechanical and organic solidarity excerpt. Excerpt only; conceptual distinction is not an automatic harmony claim.</w:t>
      </w:r>
    </w:p>
    <w:p>
      <w:pPr>
        <w:pStyle w:val="Heading1"/>
        <w:spacing w:before="160" w:after="60"/>
      </w:pPr>
      <w:r>
        <w:rPr>
          <w:sz w:val="21"/>
        </w:rPr>
        <w:t>S15</w:t>
      </w:r>
    </w:p>
    <w:p>
      <w:pPr>
        <w:keepNext/>
        <w:spacing w:after="60" w:line="240" w:lineRule="auto"/>
      </w:pPr>
      <w:r>
        <w:rPr>
          <w:sz w:val="20"/>
        </w:rPr>
        <w:t xml:space="preserve">Washington, Booker T. (1895). </w:t>
      </w:r>
      <w:r>
        <w:rPr>
          <w:b/>
          <w:sz w:val="20"/>
        </w:rPr>
        <w:t>Atlanta Exposition Address</w:t>
      </w:r>
      <w:r>
        <w:rPr>
          <w:sz w:val="20"/>
        </w:rPr>
        <w:t>. 18 September; reproduced speech with editorial introduction.</w:t>
      </w:r>
    </w:p>
    <w:p>
      <w:pPr>
        <w:keepNext/>
        <w:spacing w:after="60" w:line="240" w:lineRule="auto"/>
      </w:pPr>
      <w:hyperlink r:id="rId35">
        <w:r>
          <w:rPr>
            <w:color w:val="000000"/>
            <w:u w:val="single"/>
          </w:rPr>
          <w:t>Source link</w:t>
        </w:r>
      </w:hyperlink>
    </w:p>
    <w:p>
      <w:pPr>
        <w:keepNext w:val="0"/>
        <w:spacing w:after="60" w:line="240" w:lineRule="auto"/>
      </w:pPr>
      <w:r>
        <w:rPr>
          <w:sz w:val="20"/>
        </w:rPr>
        <w:t>Access: full-speech-plus-editorial. Locator: Speech and separately identified editorial introduction. Private litigation claim rests on editorial account, not inspected correspondence.</w:t>
      </w:r>
    </w:p>
    <w:p>
      <w:pPr>
        <w:pStyle w:val="Heading1"/>
        <w:spacing w:before="160" w:after="60"/>
      </w:pPr>
      <w:r>
        <w:rPr>
          <w:sz w:val="21"/>
        </w:rPr>
        <w:t>S16</w:t>
      </w:r>
    </w:p>
    <w:p>
      <w:pPr>
        <w:keepNext/>
        <w:spacing w:after="60" w:line="240" w:lineRule="auto"/>
      </w:pPr>
      <w:r>
        <w:rPr>
          <w:sz w:val="20"/>
        </w:rPr>
        <w:t xml:space="preserve">Du Bois, W. E. B. (1903). </w:t>
      </w:r>
      <w:r>
        <w:rPr>
          <w:b/>
          <w:sz w:val="20"/>
        </w:rPr>
        <w:t>The Souls of Black Folk</w:t>
      </w:r>
      <w:r>
        <w:rPr>
          <w:sz w:val="20"/>
        </w:rPr>
        <w:t>. Chapter III: Of Mr. Booker T. Washington and Others.</w:t>
      </w:r>
    </w:p>
    <w:p>
      <w:pPr>
        <w:keepNext/>
        <w:spacing w:after="60" w:line="240" w:lineRule="auto"/>
      </w:pPr>
      <w:hyperlink r:id="rId36">
        <w:r>
          <w:rPr>
            <w:color w:val="000000"/>
            <w:u w:val="single"/>
          </w:rPr>
          <w:t>Source link</w:t>
        </w:r>
      </w:hyperlink>
    </w:p>
    <w:p>
      <w:pPr>
        <w:keepNext w:val="0"/>
        <w:spacing w:after="60" w:line="240" w:lineRule="auto"/>
      </w:pPr>
      <w:r>
        <w:rPr>
          <w:sz w:val="20"/>
        </w:rPr>
        <w:t>Access: chapter. Locator: Chapter III, numbered demands near end. One period and chapter cannot represent the full evolution of Du Bois.</w:t>
      </w:r>
    </w:p>
    <w:p>
      <w:pPr>
        <w:pStyle w:val="Heading1"/>
        <w:spacing w:before="160" w:after="60"/>
      </w:pPr>
      <w:r>
        <w:rPr>
          <w:sz w:val="21"/>
        </w:rPr>
        <w:t>S17</w:t>
      </w:r>
    </w:p>
    <w:p>
      <w:pPr>
        <w:keepNext/>
        <w:spacing w:after="60" w:line="240" w:lineRule="auto"/>
      </w:pPr>
      <w:r>
        <w:rPr>
          <w:sz w:val="20"/>
        </w:rPr>
        <w:t xml:space="preserve">Malcolm X (1964). </w:t>
      </w:r>
      <w:r>
        <w:rPr>
          <w:b/>
          <w:sz w:val="20"/>
        </w:rPr>
        <w:t>Speech at the OAAU founding rally</w:t>
      </w:r>
      <w:r>
        <w:rPr>
          <w:sz w:val="20"/>
        </w:rPr>
        <w:t>. 28 June; reproduced transcript.</w:t>
      </w:r>
    </w:p>
    <w:p>
      <w:pPr>
        <w:keepNext/>
        <w:spacing w:after="60" w:line="240" w:lineRule="auto"/>
      </w:pPr>
      <w:hyperlink r:id="rId37">
        <w:r>
          <w:rPr>
            <w:color w:val="000000"/>
            <w:u w:val="single"/>
          </w:rPr>
          <w:t>Source link</w:t>
        </w:r>
      </w:hyperlink>
    </w:p>
    <w:p>
      <w:pPr>
        <w:keepNext w:val="0"/>
        <w:spacing w:after="60" w:line="240" w:lineRule="auto"/>
      </w:pPr>
      <w:r>
        <w:rPr>
          <w:sz w:val="20"/>
        </w:rPr>
        <w:t>Access: full-transcript. Locator: Membership, independent organization, and international linkage passages. Programmatic speech; no estimated causal effectiveness.</w:t>
      </w:r>
    </w:p>
    <w:p>
      <w:pPr>
        <w:pStyle w:val="Heading1"/>
        <w:spacing w:before="160" w:after="60"/>
      </w:pPr>
      <w:r>
        <w:rPr>
          <w:sz w:val="21"/>
        </w:rPr>
        <w:t>S18</w:t>
      </w:r>
    </w:p>
    <w:p>
      <w:pPr>
        <w:keepNext/>
        <w:spacing w:after="60" w:line="240" w:lineRule="auto"/>
      </w:pPr>
      <w:r>
        <w:rPr>
          <w:sz w:val="20"/>
        </w:rPr>
        <w:t xml:space="preserve">The Martin Luther King, Jr. Research and Education Institute (n.d.). </w:t>
      </w:r>
      <w:r>
        <w:rPr>
          <w:b/>
          <w:sz w:val="20"/>
        </w:rPr>
        <w:t>Poor People’s Campaign</w:t>
      </w:r>
      <w:r>
        <w:rPr>
          <w:sz w:val="20"/>
        </w:rPr>
        <w:t>. Stanford University historical encyclopedia.</w:t>
      </w:r>
    </w:p>
    <w:p>
      <w:pPr>
        <w:keepNext/>
        <w:spacing w:after="60" w:line="240" w:lineRule="auto"/>
      </w:pPr>
      <w:hyperlink r:id="rId38">
        <w:r>
          <w:rPr>
            <w:color w:val="000000"/>
            <w:u w:val="single"/>
          </w:rPr>
          <w:t>Source link</w:t>
        </w:r>
      </w:hyperlink>
    </w:p>
    <w:p>
      <w:pPr>
        <w:keepNext w:val="0"/>
        <w:spacing w:after="60" w:line="240" w:lineRule="auto"/>
      </w:pPr>
      <w:r>
        <w:rPr>
          <w:sz w:val="20"/>
        </w:rPr>
        <w:t>Access: full-entry. Locator: Campaign planning and 1968 outcomes. Institutional secondary summary; no matched strategy counterfactual.</w:t>
      </w:r>
    </w:p>
    <w:p>
      <w:pPr>
        <w:pStyle w:val="Heading1"/>
        <w:spacing w:before="160" w:after="60"/>
      </w:pPr>
      <w:r>
        <w:rPr>
          <w:sz w:val="21"/>
        </w:rPr>
        <w:t>S19</w:t>
      </w:r>
    </w:p>
    <w:p>
      <w:pPr>
        <w:keepNext/>
        <w:spacing w:after="60" w:line="240" w:lineRule="auto"/>
      </w:pPr>
      <w:r>
        <w:rPr>
          <w:sz w:val="20"/>
        </w:rPr>
        <w:t xml:space="preserve">Combahee River Collective (1977). </w:t>
      </w:r>
      <w:r>
        <w:rPr>
          <w:b/>
          <w:sz w:val="20"/>
        </w:rPr>
        <w:t>The Combahee River Collective Statement</w:t>
      </w:r>
      <w:r>
        <w:rPr>
          <w:sz w:val="20"/>
        </w:rPr>
        <w:t>. Primary statement reproduced by Verso.</w:t>
      </w:r>
    </w:p>
    <w:p>
      <w:pPr>
        <w:keepNext/>
        <w:spacing w:after="60" w:line="240" w:lineRule="auto"/>
      </w:pPr>
      <w:hyperlink r:id="rId39">
        <w:r>
          <w:rPr>
            <w:color w:val="000000"/>
            <w:u w:val="single"/>
          </w:rPr>
          <w:t>Source link</w:t>
        </w:r>
      </w:hyperlink>
    </w:p>
    <w:p>
      <w:pPr>
        <w:keepNext w:val="0"/>
        <w:spacing w:after="60" w:line="240" w:lineRule="auto"/>
      </w:pPr>
      <w:r>
        <w:rPr>
          <w:sz w:val="20"/>
        </w:rPr>
        <w:t>Access: full-statement. Locator: Sections 2 and 3. Normative and organizational statement, not an outcome study.</w:t>
      </w:r>
    </w:p>
    <w:p>
      <w:pPr>
        <w:pStyle w:val="Heading1"/>
        <w:spacing w:before="160" w:after="60"/>
      </w:pPr>
      <w:r>
        <w:rPr>
          <w:sz w:val="21"/>
        </w:rPr>
        <w:t>S20</w:t>
      </w:r>
    </w:p>
    <w:p>
      <w:pPr>
        <w:keepNext/>
        <w:spacing w:after="60" w:line="240" w:lineRule="auto"/>
      </w:pPr>
      <w:r>
        <w:rPr>
          <w:sz w:val="20"/>
        </w:rPr>
        <w:t xml:space="preserve">Balfour, Arthur James (1917). </w:t>
      </w:r>
      <w:r>
        <w:rPr>
          <w:b/>
          <w:sz w:val="20"/>
        </w:rPr>
        <w:t>The Balfour Declaration</w:t>
      </w:r>
      <w:r>
        <w:rPr>
          <w:sz w:val="20"/>
        </w:rPr>
        <w:t>. 2 November; Yale Avalon Project transcription.</w:t>
      </w:r>
    </w:p>
    <w:p>
      <w:pPr>
        <w:keepNext/>
        <w:spacing w:after="60" w:line="240" w:lineRule="auto"/>
      </w:pPr>
      <w:hyperlink r:id="rId40">
        <w:r>
          <w:rPr>
            <w:color w:val="000000"/>
            <w:u w:val="single"/>
          </w:rPr>
          <w:t>Source link</w:t>
        </w:r>
      </w:hyperlink>
    </w:p>
    <w:p>
      <w:pPr>
        <w:keepNext w:val="0"/>
        <w:spacing w:after="60" w:line="240" w:lineRule="auto"/>
      </w:pPr>
      <w:r>
        <w:rPr>
          <w:sz w:val="20"/>
        </w:rPr>
        <w:t>Access: full-document. Locator: Declaration body. Text alone does not evaluate implementation, present law, or constitutional alternatives.</w:t>
      </w:r>
    </w:p>
    <w:p>
      <w:pPr>
        <w:pStyle w:val="Heading1"/>
        <w:spacing w:before="160" w:after="60"/>
      </w:pPr>
      <w:r>
        <w:rPr>
          <w:sz w:val="21"/>
        </w:rPr>
        <w:t>S21</w:t>
      </w:r>
    </w:p>
    <w:p>
      <w:pPr>
        <w:keepNext/>
        <w:spacing w:after="60" w:line="240" w:lineRule="auto"/>
      </w:pPr>
      <w:r>
        <w:rPr>
          <w:sz w:val="20"/>
        </w:rPr>
        <w:t xml:space="preserve">Nkrumah, Kwame (1965). </w:t>
      </w:r>
      <w:r>
        <w:rPr>
          <w:b/>
          <w:sz w:val="20"/>
        </w:rPr>
        <w:t>Neo-Colonialism, the Last Stage of Imperialism</w:t>
      </w:r>
      <w:r>
        <w:rPr>
          <w:sz w:val="20"/>
        </w:rPr>
        <w:t>. Chapter 2: Obstacles to economic progress.</w:t>
      </w:r>
    </w:p>
    <w:p>
      <w:pPr>
        <w:keepNext/>
        <w:spacing w:after="60" w:line="240" w:lineRule="auto"/>
      </w:pPr>
      <w:hyperlink r:id="rId41">
        <w:r>
          <w:rPr>
            <w:color w:val="000000"/>
            <w:u w:val="single"/>
          </w:rPr>
          <w:t>Source link</w:t>
        </w:r>
      </w:hyperlink>
    </w:p>
    <w:p>
      <w:pPr>
        <w:keepNext w:val="0"/>
        <w:spacing w:after="60" w:line="240" w:lineRule="auto"/>
      </w:pPr>
      <w:r>
        <w:rPr>
          <w:sz w:val="20"/>
        </w:rPr>
        <w:t>Access: chapter. Locator: Chapter 2, continental planning and uneven benefits passages. Primary political argument; the projected alternative was not experimentally tested.</w:t>
      </w:r>
    </w:p>
    <w:p>
      <w:pPr>
        <w:pStyle w:val="Heading1"/>
        <w:spacing w:before="160" w:after="60"/>
      </w:pPr>
      <w:r>
        <w:rPr>
          <w:sz w:val="21"/>
        </w:rPr>
        <w:t>S22</w:t>
      </w:r>
    </w:p>
    <w:p>
      <w:pPr>
        <w:keepNext/>
        <w:spacing w:after="60" w:line="240" w:lineRule="auto"/>
      </w:pPr>
      <w:r>
        <w:rPr>
          <w:sz w:val="20"/>
        </w:rPr>
        <w:t xml:space="preserve">Gambini, Bert (2024). </w:t>
      </w:r>
      <w:r>
        <w:rPr>
          <w:b/>
          <w:sz w:val="20"/>
        </w:rPr>
        <w:t>SUNY Press publishes new edition of classic work on African American toasts</w:t>
      </w:r>
      <w:r>
        <w:rPr>
          <w:sz w:val="20"/>
        </w:rPr>
        <w:t>. University at Buffalo; 27 February; interview with Bruce Jackson.</w:t>
      </w:r>
    </w:p>
    <w:p>
      <w:pPr>
        <w:keepNext/>
        <w:spacing w:after="60" w:line="240" w:lineRule="auto"/>
      </w:pPr>
      <w:hyperlink r:id="rId42">
        <w:r>
          <w:rPr>
            <w:color w:val="000000"/>
            <w:u w:val="single"/>
          </w:rPr>
          <w:t>Source link</w:t>
        </w:r>
      </w:hyperlink>
    </w:p>
    <w:p>
      <w:pPr>
        <w:keepNext w:val="0"/>
        <w:spacing w:after="60" w:line="240" w:lineRule="auto"/>
      </w:pPr>
      <w:r>
        <w:rPr>
          <w:sz w:val="20"/>
        </w:rPr>
        <w:t>Access: full-interview. Locator: Interview discussion of toasts and collection. This record is an interview, not a claim to have read Jackson’s full book.</w:t>
      </w:r>
    </w:p>
    <w:p>
      <w:pPr>
        <w:pStyle w:val="Heading1"/>
        <w:spacing w:before="160" w:after="60"/>
      </w:pPr>
      <w:r>
        <w:rPr>
          <w:sz w:val="21"/>
        </w:rPr>
        <w:t>S23</w:t>
      </w:r>
    </w:p>
    <w:p>
      <w:pPr>
        <w:keepNext/>
        <w:spacing w:after="60" w:line="240" w:lineRule="auto"/>
      </w:pPr>
      <w:r>
        <w:rPr>
          <w:sz w:val="20"/>
        </w:rPr>
        <w:t xml:space="preserve">Chow, Andrew R. (2019). </w:t>
      </w:r>
      <w:r>
        <w:rPr>
          <w:b/>
          <w:sz w:val="20"/>
        </w:rPr>
        <w:t>Rappers Reflect on the Enduring Hip-Hop Legacy of Dolemite Comedian Rudy Ray Moore</w:t>
      </w:r>
      <w:r>
        <w:rPr>
          <w:sz w:val="20"/>
        </w:rPr>
        <w:t>. TIME; 26 October; artist interviews.</w:t>
      </w:r>
    </w:p>
    <w:p>
      <w:pPr>
        <w:keepNext/>
        <w:spacing w:after="60" w:line="240" w:lineRule="auto"/>
      </w:pPr>
      <w:hyperlink r:id="rId43">
        <w:r>
          <w:rPr>
            <w:color w:val="000000"/>
            <w:u w:val="single"/>
          </w:rPr>
          <w:t>Source link</w:t>
        </w:r>
      </w:hyperlink>
    </w:p>
    <w:p>
      <w:pPr>
        <w:keepNext w:val="0"/>
        <w:spacing w:after="60" w:line="240" w:lineRule="auto"/>
      </w:pPr>
      <w:r>
        <w:rPr>
          <w:sz w:val="20"/>
        </w:rPr>
        <w:t>Access: full-article. Locator: Artist interviews in article body. Interview testimony does not establish a single origin of rap.</w:t>
      </w:r>
    </w:p>
    <w:p>
      <w:pPr>
        <w:pStyle w:val="Heading1"/>
        <w:spacing w:before="160" w:after="60"/>
      </w:pPr>
      <w:r>
        <w:rPr>
          <w:sz w:val="21"/>
        </w:rPr>
        <w:t>S24</w:t>
      </w:r>
    </w:p>
    <w:p>
      <w:pPr>
        <w:keepNext/>
        <w:spacing w:after="60" w:line="240" w:lineRule="auto"/>
      </w:pPr>
      <w:r>
        <w:rPr>
          <w:sz w:val="20"/>
        </w:rPr>
        <w:t xml:space="preserve">Reed, Adolph, Jr. (n.d.). </w:t>
      </w:r>
      <w:r>
        <w:rPr>
          <w:b/>
          <w:sz w:val="20"/>
        </w:rPr>
        <w:t>Afropessimism, or Black Studies as a Class Project</w:t>
      </w:r>
      <w:r>
        <w:rPr>
          <w:sz w:val="20"/>
        </w:rPr>
        <w:t>. nonsite.org; original essay.</w:t>
      </w:r>
    </w:p>
    <w:p>
      <w:pPr>
        <w:keepNext/>
        <w:spacing w:after="60" w:line="240" w:lineRule="auto"/>
      </w:pPr>
      <w:hyperlink r:id="rId44">
        <w:r>
          <w:rPr>
            <w:color w:val="000000"/>
            <w:u w:val="single"/>
          </w:rPr>
          <w:t>Source link</w:t>
        </w:r>
      </w:hyperlink>
    </w:p>
    <w:p>
      <w:pPr>
        <w:keepNext w:val="0"/>
        <w:spacing w:after="60" w:line="240" w:lineRule="auto"/>
      </w:pPr>
      <w:r>
        <w:rPr>
          <w:sz w:val="20"/>
        </w:rPr>
        <w:t>Access: full-essay. Locator: Political-economic critique. Publication date not confirmed; argument is not a causal effect estimate.</w:t>
      </w:r>
    </w:p>
    <w:p>
      <w:pPr>
        <w:pStyle w:val="Heading1"/>
        <w:spacing w:before="160" w:after="60"/>
      </w:pPr>
      <w:r>
        <w:rPr>
          <w:sz w:val="21"/>
        </w:rPr>
        <w:t>S25</w:t>
      </w:r>
    </w:p>
    <w:p>
      <w:pPr>
        <w:keepNext/>
        <w:spacing w:after="60" w:line="240" w:lineRule="auto"/>
      </w:pPr>
      <w:r>
        <w:rPr>
          <w:sz w:val="20"/>
        </w:rPr>
        <w:t xml:space="preserve">Táíwò, Olúfẹ́mi O. (2022). </w:t>
      </w:r>
      <w:r>
        <w:rPr>
          <w:b/>
          <w:sz w:val="20"/>
        </w:rPr>
        <w:t>Elite Capture: How the Powerful Took Over Identity Politics (and Everything Else)</w:t>
      </w:r>
      <w:r>
        <w:rPr>
          <w:sz w:val="20"/>
        </w:rPr>
        <w:t>. Haymarket Books.</w:t>
      </w:r>
    </w:p>
    <w:p>
      <w:pPr>
        <w:keepNext/>
        <w:spacing w:after="60" w:line="240" w:lineRule="auto"/>
      </w:pPr>
      <w:hyperlink r:id="rId45">
        <w:r>
          <w:rPr>
            <w:color w:val="000000"/>
            <w:u w:val="single"/>
          </w:rPr>
          <w:t>Source link</w:t>
        </w:r>
      </w:hyperlink>
    </w:p>
    <w:p>
      <w:pPr>
        <w:keepNext w:val="0"/>
        <w:spacing w:after="60" w:line="240" w:lineRule="auto"/>
      </w:pPr>
      <w:r>
        <w:rPr>
          <w:sz w:val="20"/>
        </w:rPr>
        <w:t>Access: catalog-only. Locator: Publisher catalog. Full book not assessed; not used as decisive evidence.</w:t>
      </w:r>
    </w:p>
    <w:p>
      <w:pPr>
        <w:pStyle w:val="Heading1"/>
        <w:spacing w:before="160" w:after="60"/>
      </w:pPr>
      <w:r>
        <w:rPr>
          <w:sz w:val="21"/>
        </w:rPr>
        <w:t>S26</w:t>
      </w:r>
    </w:p>
    <w:p>
      <w:pPr>
        <w:keepNext/>
        <w:spacing w:after="60" w:line="240" w:lineRule="auto"/>
      </w:pPr>
      <w:r>
        <w:rPr>
          <w:sz w:val="20"/>
        </w:rPr>
        <w:t xml:space="preserve">Carroll, Sean and Appiah, Kwame Anthony (2020). </w:t>
      </w:r>
      <w:r>
        <w:rPr>
          <w:b/>
          <w:sz w:val="20"/>
        </w:rPr>
        <w:t>Kwame Anthony Appiah on Identity, Stories, and Cosmopolitanism</w:t>
      </w:r>
      <w:r>
        <w:rPr>
          <w:sz w:val="20"/>
        </w:rPr>
        <w:t>. Mindscape 83; 10 February; interview transcript.</w:t>
      </w:r>
    </w:p>
    <w:p>
      <w:pPr>
        <w:keepNext/>
        <w:spacing w:after="60" w:line="240" w:lineRule="auto"/>
      </w:pPr>
      <w:hyperlink r:id="rId46">
        <w:r>
          <w:rPr>
            <w:color w:val="000000"/>
            <w:u w:val="single"/>
          </w:rPr>
          <w:t>Source link</w:t>
        </w:r>
      </w:hyperlink>
    </w:p>
    <w:p>
      <w:pPr>
        <w:keepNext w:val="0"/>
        <w:spacing w:after="60" w:line="240" w:lineRule="auto"/>
      </w:pPr>
      <w:r>
        <w:rPr>
          <w:sz w:val="20"/>
        </w:rPr>
        <w:t>Access: full-transcript. Locator: Around 1:17:20 and subsequent discussion. Interview explains a normative position; does not test political effectiveness.</w:t>
      </w:r>
    </w:p>
    <w:p>
      <w:pPr>
        <w:pStyle w:val="Heading1"/>
        <w:spacing w:before="160" w:after="60"/>
      </w:pPr>
      <w:r>
        <w:rPr>
          <w:sz w:val="21"/>
        </w:rPr>
        <w:t>S27</w:t>
      </w:r>
    </w:p>
    <w:p>
      <w:pPr>
        <w:keepNext/>
        <w:spacing w:after="60" w:line="240" w:lineRule="auto"/>
      </w:pPr>
      <w:r>
        <w:rPr>
          <w:sz w:val="20"/>
        </w:rPr>
        <w:t xml:space="preserve">Nunn, Nathan and Wantchekon, Leonard (2011). </w:t>
      </w:r>
      <w:r>
        <w:rPr>
          <w:b/>
          <w:sz w:val="20"/>
        </w:rPr>
        <w:t>The Slave Trade and the Origins of Mistrust in Africa</w:t>
      </w:r>
      <w:r>
        <w:rPr>
          <w:sz w:val="20"/>
        </w:rPr>
        <w:t>. American Economic Review 101(7), 3221–3252.</w:t>
      </w:r>
    </w:p>
    <w:p>
      <w:pPr>
        <w:keepNext/>
        <w:spacing w:after="60" w:line="240" w:lineRule="auto"/>
      </w:pPr>
      <w:hyperlink r:id="rId47">
        <w:r>
          <w:rPr>
            <w:color w:val="000000"/>
            <w:u w:val="single"/>
          </w:rPr>
          <w:t>Source link</w:t>
        </w:r>
      </w:hyperlink>
      <w:r>
        <w:rPr>
          <w:sz w:val="20"/>
        </w:rPr>
        <w:t xml:space="preserve"> </w:t>
      </w:r>
      <w:hyperlink r:id="rId48">
        <w:r>
          <w:rPr>
            <w:color w:val="000000"/>
            <w:u w:val="single"/>
          </w:rPr>
          <w:t>DOI</w:t>
        </w:r>
      </w:hyperlink>
    </w:p>
    <w:p>
      <w:pPr>
        <w:keepNext w:val="0"/>
        <w:spacing w:after="60" w:line="240" w:lineRule="auto"/>
      </w:pPr>
      <w:r>
        <w:rPr>
          <w:sz w:val="20"/>
        </w:rPr>
        <w:t>Access: metadata-and-indexed-abstract. Locator: Author metadata; indexed NBER w14783 abstract. NBER direct access failed; no full-text identification audit; slave trade is not identical to colonial partition.</w:t>
      </w:r>
    </w:p>
    <w:p>
      <w:pPr>
        <w:pStyle w:val="Heading1"/>
        <w:spacing w:before="160" w:after="60"/>
      </w:pPr>
      <w:r>
        <w:rPr>
          <w:sz w:val="21"/>
        </w:rPr>
        <w:t>S28</w:t>
      </w:r>
    </w:p>
    <w:p>
      <w:pPr>
        <w:keepNext/>
        <w:spacing w:after="60" w:line="240" w:lineRule="auto"/>
      </w:pPr>
      <w:r>
        <w:rPr>
          <w:sz w:val="20"/>
        </w:rPr>
        <w:t xml:space="preserve">Roccas, Sonia and Brewer, Marilynn B. (2002). </w:t>
      </w:r>
      <w:r>
        <w:rPr>
          <w:b/>
          <w:sz w:val="20"/>
        </w:rPr>
        <w:t>Social Identity Complexity</w:t>
      </w:r>
      <w:r>
        <w:rPr>
          <w:sz w:val="20"/>
        </w:rPr>
        <w:t>. Personality and Social Psychology Review 6(2), 88–106.</w:t>
      </w:r>
    </w:p>
    <w:p>
      <w:pPr>
        <w:keepNext/>
        <w:spacing w:after="60" w:line="240" w:lineRule="auto"/>
      </w:pPr>
      <w:hyperlink r:id="rId49">
        <w:r>
          <w:rPr>
            <w:color w:val="000000"/>
            <w:u w:val="single"/>
          </w:rPr>
          <w:t>Source link</w:t>
        </w:r>
      </w:hyperlink>
      <w:r>
        <w:rPr>
          <w:sz w:val="20"/>
        </w:rPr>
        <w:t xml:space="preserve"> </w:t>
      </w:r>
      <w:hyperlink r:id="rId50">
        <w:r>
          <w:rPr>
            <w:color w:val="000000"/>
            <w:u w:val="single"/>
          </w:rPr>
          <w:t>DOI</w:t>
        </w:r>
      </w:hyperlink>
    </w:p>
    <w:p>
      <w:pPr>
        <w:keepNext w:val="0"/>
        <w:spacing w:after="60" w:line="240" w:lineRule="auto"/>
      </w:pPr>
      <w:r>
        <w:rPr>
          <w:sz w:val="20"/>
        </w:rPr>
        <w:t>Access: indexed-abstract. Locator: Indexed abstract; direct page timed out. Theory discovery record only; not a causal organizational result.</w:t>
      </w:r>
    </w:p>
    <w:p>
      <w:pPr>
        <w:pStyle w:val="Heading1"/>
        <w:spacing w:before="160" w:after="60"/>
      </w:pPr>
      <w:r>
        <w:rPr>
          <w:sz w:val="21"/>
        </w:rPr>
        <w:t>S29</w:t>
      </w:r>
    </w:p>
    <w:p>
      <w:pPr>
        <w:keepNext/>
        <w:spacing w:after="60" w:line="240" w:lineRule="auto"/>
      </w:pPr>
      <w:r>
        <w:rPr>
          <w:sz w:val="20"/>
        </w:rPr>
        <w:t xml:space="preserve">Getachew, Adom (2019). </w:t>
      </w:r>
      <w:r>
        <w:rPr>
          <w:b/>
          <w:sz w:val="20"/>
        </w:rPr>
        <w:t>Worldmaking after Empire: The Rise and Fall of Self-Determination</w:t>
      </w:r>
      <w:r>
        <w:rPr>
          <w:sz w:val="20"/>
        </w:rPr>
        <w:t>. Princeton University Press; introduction.</w:t>
      </w:r>
    </w:p>
    <w:p>
      <w:pPr>
        <w:keepNext/>
        <w:spacing w:after="60" w:line="240" w:lineRule="auto"/>
      </w:pPr>
      <w:hyperlink r:id="rId51">
        <w:r>
          <w:rPr>
            <w:color w:val="000000"/>
            <w:u w:val="single"/>
          </w:rPr>
          <w:t>Source link</w:t>
        </w:r>
      </w:hyperlink>
      <w:r>
        <w:rPr>
          <w:sz w:val="20"/>
        </w:rPr>
        <w:t xml:space="preserve"> </w:t>
      </w:r>
      <w:hyperlink r:id="rId52">
        <w:r>
          <w:rPr>
            <w:color w:val="000000"/>
            <w:u w:val="single"/>
          </w:rPr>
          <w:t>DOI</w:t>
        </w:r>
      </w:hyperlink>
    </w:p>
    <w:p>
      <w:pPr>
        <w:keepNext w:val="0"/>
        <w:spacing w:after="60" w:line="240" w:lineRule="auto"/>
      </w:pPr>
      <w:r>
        <w:rPr>
          <w:sz w:val="20"/>
        </w:rPr>
        <w:t>Access: introduction. Locator: Introduction, international order and federation discussion. Introduction inspected; complete book and underlying archive not assessed.</w:t>
      </w:r>
    </w:p>
    <w:p>
      <w:pPr>
        <w:pStyle w:val="Heading1"/>
        <w:spacing w:before="160" w:after="60"/>
      </w:pPr>
      <w:r>
        <w:rPr>
          <w:sz w:val="21"/>
        </w:rPr>
        <w:t>S30</w:t>
      </w:r>
    </w:p>
    <w:p>
      <w:pPr>
        <w:keepNext/>
        <w:spacing w:after="60" w:line="240" w:lineRule="auto"/>
      </w:pPr>
      <w:r>
        <w:rPr>
          <w:sz w:val="20"/>
        </w:rPr>
        <w:t xml:space="preserve">Fraser, Nancy (1995). </w:t>
      </w:r>
      <w:r>
        <w:rPr>
          <w:b/>
          <w:sz w:val="20"/>
        </w:rPr>
        <w:t>From Redistribution to Recognition? Dilemmas of Justice in a 'Post-Socialist' Age</w:t>
      </w:r>
      <w:r>
        <w:rPr>
          <w:sz w:val="20"/>
        </w:rPr>
        <w:t>. New Left Review I/212, 68–93.</w:t>
      </w:r>
    </w:p>
    <w:p>
      <w:pPr>
        <w:keepNext/>
        <w:spacing w:after="60" w:line="240" w:lineRule="auto"/>
      </w:pPr>
      <w:hyperlink r:id="rId53">
        <w:r>
          <w:rPr>
            <w:color w:val="000000"/>
            <w:u w:val="single"/>
          </w:rPr>
          <w:t>Source link</w:t>
        </w:r>
      </w:hyperlink>
    </w:p>
    <w:p>
      <w:pPr>
        <w:keepNext w:val="0"/>
        <w:spacing w:after="60" w:line="240" w:lineRule="auto"/>
      </w:pPr>
      <w:r>
        <w:rPr>
          <w:sz w:val="20"/>
        </w:rPr>
        <w:t>Access: opening-excerpt. Locator: Public opening before subscription wall. URL returned HTML excerpt; full article not accessed.</w:t>
      </w:r>
    </w:p>
    <w:p>
      <w:pPr>
        <w:pStyle w:val="Heading1"/>
        <w:spacing w:before="160" w:after="60"/>
      </w:pPr>
      <w:r>
        <w:rPr>
          <w:sz w:val="21"/>
        </w:rPr>
        <w:t>S31</w:t>
      </w:r>
    </w:p>
    <w:p>
      <w:pPr>
        <w:keepNext/>
        <w:spacing w:after="60" w:line="240" w:lineRule="auto"/>
      </w:pPr>
      <w:r>
        <w:rPr>
          <w:sz w:val="20"/>
        </w:rPr>
        <w:t xml:space="preserve">SNCC Digital Gateway (n.d.). </w:t>
      </w:r>
      <w:r>
        <w:rPr>
          <w:b/>
          <w:sz w:val="20"/>
        </w:rPr>
        <w:t>Ella Baker</w:t>
      </w:r>
      <w:r>
        <w:rPr>
          <w:sz w:val="20"/>
        </w:rPr>
        <w:t>. Institutional historical profile.</w:t>
      </w:r>
    </w:p>
    <w:p>
      <w:pPr>
        <w:keepNext/>
        <w:spacing w:after="60" w:line="240" w:lineRule="auto"/>
      </w:pPr>
      <w:hyperlink r:id="rId54">
        <w:r>
          <w:rPr>
            <w:color w:val="000000"/>
            <w:u w:val="single"/>
          </w:rPr>
          <w:t>Source link</w:t>
        </w:r>
      </w:hyperlink>
    </w:p>
    <w:p>
      <w:pPr>
        <w:keepNext w:val="0"/>
        <w:spacing w:after="60" w:line="240" w:lineRule="auto"/>
      </w:pPr>
      <w:r>
        <w:rPr>
          <w:sz w:val="20"/>
        </w:rPr>
        <w:t>Access: full-profile. Locator: Organizing approach and grassroots leadership discussion. Secondary profile; linked oral histories were not examined.</w:t>
      </w:r>
    </w:p>
    <w:p>
      <w:pPr>
        <w:pStyle w:val="Heading1"/>
        <w:spacing w:before="160" w:after="60"/>
      </w:pPr>
      <w:r>
        <w:rPr>
          <w:sz w:val="21"/>
        </w:rPr>
        <w:t>S32</w:t>
      </w:r>
    </w:p>
    <w:p>
      <w:pPr>
        <w:keepNext/>
        <w:spacing w:after="60" w:line="240" w:lineRule="auto"/>
      </w:pPr>
      <w:r>
        <w:rPr>
          <w:sz w:val="20"/>
        </w:rPr>
        <w:t xml:space="preserve">King, Martin Luther, Jr. (1967). </w:t>
      </w:r>
      <w:r>
        <w:rPr>
          <w:b/>
          <w:sz w:val="20"/>
        </w:rPr>
        <w:t>Beyond Vietnam: A Time to Break Silence</w:t>
      </w:r>
      <w:r>
        <w:rPr>
          <w:sz w:val="20"/>
        </w:rPr>
        <w:t>. 4 April; Riverside Church; Civil Rights Movement Archive transcript.</w:t>
      </w:r>
    </w:p>
    <w:p>
      <w:pPr>
        <w:keepNext/>
        <w:spacing w:after="60" w:line="240" w:lineRule="auto"/>
      </w:pPr>
      <w:hyperlink r:id="rId55">
        <w:r>
          <w:rPr>
            <w:color w:val="000000"/>
            <w:u w:val="single"/>
          </w:rPr>
          <w:t>Source link</w:t>
        </w:r>
      </w:hyperlink>
    </w:p>
    <w:p>
      <w:pPr>
        <w:keepNext w:val="0"/>
        <w:spacing w:after="60" w:line="240" w:lineRule="auto"/>
      </w:pPr>
      <w:r>
        <w:rPr>
          <w:sz w:val="20"/>
        </w:rPr>
        <w:t>Access: full-transcript. Locator: Opening reasons; concluding discussion of values and global obligations. A speech establishes stated commitments, not the effects of that strategy.</w:t>
      </w:r>
    </w:p>
    <w:p>
      <w:pPr>
        <w:pStyle w:val="Heading1"/>
        <w:spacing w:before="160" w:after="60"/>
      </w:pPr>
      <w:r>
        <w:rPr>
          <w:sz w:val="21"/>
        </w:rPr>
        <w:t>S33</w:t>
      </w:r>
    </w:p>
    <w:p>
      <w:pPr>
        <w:keepNext/>
        <w:spacing w:after="60" w:line="240" w:lineRule="auto"/>
      </w:pPr>
      <w:r>
        <w:rPr>
          <w:sz w:val="20"/>
        </w:rPr>
        <w:t xml:space="preserve">Malcolm X (1964). </w:t>
      </w:r>
      <w:r>
        <w:rPr>
          <w:b/>
          <w:sz w:val="20"/>
        </w:rPr>
        <w:t>The Ballot or the Bullet</w:t>
      </w:r>
      <w:r>
        <w:rPr>
          <w:sz w:val="20"/>
        </w:rPr>
        <w:t>. April; transcript hosted by Ruhr University Bochum.</w:t>
      </w:r>
    </w:p>
    <w:p>
      <w:pPr>
        <w:keepNext/>
        <w:spacing w:after="60" w:line="240" w:lineRule="auto"/>
      </w:pPr>
      <w:hyperlink r:id="rId56">
        <w:r>
          <w:rPr>
            <w:color w:val="000000"/>
            <w:u w:val="single"/>
          </w:rPr>
          <w:t>Source link</w:t>
        </w:r>
      </w:hyperlink>
    </w:p>
    <w:p>
      <w:pPr>
        <w:keepNext w:val="0"/>
        <w:spacing w:after="60" w:line="240" w:lineRule="auto"/>
      </w:pPr>
      <w:r>
        <w:rPr>
          <w:sz w:val="20"/>
        </w:rPr>
        <w:t>Access: full-transcript. Locator: Community economy, voting, and human-rights passages. Multiple speech versions exist; no claim this captures every 1964 or later position.</w:t>
      </w:r>
    </w:p>
    <w:p>
      <w:pPr>
        <w:pStyle w:val="Heading1"/>
        <w:spacing w:before="160" w:after="60"/>
      </w:pPr>
      <w:r>
        <w:rPr>
          <w:sz w:val="21"/>
        </w:rPr>
        <w:t>S34</w:t>
      </w:r>
    </w:p>
    <w:p>
      <w:pPr>
        <w:keepNext/>
        <w:spacing w:after="60" w:line="240" w:lineRule="auto"/>
      </w:pPr>
      <w:r>
        <w:rPr>
          <w:sz w:val="20"/>
        </w:rPr>
        <w:t xml:space="preserve">Carens, Joseph H. (1987). </w:t>
      </w:r>
      <w:r>
        <w:rPr>
          <w:b/>
          <w:sz w:val="20"/>
        </w:rPr>
        <w:t>Aliens and Citizens: The Case for Open Borders</w:t>
      </w:r>
      <w:r>
        <w:rPr>
          <w:sz w:val="20"/>
        </w:rPr>
        <w:t>. The Review of Politics 49(2), 251–273.</w:t>
      </w:r>
    </w:p>
    <w:p>
      <w:pPr>
        <w:keepNext/>
        <w:spacing w:after="60" w:line="240" w:lineRule="auto"/>
      </w:pPr>
      <w:hyperlink r:id="rId57">
        <w:r>
          <w:rPr>
            <w:color w:val="000000"/>
            <w:u w:val="single"/>
          </w:rPr>
          <w:t>Source link</w:t>
        </w:r>
      </w:hyperlink>
      <w:r>
        <w:rPr>
          <w:sz w:val="20"/>
        </w:rPr>
        <w:t xml:space="preserve"> </w:t>
      </w:r>
      <w:hyperlink r:id="rId58">
        <w:r>
          <w:rPr>
            <w:color w:val="000000"/>
            <w:u w:val="single"/>
          </w:rPr>
          <w:t>DOI</w:t>
        </w:r>
      </w:hyperlink>
    </w:p>
    <w:p>
      <w:pPr>
        <w:keepNext w:val="0"/>
        <w:spacing w:after="60" w:line="240" w:lineRule="auto"/>
      </w:pPr>
      <w:r>
        <w:rPr>
          <w:sz w:val="20"/>
        </w:rPr>
        <w:t>Access: publisher-abstract. Locator: Abstract and bibliographic record. University PDF retrieval failed; no labor-market effect estimate follows from this normative abstract.</w:t>
      </w:r>
    </w:p>
    <w:p>
      <w:pPr>
        <w:pStyle w:val="Heading1"/>
        <w:spacing w:before="160" w:after="60"/>
      </w:pPr>
      <w:r>
        <w:rPr>
          <w:sz w:val="21"/>
        </w:rPr>
        <w:t>S35</w:t>
      </w:r>
    </w:p>
    <w:p>
      <w:pPr>
        <w:keepNext/>
        <w:spacing w:after="60" w:line="240" w:lineRule="auto"/>
      </w:pPr>
      <w:r>
        <w:rPr>
          <w:sz w:val="20"/>
        </w:rPr>
        <w:t xml:space="preserve">Du Bois, W. E. B. (1919). </w:t>
      </w:r>
      <w:r>
        <w:rPr>
          <w:b/>
          <w:sz w:val="20"/>
        </w:rPr>
        <w:t>The Pan-African Congress</w:t>
      </w:r>
      <w:r>
        <w:rPr>
          <w:sz w:val="20"/>
        </w:rPr>
        <w:t>. Cayton’s Weekly, 19 April; reproduced by World History Commons.</w:t>
      </w:r>
    </w:p>
    <w:p>
      <w:pPr>
        <w:keepNext/>
        <w:spacing w:after="60" w:line="240" w:lineRule="auto"/>
      </w:pPr>
      <w:hyperlink r:id="rId59">
        <w:r>
          <w:rPr>
            <w:color w:val="000000"/>
            <w:u w:val="single"/>
          </w:rPr>
          <w:t>Source link</w:t>
        </w:r>
      </w:hyperlink>
    </w:p>
    <w:p>
      <w:pPr>
        <w:keepNext w:val="0"/>
        <w:spacing w:after="60" w:line="240" w:lineRule="auto"/>
      </w:pPr>
      <w:r>
        <w:rPr>
          <w:sz w:val="20"/>
        </w:rPr>
        <w:t>Access: retrieved-transcription. Locator: Transcription of congress report. Not collated against newspaper image; hosting page has a Clayton/Cayton spelling inconsistency.</w:t>
      </w:r>
    </w:p>
    <w:sectPr w:rsidR="00FC693F" w:rsidRPr="0006063C" w:rsidSect="00034616">
      <w:headerReference w:type="default" r:id="rId9"/>
      <w:footerReference w:type="default" r:id="rId10"/>
      <w:pgSz w:w="12240" w:h="15840"/>
      <w:pgMar w:top="979"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Initial research version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SOLIDARITY AT SCALE  |  EVIDENCE AND POLITICAL DECISION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imes New Roman" w:hAnsi="Times New Roman"/>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diva-portal.org/smash/get/diva2:1738998/FULLTEXT01.pdf" TargetMode="External"/><Relationship Id="rId12" Type="http://schemas.openxmlformats.org/officeDocument/2006/relationships/hyperlink" Target="https://doi.org/10.1098/rsbl.2021.0158" TargetMode="External"/><Relationship Id="rId13" Type="http://schemas.openxmlformats.org/officeDocument/2006/relationships/hyperlink" Target="https://arxiv.org/abs/1604.02400" TargetMode="External"/><Relationship Id="rId14" Type="http://schemas.openxmlformats.org/officeDocument/2006/relationships/hyperlink" Target="https://pubmed.ncbi.nlm.nih.gov/25222635/" TargetMode="External"/><Relationship Id="rId15" Type="http://schemas.openxmlformats.org/officeDocument/2006/relationships/hyperlink" Target="https://doi.org/10.1037/a0037737" TargetMode="External"/><Relationship Id="rId16" Type="http://schemas.openxmlformats.org/officeDocument/2006/relationships/hyperlink" Target="https://pubmed.ncbi.nlm.nih.gov/18818361/" TargetMode="External"/><Relationship Id="rId17" Type="http://schemas.openxmlformats.org/officeDocument/2006/relationships/hyperlink" Target="https://doi.org/10.1126/science.1155805" TargetMode="External"/><Relationship Id="rId18" Type="http://schemas.openxmlformats.org/officeDocument/2006/relationships/hyperlink" Target="https://pubmed.ncbi.nlm.nih.gov/12374322/" TargetMode="External"/><Relationship Id="rId19" Type="http://schemas.openxmlformats.org/officeDocument/2006/relationships/hyperlink" Target="https://doi.org/10.1037/0033-295X.109.4.619" TargetMode="External"/><Relationship Id="rId20" Type="http://schemas.openxmlformats.org/officeDocument/2006/relationships/hyperlink" Target="https://journals.sagepub.com/doi/10.1177/1368430208098778" TargetMode="External"/><Relationship Id="rId21" Type="http://schemas.openxmlformats.org/officeDocument/2006/relationships/hyperlink" Target="https://doi.org/10.1177/1368430208098778" TargetMode="External"/><Relationship Id="rId22" Type="http://schemas.openxmlformats.org/officeDocument/2006/relationships/hyperlink" Target="https://web.mit.edu/posner/www/papers/HHPW.pdf" TargetMode="External"/><Relationship Id="rId23" Type="http://schemas.openxmlformats.org/officeDocument/2006/relationships/hyperlink" Target="https://doi.org/10.1017/S0003055407070499" TargetMode="External"/><Relationship Id="rId24" Type="http://schemas.openxmlformats.org/officeDocument/2006/relationships/hyperlink" Target="https://poverty-action.org/sites/default/files/publications/Building-social-cohesion-between-Christians-and-Muslims-through-soccer-in-post-ISIS-Iraq.pdf" TargetMode="External"/><Relationship Id="rId25" Type="http://schemas.openxmlformats.org/officeDocument/2006/relationships/hyperlink" Target="https://doi.org/10.1126/science.abb3153" TargetMode="External"/><Relationship Id="rId26" Type="http://schemas.openxmlformats.org/officeDocument/2006/relationships/hyperlink" Target="https://topcat.aeaweb.org/articles?id=10.1257/aer.20191780" TargetMode="External"/><Relationship Id="rId27" Type="http://schemas.openxmlformats.org/officeDocument/2006/relationships/hyperlink" Target="https://doi.org/10.1257/aer.20191780" TargetMode="External"/><Relationship Id="rId28" Type="http://schemas.openxmlformats.org/officeDocument/2006/relationships/hyperlink" Target="https://www.cambridge.org/core/journals/behavioural-public-policy/article/contact-hypothesis-reevaluated/142C913E7FA9E121277B29E994124EC5" TargetMode="External"/><Relationship Id="rId29" Type="http://schemas.openxmlformats.org/officeDocument/2006/relationships/hyperlink" Target="https://doi.org/10.1017/bpp.2018.25" TargetMode="External"/><Relationship Id="rId30" Type="http://schemas.openxmlformats.org/officeDocument/2006/relationships/hyperlink" Target="https://emiguel.econ.berkeley.edu/assets/miguel_research/8/_Paper__Reshaping_Institutions_-_Evidence__on__Aid__Impacts__Using__a__Pre___Analysis__Plan.pdf" TargetMode="External"/><Relationship Id="rId31" Type="http://schemas.openxmlformats.org/officeDocument/2006/relationships/hyperlink" Target="https://doi.org/10.1093/qje/qje027" TargetMode="External"/><Relationship Id="rId32" Type="http://schemas.openxmlformats.org/officeDocument/2006/relationships/hyperlink" Target="https://emiguel.econ.berkeley.edu/wordpress/wp-content/uploads/2021/03/Paper__Collective__Action_in_Diverse_Sierra_Leone_Communities.pdf" TargetMode="External"/><Relationship Id="rId33" Type="http://schemas.openxmlformats.org/officeDocument/2006/relationships/hyperlink" Target="https://dlc.dlib.indiana.edu/dlc/bitstreams/0a7a52e6-8cf0-42c3-ae20-776095e6fd1d/download" TargetMode="External"/><Relationship Id="rId34" Type="http://schemas.openxmlformats.org/officeDocument/2006/relationships/hyperlink" Target="https://www.d.umn.edu/cla/faculty/jhamlin/4111/Durkheim%20-%20Division%20of%20Labor_files/Durkheim%20-%20Division%20of%20Labor.htm" TargetMode="External"/><Relationship Id="rId35" Type="http://schemas.openxmlformats.org/officeDocument/2006/relationships/hyperlink" Target="https://teachingamericanhistory.org/document/atlanta-exposition-address/" TargetMode="External"/><Relationship Id="rId36" Type="http://schemas.openxmlformats.org/officeDocument/2006/relationships/hyperlink" Target="https://www.gutenberg.org/files/408/408-h/408-h.htm" TargetMode="External"/><Relationship Id="rId37" Type="http://schemas.openxmlformats.org/officeDocument/2006/relationships/hyperlink" Target="https://www.icit-digital.org/articles/malcolm-x-s-speech-at-the-oaau-founding-rally-june-28-1964" TargetMode="External"/><Relationship Id="rId38" Type="http://schemas.openxmlformats.org/officeDocument/2006/relationships/hyperlink" Target="https://kinginstitute.stanford.edu/poor-peoples-campaign" TargetMode="External"/><Relationship Id="rId39" Type="http://schemas.openxmlformats.org/officeDocument/2006/relationships/hyperlink" Target="https://www.versobooks.com/blogs/news/2866-the-combahee-river-collective-statement" TargetMode="External"/><Relationship Id="rId40" Type="http://schemas.openxmlformats.org/officeDocument/2006/relationships/hyperlink" Target="https://avalon.law.yale.edu/20th_century/balfour.asp" TargetMode="External"/><Relationship Id="rId41" Type="http://schemas.openxmlformats.org/officeDocument/2006/relationships/hyperlink" Target="https://www.marxists.org/subject/africa/nkrumah/neo-colonialism/ch02.htm" TargetMode="External"/><Relationship Id="rId42" Type="http://schemas.openxmlformats.org/officeDocument/2006/relationships/hyperlink" Target="https://www.buffalo.edu/ubnow/stories/2024/02/jackson-toasts.html" TargetMode="External"/><Relationship Id="rId43" Type="http://schemas.openxmlformats.org/officeDocument/2006/relationships/hyperlink" Target="https://time.com/5711219/dolemite-is-my-name-rudy-ray-moore-legacy/" TargetMode="External"/><Relationship Id="rId44" Type="http://schemas.openxmlformats.org/officeDocument/2006/relationships/hyperlink" Target="https://nonsite.org/afropessimism-or-black-studies-as-a-class-project/" TargetMode="External"/><Relationship Id="rId45" Type="http://schemas.openxmlformats.org/officeDocument/2006/relationships/hyperlink" Target="https://next.haymarketbooks.org/books/1850-elite-capture" TargetMode="External"/><Relationship Id="rId46" Type="http://schemas.openxmlformats.org/officeDocument/2006/relationships/hyperlink" Target="https://preposterousuniverse.com/podcast/2020/02/10/83-kwame-anthony-appiah-on-identity-stories-and-cosmopolitanism/" TargetMode="External"/><Relationship Id="rId47" Type="http://schemas.openxmlformats.org/officeDocument/2006/relationships/hyperlink" Target="https://lwantche.scholar.princeton.edu/publications/slave-trade-and-origins-mistrust-africa" TargetMode="External"/><Relationship Id="rId48" Type="http://schemas.openxmlformats.org/officeDocument/2006/relationships/hyperlink" Target="https://doi.org/10.1257/aer.101.7.3221" TargetMode="External"/><Relationship Id="rId49" Type="http://schemas.openxmlformats.org/officeDocument/2006/relationships/hyperlink" Target="https://journals.sagepub.com/doi/10.1207/S15327957PSPR0602_01" TargetMode="External"/><Relationship Id="rId50" Type="http://schemas.openxmlformats.org/officeDocument/2006/relationships/hyperlink" Target="https://doi.org/10.1207/S15327957PSPR0602_01" TargetMode="External"/><Relationship Id="rId51" Type="http://schemas.openxmlformats.org/officeDocument/2006/relationships/hyperlink" Target="https://assets.press.princeton.edu/chapters/i13336.pdf" TargetMode="External"/><Relationship Id="rId52" Type="http://schemas.openxmlformats.org/officeDocument/2006/relationships/hyperlink" Target="https://doi.org/10.1515/9780691184340" TargetMode="External"/><Relationship Id="rId53" Type="http://schemas.openxmlformats.org/officeDocument/2006/relationships/hyperlink" Target="https://newleftreview.org/issues/i212/articles/nancy-fraser-from-redistribution-to-recognition-dilemmas-of-justice-in-a-post-socialist-age.pdf" TargetMode="External"/><Relationship Id="rId54" Type="http://schemas.openxmlformats.org/officeDocument/2006/relationships/hyperlink" Target="https://snccdigital.org/people/ella-baker/" TargetMode="External"/><Relationship Id="rId55" Type="http://schemas.openxmlformats.org/officeDocument/2006/relationships/hyperlink" Target="https://www.crmvet.org/docs/mlk-viet.htm" TargetMode="External"/><Relationship Id="rId56" Type="http://schemas.openxmlformats.org/officeDocument/2006/relationships/hyperlink" Target="https://www.ruhr-uni-bochum.de/gna/Quellensammlung/10/10_malcolmxballotorthebullet_1964.html" TargetMode="External"/><Relationship Id="rId57" Type="http://schemas.openxmlformats.org/officeDocument/2006/relationships/hyperlink" Target="https://www.cambridge.org/core/journals/review-of-politics/article/abs/aliens-and-citizens-the-case-for-open-borders/5B0946DEB5203B576657C506C58F0FD6" TargetMode="External"/><Relationship Id="rId58" Type="http://schemas.openxmlformats.org/officeDocument/2006/relationships/hyperlink" Target="https://doi.org/10.1017/S0034670500033817" TargetMode="External"/><Relationship Id="rId59" Type="http://schemas.openxmlformats.org/officeDocument/2006/relationships/hyperlink" Target="https://worldhistorycommons.org/web-dubois-details-1919-pan-african-congress-newspaper-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Solidarity at scale: Evidence and political decision report</dc:title>
  <dc:subject>Identity, collective action, political institutions, and scoped Lean models</dc:subject>
  <dc:creator>Codex research assistance for Nolan Downard</dc:creator>
  <cp:keywords/>
  <dc:description>generated by python-docx</dc:description>
  <cp:lastModifiedBy/>
  <cp:revision>1</cp:revision>
  <dcterms:created xsi:type="dcterms:W3CDTF">2013-12-23T23:15:00Z</dcterms:created>
  <dcterms:modified xsi:type="dcterms:W3CDTF">2013-12-23T23:15:00Z</dcterms:modified>
  <cp:category/>
</cp:coreProperties>
</file>