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2E74B5"/>
            <w:tcMar>
              <w:top w:w="100" w:type="dxa"/>
              <w:start w:w="120" w:type="dxa"/>
              <w:bottom w:w="100" w:type="dxa"/>
              <w:end w:w="120" w:type="dxa"/>
            </w:tcMar>
          </w:tcPr>
          <w:p>
            <w:pPr>
              <w:pStyle w:val="StatusBanner"/>
            </w:pPr>
            <w:r>
              <w:rPr>
                <w:rFonts w:ascii="Calibri" w:hAnsi="Calibri"/>
                <w:b/>
                <w:color w:val="FFFFFF"/>
                <w:sz w:val="17"/>
              </w:rPr>
              <w:t>PHASE 0 CONCEPT  •  VOLUNTARY  •  NON-SWORN  •  NO NOTARY  •  NOT LAUNCH-CLEARED</w:t>
            </w:r>
          </w:p>
        </w:tc>
      </w:tr>
    </w:tbl>
    <w:p>
      <w:pPr>
        <w:spacing w:before="920" w:after="160"/>
        <w:jc w:val="center"/>
      </w:pPr>
      <w:r>
        <w:rPr>
          <w:rFonts w:ascii="Calibri" w:hAnsi="Calibri"/>
          <w:b/>
          <w:color w:val="5B6573"/>
          <w:sz w:val="24"/>
        </w:rPr>
        <w:t>DGG CLAIM RECORD</w:t>
      </w:r>
    </w:p>
    <w:p>
      <w:pPr>
        <w:spacing w:after="80"/>
        <w:jc w:val="center"/>
      </w:pPr>
      <w:r>
        <w:rPr>
          <w:rFonts w:ascii="Calibri" w:hAnsi="Calibri"/>
          <w:b/>
          <w:color w:val="1F2933"/>
          <w:sz w:val="54"/>
        </w:rPr>
        <w:t>Your Words. Your Sources. One Record.</w:t>
      </w:r>
    </w:p>
    <w:p>
      <w:pPr>
        <w:spacing w:after="520"/>
        <w:jc w:val="center"/>
      </w:pPr>
      <w:r>
        <w:rPr>
          <w:rFonts w:ascii="Calibri" w:hAnsi="Calibri"/>
          <w:color w:val="5B6573"/>
          <w:sz w:val="28"/>
        </w:rPr>
        <w:t>A non-sworn political-reporting concept built around clarity, evidence, and correction—not punishment</w:t>
      </w:r>
    </w:p>
    <w:tbl>
      <w:tblPr>
        <w:tblW w:type="auto" w:w="0"/>
        <w:jc w:val="center"/>
        <w:tblLayout w:type="fixed"/>
        <w:tblLook w:firstColumn="1" w:firstRow="1" w:lastColumn="0" w:lastRow="0" w:noHBand="0" w:noVBand="1" w:val="04A0"/>
      </w:tblPr>
      <w:tblGrid>
        <w:gridCol w:w="4680"/>
        <w:gridCol w:w="4680"/>
      </w:tblGrid>
      <w:tr>
        <w:tc>
          <w:tcPr>
            <w:tcW w:type="dxa" w:w="2088"/>
            <w:shd w:fill="F4F6F9"/>
            <w:tcMar>
              <w:top w:w="90" w:type="dxa"/>
              <w:start w:w="120" w:type="dxa"/>
              <w:bottom w:w="90" w:type="dxa"/>
              <w:end w:w="120" w:type="dxa"/>
            </w:tcMar>
            <w:vAlign w:val="center"/>
          </w:tcPr>
          <w:p>
            <w:r>
              <w:rPr>
                <w:rFonts w:ascii="Calibri" w:hAnsi="Calibri"/>
                <w:b/>
                <w:color w:val="5B6573"/>
                <w:sz w:val="17"/>
              </w:rPr>
              <w:t>PREPARED FOR</w:t>
            </w:r>
          </w:p>
        </w:tc>
        <w:tc>
          <w:tcPr>
            <w:tcW w:type="dxa" w:w="7272"/>
            <w:tcMar>
              <w:top w:w="90" w:type="dxa"/>
              <w:start w:w="120" w:type="dxa"/>
              <w:bottom w:w="90" w:type="dxa"/>
              <w:end w:w="120" w:type="dxa"/>
            </w:tcMar>
            <w:vAlign w:val="center"/>
          </w:tcPr>
          <w:p>
            <w:r>
              <w:rPr>
                <w:rFonts w:ascii="Calibri" w:hAnsi="Calibri"/>
                <w:color w:val="1F2933"/>
                <w:sz w:val="21"/>
              </w:rPr>
              <w:t>DGG / a reporting project like Ground Game</w:t>
            </w:r>
          </w:p>
        </w:tc>
      </w:tr>
      <w:tr>
        <w:tc>
          <w:tcPr>
            <w:tcW w:type="dxa" w:w="2088"/>
            <w:shd w:fill="F4F6F9"/>
            <w:tcMar>
              <w:top w:w="90" w:type="dxa"/>
              <w:start w:w="120" w:type="dxa"/>
              <w:bottom w:w="90" w:type="dxa"/>
              <w:end w:w="120" w:type="dxa"/>
            </w:tcMar>
            <w:vAlign w:val="center"/>
          </w:tcPr>
          <w:p>
            <w:r>
              <w:rPr>
                <w:rFonts w:ascii="Calibri" w:hAnsi="Calibri"/>
                <w:b/>
                <w:color w:val="5B6573"/>
                <w:sz w:val="17"/>
              </w:rPr>
              <w:t>CONTROL DATE</w:t>
            </w:r>
          </w:p>
        </w:tc>
        <w:tc>
          <w:tcPr>
            <w:tcW w:type="dxa" w:w="7272"/>
            <w:tcMar>
              <w:top w:w="90" w:type="dxa"/>
              <w:start w:w="120" w:type="dxa"/>
              <w:bottom w:w="90" w:type="dxa"/>
              <w:end w:w="120" w:type="dxa"/>
            </w:tcMar>
            <w:vAlign w:val="center"/>
          </w:tcPr>
          <w:p>
            <w:r>
              <w:rPr>
                <w:rFonts w:ascii="Calibri" w:hAnsi="Calibri"/>
                <w:color w:val="1F2933"/>
                <w:sz w:val="21"/>
              </w:rPr>
              <w:t>August 30, 2026</w:t>
            </w:r>
          </w:p>
        </w:tc>
      </w:tr>
      <w:tr>
        <w:tc>
          <w:tcPr>
            <w:tcW w:type="dxa" w:w="2088"/>
            <w:shd w:fill="F4F6F9"/>
            <w:tcMar>
              <w:top w:w="90" w:type="dxa"/>
              <w:start w:w="120" w:type="dxa"/>
              <w:bottom w:w="90" w:type="dxa"/>
              <w:end w:w="120" w:type="dxa"/>
            </w:tcMar>
            <w:vAlign w:val="center"/>
          </w:tcPr>
          <w:p>
            <w:r>
              <w:rPr>
                <w:rFonts w:ascii="Calibri" w:hAnsi="Calibri"/>
                <w:b/>
                <w:color w:val="5B6573"/>
                <w:sz w:val="17"/>
              </w:rPr>
              <w:t>CURRENT AUTHORITY</w:t>
            </w:r>
          </w:p>
        </w:tc>
        <w:tc>
          <w:tcPr>
            <w:tcW w:type="dxa" w:w="7272"/>
            <w:tcMar>
              <w:top w:w="90" w:type="dxa"/>
              <w:start w:w="120" w:type="dxa"/>
              <w:bottom w:w="90" w:type="dxa"/>
              <w:end w:w="120" w:type="dxa"/>
            </w:tcMar>
            <w:vAlign w:val="center"/>
          </w:tcPr>
          <w:p>
            <w:r>
              <w:rPr>
                <w:rFonts w:ascii="Calibri" w:hAnsi="Calibri"/>
                <w:color w:val="1F2933"/>
                <w:sz w:val="21"/>
              </w:rPr>
              <w:t>Synthetic and tabletop review only</w:t>
            </w:r>
          </w:p>
        </w:tc>
      </w:tr>
      <w:tr>
        <w:tc>
          <w:tcPr>
            <w:tcW w:type="dxa" w:w="2088"/>
            <w:shd w:fill="F4F6F9"/>
            <w:tcMar>
              <w:top w:w="90" w:type="dxa"/>
              <w:start w:w="120" w:type="dxa"/>
              <w:bottom w:w="90" w:type="dxa"/>
              <w:end w:w="120" w:type="dxa"/>
            </w:tcMar>
            <w:vAlign w:val="center"/>
          </w:tcPr>
          <w:p>
            <w:r>
              <w:rPr>
                <w:rFonts w:ascii="Calibri" w:hAnsi="Calibri"/>
                <w:b/>
                <w:color w:val="5B6573"/>
                <w:sz w:val="17"/>
              </w:rPr>
              <w:t>CORE BOUNDARY</w:t>
            </w:r>
          </w:p>
        </w:tc>
        <w:tc>
          <w:tcPr>
            <w:tcW w:type="dxa" w:w="7272"/>
            <w:tcMar>
              <w:top w:w="90" w:type="dxa"/>
              <w:start w:w="120" w:type="dxa"/>
              <w:bottom w:w="90" w:type="dxa"/>
              <w:end w:w="120" w:type="dxa"/>
            </w:tcMar>
            <w:vAlign w:val="center"/>
          </w:tcPr>
          <w:p>
            <w:r>
              <w:rPr>
                <w:rFonts w:ascii="Calibri" w:hAnsi="Calibri"/>
                <w:color w:val="1F2933"/>
                <w:sz w:val="21"/>
              </w:rPr>
              <w:t>No oath • No notary • No penalty clause • No government filing</w:t>
            </w:r>
          </w:p>
        </w:tc>
      </w:tr>
    </w:tbl>
    <w:p>
      <w:pPr>
        <w:spacing w:after="160"/>
      </w:pPr>
    </w:p>
    <w:tbl>
      <w:tblPr>
        <w:tblW w:type="auto" w:w="0"/>
        <w:jc w:val="center"/>
        <w:tblLayout w:type="autofit"/>
        <w:tblLook w:firstColumn="1" w:firstRow="1" w:lastColumn="0" w:lastRow="0" w:noHBand="0" w:noVBand="1" w:val="04A0"/>
      </w:tblPr>
      <w:tblGrid>
        <w:gridCol w:w="9360"/>
      </w:tblGrid>
      <w:tr>
        <w:trPr>
          <w:cantSplit/>
        </w:trPr>
        <w:tc>
          <w:tcPr>
            <w:tcW w:type="dxa" w:w="9360"/>
            <w:shd w:fill="FFF5D6"/>
            <w:tcMar>
              <w:top w:w="140" w:type="dxa"/>
              <w:start w:w="180" w:type="dxa"/>
              <w:bottom w:w="140" w:type="dxa"/>
              <w:end w:w="180" w:type="dxa"/>
            </w:tcMar>
            <w:tcBorders>
              <w:left w:val="single" w:sz="16" w:color="D6A700"/>
            </w:tcBorders>
          </w:tcPr>
          <w:p>
            <w:pPr>
              <w:spacing w:after="0"/>
              <w:jc w:val="left"/>
            </w:pPr>
            <w:r>
              <w:rPr>
                <w:rFonts w:ascii="Calibri" w:hAnsi="Calibri"/>
                <w:b/>
                <w:color w:val="1F2933"/>
                <w:sz w:val="28"/>
              </w:rPr>
              <w:t>The record is the product. Punishment is not.</w:t>
            </w:r>
          </w:p>
        </w:tc>
      </w:tr>
    </w:tbl>
    <w:p>
      <w:pPr>
        <w:spacing w:after="40"/>
      </w:pPr>
    </w:p>
    <w:p>
      <w:pPr>
        <w:spacing w:before="240" w:after="0"/>
        <w:jc w:val="center"/>
      </w:pPr>
      <w:r>
        <w:rPr>
          <w:rFonts w:ascii="Calibri" w:hAnsi="Calibri"/>
          <w:i/>
          <w:color w:val="6B7280"/>
          <w:sz w:val="19"/>
        </w:rPr>
        <w:t>Research and design proposal—not legal advice, an operational form, or launch clearance</w:t>
      </w:r>
      <w:r>
        <w:br w:type="page"/>
      </w:r>
    </w:p>
    <w:p>
      <w:pPr>
        <w:pStyle w:val="Heading1"/>
        <w:spacing w:before="0"/>
      </w:pPr>
      <w:r>
        <w:t>Suggested message to send with this packet</w:t>
      </w:r>
    </w:p>
    <w:tbl>
      <w:tblPr>
        <w:tblW w:type="auto" w:w="0"/>
        <w:jc w:val="center"/>
        <w:tblLook w:firstColumn="1" w:firstRow="1" w:lastColumn="0" w:lastRow="0" w:noHBand="0" w:noVBand="1" w:val="04A0"/>
      </w:tblPr>
      <w:tblGrid>
        <w:gridCol w:w="9360"/>
      </w:tblGrid>
      <w:tr>
        <w:tc>
          <w:tcPr>
            <w:tcW w:type="dxa" w:w="9360"/>
            <w:shd w:fill="F4F6F9"/>
            <w:tcMar>
              <w:top w:w="180" w:type="dxa"/>
              <w:start w:w="220" w:type="dxa"/>
              <w:bottom w:w="180" w:type="dxa"/>
              <w:end w:w="220" w:type="dxa"/>
            </w:tcMar>
          </w:tcPr>
          <w:p>
            <w:pPr>
              <w:spacing w:after="280"/>
            </w:pPr>
            <w:r>
              <w:rPr>
                <w:rFonts w:ascii="Calibri" w:hAnsi="Calibri"/>
                <w:b/>
                <w:color w:val="1F2933"/>
                <w:sz w:val="22"/>
              </w:rPr>
              <w:t>Subject:</w:t>
            </w:r>
            <w:r>
              <w:rPr>
                <w:rFonts w:ascii="Calibri" w:hAnsi="Calibri"/>
                <w:color w:val="1F2933"/>
                <w:sz w:val="22"/>
              </w:rPr>
              <w:t xml:space="preserve"> A non-sworn way to make political answers easier to inspect</w:t>
            </w:r>
          </w:p>
          <w:p>
            <w:pPr>
              <w:spacing w:after="180"/>
              <w:jc w:val="left"/>
            </w:pPr>
            <w:r>
              <w:rPr>
                <w:rFonts w:ascii="Calibri" w:hAnsi="Calibri"/>
                <w:color w:val="1F2933"/>
                <w:sz w:val="21"/>
              </w:rPr>
              <w:t>Hi DGG team,</w:t>
            </w:r>
          </w:p>
          <w:p>
            <w:pPr>
              <w:spacing w:after="180"/>
              <w:jc w:val="left"/>
            </w:pPr>
            <w:r>
              <w:rPr>
                <w:rFonts w:ascii="Calibri" w:hAnsi="Calibri"/>
                <w:color w:val="1F2933"/>
                <w:sz w:val="21"/>
              </w:rPr>
              <w:t>I have been working through an idea that I thought might be interesting for a show like Ground Game.</w:t>
            </w:r>
          </w:p>
          <w:p>
            <w:pPr>
              <w:spacing w:after="180"/>
              <w:jc w:val="left"/>
            </w:pPr>
            <w:r>
              <w:rPr>
                <w:rFonts w:ascii="Calibri" w:hAnsi="Calibri"/>
                <w:color w:val="1F2933"/>
                <w:sz w:val="21"/>
              </w:rPr>
              <w:t>The question I kept coming back to was: can you give a political figure a meaningful way to show how much they trust their own answer without asking them to put themselves in legal danger?</w:t>
            </w:r>
          </w:p>
          <w:p>
            <w:pPr>
              <w:spacing w:after="180"/>
              <w:jc w:val="left"/>
            </w:pPr>
            <w:r>
              <w:rPr>
                <w:rFonts w:ascii="Calibri" w:hAnsi="Calibri"/>
                <w:color w:val="1F2933"/>
                <w:sz w:val="21"/>
              </w:rPr>
              <w:t>My first version leaned too heavily on sworn statements. The more I studied that approach, the clearer it became that the threat could overpower the point. If someone is thinking about perjury, arrest, or prosecution, then the format stops being about honest communication and starts feeling like a trap.</w:t>
            </w:r>
          </w:p>
          <w:p>
            <w:pPr>
              <w:spacing w:after="180"/>
              <w:jc w:val="left"/>
            </w:pPr>
            <w:r>
              <w:rPr>
                <w:rFonts w:ascii="Calibri" w:hAnsi="Calibri"/>
                <w:color w:val="1F2933"/>
                <w:sz w:val="21"/>
              </w:rPr>
              <w:t xml:space="preserve">So the current idea is deliberately </w:t>
            </w:r>
            <w:r>
              <w:rPr>
                <w:rFonts w:ascii="Calibri" w:hAnsi="Calibri"/>
                <w:b/>
                <w:color w:val="1F2933"/>
                <w:sz w:val="21"/>
              </w:rPr>
              <w:t>non-sworn</w:t>
            </w:r>
            <w:r>
              <w:rPr>
                <w:rFonts w:ascii="Calibri" w:hAnsi="Calibri"/>
                <w:color w:val="1F2933"/>
                <w:sz w:val="21"/>
              </w:rPr>
              <w:t xml:space="preserve">. There is no oath, no notary, no statement under penalty of perjury, no truth score, and no suggestion that the show is certifying anyone as honest. It is a carefully preserved </w:t>
            </w:r>
            <w:r>
              <w:rPr>
                <w:rFonts w:ascii="Calibri" w:hAnsi="Calibri"/>
                <w:b/>
                <w:color w:val="1F2933"/>
                <w:sz w:val="21"/>
              </w:rPr>
              <w:t>Claim Record</w:t>
            </w:r>
            <w:r>
              <w:rPr>
                <w:rFonts w:ascii="Calibri" w:hAnsi="Calibri"/>
                <w:color w:val="1F2933"/>
                <w:sz w:val="21"/>
              </w:rPr>
              <w:t>: one exact question, the person’s exact answer, what they relied on, the limits they want kept with the answer, the evidence DGG located, and a visible correction history if the answer later changes.</w:t>
            </w:r>
          </w:p>
          <w:p>
            <w:pPr>
              <w:spacing w:after="180"/>
              <w:jc w:val="left"/>
            </w:pPr>
            <w:r>
              <w:rPr>
                <w:rFonts w:ascii="Calibri" w:hAnsi="Calibri"/>
                <w:color w:val="1F2933"/>
                <w:sz w:val="21"/>
              </w:rPr>
              <w:t>I am not a lawyer, and I am not presenting this as legally cleared or ready for real participants. I have done enough research to make the idea concrete, but not enough to pretend every professional question has been answered. My hope is that the attached design makes it easy for people who know more than I do to say exactly what works, what does not, and what would need to be tested.</w:t>
            </w:r>
          </w:p>
          <w:p>
            <w:pPr>
              <w:spacing w:after="180"/>
              <w:jc w:val="left"/>
            </w:pPr>
            <w:r>
              <w:rPr>
                <w:rFonts w:ascii="Calibri" w:hAnsi="Calibri"/>
                <w:color w:val="1F2933"/>
                <w:sz w:val="21"/>
              </w:rPr>
              <w:t>I thought it might be useful to DGG because it could create a different kind of political interview. The invitation would not be, “Prove you are honest by accepting a threat.” It would be, “If you trust this answer, here is a fair way to put your exact words, sources, and limits together so people can inspect them.”</w:t>
            </w:r>
          </w:p>
          <w:p>
            <w:pPr>
              <w:spacing w:after="180"/>
              <w:jc w:val="left"/>
            </w:pPr>
            <w:r>
              <w:rPr>
                <w:rFonts w:ascii="Calibri" w:hAnsi="Calibri"/>
                <w:color w:val="1F2933"/>
                <w:sz w:val="21"/>
              </w:rPr>
              <w:t>The simplest version of the idea is:</w:t>
            </w:r>
          </w:p>
          <w:p>
            <w:pPr>
              <w:spacing w:after="180"/>
              <w:jc w:val="left"/>
            </w:pPr>
            <w:r>
              <w:rPr>
                <w:rFonts w:ascii="Calibri" w:hAnsi="Calibri"/>
                <w:b/>
                <w:color w:val="1F2933"/>
                <w:sz w:val="21"/>
              </w:rPr>
              <w:t>Your words. Your sources. One record.</w:t>
            </w:r>
          </w:p>
          <w:p>
            <w:pPr>
              <w:spacing w:after="180"/>
              <w:jc w:val="left"/>
            </w:pPr>
            <w:r>
              <w:rPr>
                <w:rFonts w:ascii="Calibri" w:hAnsi="Calibri"/>
                <w:color w:val="1F2933"/>
                <w:sz w:val="21"/>
              </w:rPr>
              <w:t>If this sounds interesting at all, I would be glad simply to hear what you think.</w:t>
            </w:r>
          </w:p>
          <w:p>
            <w:pPr>
              <w:spacing w:after="180"/>
              <w:jc w:val="left"/>
            </w:pPr>
            <w:r>
              <w:rPr>
                <w:rFonts w:ascii="Calibri" w:hAnsi="Calibri"/>
                <w:color w:val="1F2933"/>
                <w:sz w:val="21"/>
              </w:rPr>
              <w:t>Best,</w:t>
            </w:r>
          </w:p>
          <w:p>
            <w:pPr>
              <w:spacing w:after="180"/>
              <w:jc w:val="left"/>
            </w:pPr>
            <w:r>
              <w:rPr>
                <w:rFonts w:ascii="Calibri" w:hAnsi="Calibri"/>
                <w:color w:val="1F2933"/>
                <w:sz w:val="21"/>
              </w:rPr>
              <w:t>Nolan</w:t>
            </w:r>
          </w:p>
        </w:tc>
      </w:tr>
    </w:tbl>
    <w:p>
      <w:pPr>
        <w:spacing w:before="160"/>
        <w:jc w:val="left"/>
      </w:pPr>
      <w:r>
        <w:rPr>
          <w:rFonts w:ascii="Calibri" w:hAnsi="Calibri"/>
          <w:b/>
          <w:color w:val="6B7280"/>
          <w:sz w:val="18"/>
        </w:rPr>
        <w:t xml:space="preserve">Use note: </w:t>
      </w:r>
      <w:r>
        <w:rPr>
          <w:rFonts w:ascii="Calibri" w:hAnsi="Calibri"/>
          <w:i/>
          <w:color w:val="6B7280"/>
          <w:sz w:val="18"/>
        </w:rPr>
        <w:t>This note deliberately says the idea is unfinished and non-sworn. That honesty is part of the safety design, not a weakness in the pitch.</w:t>
      </w:r>
      <w:r>
        <w:br w:type="page"/>
      </w:r>
    </w:p>
    <w:p>
      <w:pPr>
        <w:pStyle w:val="Heading1"/>
      </w:pPr>
      <w:r>
        <w:t>Reader map</w:t>
      </w:r>
    </w:p>
    <w:p>
      <w:r>
        <w:rPr>
          <w:rFonts w:ascii="Calibri" w:hAnsi="Calibri"/>
          <w:color w:val="1F2933"/>
          <w:sz w:val="22"/>
        </w:rPr>
        <w:t>This packet is written for a first DGG conversation. It explains the idea, its mechanics, the participant offer, the legal boundaries, the research still needed, and the conditions that stop the project.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120"/>
            <w:shd w:fill="2E74B5"/>
            <w:tcMar>
              <w:top w:w="80" w:type="dxa"/>
              <w:start w:w="120" w:type="dxa"/>
              <w:bottom w:w="80" w:type="dxa"/>
              <w:end w:w="120" w:type="dxa"/>
            </w:tcMar>
          </w:tcPr>
          <w:p>
            <w:r>
              <w:rPr>
                <w:rFonts w:ascii="Calibri" w:hAnsi="Calibri"/>
                <w:b/>
                <w:color w:val="FFFFFF"/>
                <w:sz w:val="19"/>
              </w:rPr>
              <w:t>Lane</w:t>
            </w:r>
          </w:p>
        </w:tc>
        <w:tc>
          <w:tcPr>
            <w:tcW w:type="dxa" w:w="3120"/>
            <w:shd w:fill="2E74B5"/>
            <w:tcMar>
              <w:top w:w="80" w:type="dxa"/>
              <w:start w:w="120" w:type="dxa"/>
              <w:bottom w:w="80" w:type="dxa"/>
              <w:end w:w="120" w:type="dxa"/>
            </w:tcMar>
          </w:tcPr>
          <w:p>
            <w:r>
              <w:rPr>
                <w:rFonts w:ascii="Calibri" w:hAnsi="Calibri"/>
                <w:b/>
                <w:color w:val="FFFFFF"/>
                <w:sz w:val="19"/>
              </w:rPr>
              <w:t>Where</w:t>
            </w:r>
          </w:p>
        </w:tc>
        <w:tc>
          <w:tcPr>
            <w:tcW w:type="dxa" w:w="3120"/>
            <w:shd w:fill="2E74B5"/>
            <w:tcMar>
              <w:top w:w="80" w:type="dxa"/>
              <w:start w:w="120" w:type="dxa"/>
              <w:bottom w:w="80" w:type="dxa"/>
              <w:end w:w="120" w:type="dxa"/>
            </w:tcMar>
          </w:tcPr>
          <w:p>
            <w:r>
              <w:rPr>
                <w:rFonts w:ascii="Calibri" w:hAnsi="Calibri"/>
                <w:b/>
                <w:color w:val="FFFFFF"/>
                <w:sz w:val="19"/>
              </w:rPr>
              <w:t>What it answers</w:t>
            </w:r>
          </w:p>
        </w:tc>
      </w:tr>
      <w:tr>
        <w:trPr>
          <w:cantSplit/>
        </w:trPr>
        <w:tc>
          <w:tcPr>
            <w:tcW w:type="dxa" w:w="3120"/>
            <w:tcMar>
              <w:top w:w="80" w:type="dxa"/>
              <w:start w:w="120" w:type="dxa"/>
              <w:bottom w:w="80" w:type="dxa"/>
              <w:end w:w="120" w:type="dxa"/>
            </w:tcMar>
          </w:tcPr>
          <w:p>
            <w:r>
              <w:rPr>
                <w:rFonts w:ascii="Calibri" w:hAnsi="Calibri"/>
                <w:b/>
                <w:color w:val="1F2933"/>
                <w:sz w:val="19"/>
              </w:rPr>
              <w:t>THE IDEA</w:t>
            </w:r>
          </w:p>
        </w:tc>
        <w:tc>
          <w:tcPr>
            <w:tcW w:type="dxa" w:w="3120"/>
            <w:tcMar>
              <w:top w:w="80" w:type="dxa"/>
              <w:start w:w="120" w:type="dxa"/>
              <w:bottom w:w="80" w:type="dxa"/>
              <w:end w:w="120" w:type="dxa"/>
            </w:tcMar>
          </w:tcPr>
          <w:p>
            <w:r>
              <w:rPr>
                <w:rFonts w:ascii="Calibri" w:hAnsi="Calibri"/>
                <w:color w:val="1F2933"/>
                <w:sz w:val="19"/>
              </w:rPr>
              <w:t>Sections 1–6</w:t>
            </w:r>
          </w:p>
        </w:tc>
        <w:tc>
          <w:tcPr>
            <w:tcW w:type="dxa" w:w="3120"/>
            <w:tcMar>
              <w:top w:w="80" w:type="dxa"/>
              <w:start w:w="120" w:type="dxa"/>
              <w:bottom w:w="80" w:type="dxa"/>
              <w:end w:w="120" w:type="dxa"/>
            </w:tcMar>
          </w:tcPr>
          <w:p>
            <w:r>
              <w:rPr>
                <w:rFonts w:ascii="Calibri" w:hAnsi="Calibri"/>
                <w:color w:val="1F2933"/>
                <w:sz w:val="19"/>
              </w:rPr>
              <w:t>Why the design changed; what problem it solves; why a campaign, public figure, reporter, and viewer might find it useful.</w:t>
            </w:r>
          </w:p>
        </w:tc>
      </w:tr>
      <w:tr>
        <w:trPr>
          <w:cantSplit/>
        </w:trPr>
        <w:tc>
          <w:tcPr>
            <w:tcW w:type="dxa" w:w="3120"/>
            <w:tcMar>
              <w:top w:w="80" w:type="dxa"/>
              <w:start w:w="120" w:type="dxa"/>
              <w:bottom w:w="80" w:type="dxa"/>
              <w:end w:w="120" w:type="dxa"/>
            </w:tcMar>
          </w:tcPr>
          <w:p>
            <w:r>
              <w:rPr>
                <w:rFonts w:ascii="Calibri" w:hAnsi="Calibri"/>
                <w:b/>
                <w:color w:val="1F2933"/>
                <w:sz w:val="19"/>
              </w:rPr>
              <w:t>THE MECHANICS</w:t>
            </w:r>
          </w:p>
        </w:tc>
        <w:tc>
          <w:tcPr>
            <w:tcW w:type="dxa" w:w="3120"/>
            <w:tcMar>
              <w:top w:w="80" w:type="dxa"/>
              <w:start w:w="120" w:type="dxa"/>
              <w:bottom w:w="80" w:type="dxa"/>
              <w:end w:w="120" w:type="dxa"/>
            </w:tcMar>
          </w:tcPr>
          <w:p>
            <w:r>
              <w:rPr>
                <w:rFonts w:ascii="Calibri" w:hAnsi="Calibri"/>
                <w:color w:val="1F2933"/>
                <w:sz w:val="19"/>
              </w:rPr>
              <w:t>Sections 7–10</w:t>
            </w:r>
          </w:p>
        </w:tc>
        <w:tc>
          <w:tcPr>
            <w:tcW w:type="dxa" w:w="3120"/>
            <w:tcMar>
              <w:top w:w="80" w:type="dxa"/>
              <w:start w:w="120" w:type="dxa"/>
              <w:bottom w:w="80" w:type="dxa"/>
              <w:end w:w="120" w:type="dxa"/>
            </w:tcMar>
          </w:tcPr>
          <w:p>
            <w:r>
              <w:rPr>
                <w:rFonts w:ascii="Calibri" w:hAnsi="Calibri"/>
                <w:color w:val="1F2933"/>
                <w:sz w:val="19"/>
              </w:rPr>
              <w:t>The full workflow, every moving part, the professional record format, and a synthetic example.</w:t>
            </w:r>
          </w:p>
        </w:tc>
      </w:tr>
      <w:tr>
        <w:trPr>
          <w:cantSplit/>
        </w:trPr>
        <w:tc>
          <w:tcPr>
            <w:tcW w:type="dxa" w:w="3120"/>
            <w:tcMar>
              <w:top w:w="80" w:type="dxa"/>
              <w:start w:w="120" w:type="dxa"/>
              <w:bottom w:w="80" w:type="dxa"/>
              <w:end w:w="120" w:type="dxa"/>
            </w:tcMar>
          </w:tcPr>
          <w:p>
            <w:r>
              <w:rPr>
                <w:rFonts w:ascii="Calibri" w:hAnsi="Calibri"/>
                <w:b/>
                <w:color w:val="1F2933"/>
                <w:sz w:val="19"/>
              </w:rPr>
              <w:t>THE PUBLIC PRODUCT</w:t>
            </w:r>
          </w:p>
        </w:tc>
        <w:tc>
          <w:tcPr>
            <w:tcW w:type="dxa" w:w="3120"/>
            <w:tcMar>
              <w:top w:w="80" w:type="dxa"/>
              <w:start w:w="120" w:type="dxa"/>
              <w:bottom w:w="80" w:type="dxa"/>
              <w:end w:w="120" w:type="dxa"/>
            </w:tcMar>
          </w:tcPr>
          <w:p>
            <w:r>
              <w:rPr>
                <w:rFonts w:ascii="Calibri" w:hAnsi="Calibri"/>
                <w:color w:val="1F2933"/>
                <w:sz w:val="19"/>
              </w:rPr>
              <w:t>Sections 11–15</w:t>
            </w:r>
          </w:p>
        </w:tc>
        <w:tc>
          <w:tcPr>
            <w:tcW w:type="dxa" w:w="3120"/>
            <w:tcMar>
              <w:top w:w="80" w:type="dxa"/>
              <w:start w:w="120" w:type="dxa"/>
              <w:bottom w:w="80" w:type="dxa"/>
              <w:end w:w="120" w:type="dxa"/>
            </w:tcMar>
          </w:tcPr>
          <w:p>
            <w:r>
              <w:rPr>
                <w:rFonts w:ascii="Calibri" w:hAnsi="Calibri"/>
                <w:color w:val="1F2933"/>
                <w:sz w:val="19"/>
              </w:rPr>
              <w:t>How the segment looks on a show; how it can be advertised honestly; legal, government, campaign, and editorial boundaries.</w:t>
            </w:r>
          </w:p>
        </w:tc>
      </w:tr>
      <w:tr>
        <w:trPr>
          <w:cantSplit/>
        </w:trPr>
        <w:tc>
          <w:tcPr>
            <w:tcW w:type="dxa" w:w="3120"/>
            <w:tcMar>
              <w:top w:w="80" w:type="dxa"/>
              <w:start w:w="120" w:type="dxa"/>
              <w:bottom w:w="80" w:type="dxa"/>
              <w:end w:w="120" w:type="dxa"/>
            </w:tcMar>
          </w:tcPr>
          <w:p>
            <w:r>
              <w:rPr>
                <w:rFonts w:ascii="Calibri" w:hAnsi="Calibri"/>
                <w:b/>
                <w:color w:val="1F2933"/>
                <w:sz w:val="19"/>
              </w:rPr>
              <w:t>THE EVIDENCE GATES</w:t>
            </w:r>
          </w:p>
        </w:tc>
        <w:tc>
          <w:tcPr>
            <w:tcW w:type="dxa" w:w="3120"/>
            <w:tcMar>
              <w:top w:w="80" w:type="dxa"/>
              <w:start w:w="120" w:type="dxa"/>
              <w:bottom w:w="80" w:type="dxa"/>
              <w:end w:w="120" w:type="dxa"/>
            </w:tcMar>
          </w:tcPr>
          <w:p>
            <w:r>
              <w:rPr>
                <w:rFonts w:ascii="Calibri" w:hAnsi="Calibri"/>
                <w:color w:val="1F2933"/>
                <w:sz w:val="19"/>
              </w:rPr>
              <w:t>Sections 16–20</w:t>
            </w:r>
          </w:p>
        </w:tc>
        <w:tc>
          <w:tcPr>
            <w:tcW w:type="dxa" w:w="3120"/>
            <w:tcMar>
              <w:top w:w="80" w:type="dxa"/>
              <w:start w:w="120" w:type="dxa"/>
              <w:bottom w:w="80" w:type="dxa"/>
              <w:end w:w="120" w:type="dxa"/>
            </w:tcMar>
          </w:tcPr>
          <w:p>
            <w:r>
              <w:rPr>
                <w:rFonts w:ascii="Calibri" w:hAnsi="Calibri"/>
                <w:color w:val="1F2933"/>
                <w:sz w:val="19"/>
              </w:rPr>
              <w:t>Comparative research, phase progression, stop rules, decisions for DGG, and the final recommendation.</w:t>
            </w:r>
          </w:p>
        </w:tc>
      </w:tr>
    </w:tbl>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Public promise: No oath. No notary. No statement under penalty of perjury. No truth badge. No public refusal signal.</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shd w:fill="FFF5D6"/>
            <w:tcMar>
              <w:top w:w="140" w:type="dxa"/>
              <w:start w:w="180" w:type="dxa"/>
              <w:bottom w:w="140" w:type="dxa"/>
              <w:end w:w="180" w:type="dxa"/>
            </w:tcMar>
            <w:tcBorders>
              <w:left w:val="single" w:sz="16" w:color="D6A700"/>
            </w:tcBorders>
          </w:tcPr>
          <w:p>
            <w:pPr>
              <w:spacing w:after="0"/>
              <w:jc w:val="left"/>
            </w:pPr>
            <w:r>
              <w:rPr>
                <w:rFonts w:ascii="Calibri" w:hAnsi="Calibri"/>
                <w:b/>
                <w:color w:val="1F2933"/>
                <w:sz w:val="22"/>
              </w:rPr>
              <w:t>Honest limit: This format does not create legal immunity. Ordinary publication, privacy, campaign, contractual, and other law still applies.</w:t>
            </w:r>
          </w:p>
        </w:tc>
      </w:tr>
    </w:tbl>
    <w:p>
      <w:pPr>
        <w:spacing w:after="40"/>
      </w:pPr>
    </w:p>
    <w:p>
      <w:r>
        <w:br w:type="page"/>
      </w:r>
    </w:p>
    <w:p>
      <w:pPr>
        <w:pStyle w:val="Heading1"/>
      </w:pPr>
      <w:r>
        <w:rPr>
          <w:rFonts w:ascii="Calibri" w:hAnsi="Calibri"/>
          <w:b/>
          <w:color w:val="2E74B5"/>
          <w:sz w:val="32"/>
        </w:rPr>
        <w:t>1. Why I changed the design</w:t>
      </w:r>
    </w:p>
    <w:p>
      <w:pPr>
        <w:jc w:val="both"/>
      </w:pPr>
      <w:r>
        <w:rPr>
          <w:rFonts w:ascii="Calibri" w:hAnsi="Calibri"/>
          <w:color w:val="1F2933"/>
          <w:sz w:val="22"/>
        </w:rPr>
        <w:t>I began with a more dramatic idea: what if a political guest could place a narrow factual answer under oath before moving into an ordinary interview?</w:t>
      </w:r>
    </w:p>
    <w:p>
      <w:pPr>
        <w:jc w:val="both"/>
      </w:pPr>
      <w:r>
        <w:rPr>
          <w:rFonts w:ascii="Calibri" w:hAnsi="Calibri"/>
          <w:color w:val="1F2933"/>
          <w:sz w:val="22"/>
        </w:rPr>
        <w:t>The research made the central problem clearer. A real oath is not merely a symbol. Washington law treats a knowingly false statement made under an oath required or authorized by law as a possible false-swearing offense. A verification on oath is also a recognized notarial act. That means a friendly disclaimer cannot honestly turn a real oath into “no danger.” The legal mechanism would still be there.</w:t>
      </w:r>
    </w:p>
    <w:p>
      <w:pPr>
        <w:jc w:val="both"/>
      </w:pPr>
      <w:r>
        <w:rPr>
          <w:rFonts w:ascii="Calibri" w:hAnsi="Calibri"/>
          <w:color w:val="1F2933"/>
          <w:sz w:val="22"/>
        </w:rPr>
        <w:t>That matters because the goal is not to make arrest part of the sales pitch—or even part of the participant’s mental picture. The goal is to let someone show confidence in a fair, inspectable way.</w:t>
      </w:r>
    </w:p>
    <w:p>
      <w:pPr>
        <w:jc w:val="both"/>
      </w:pPr>
      <w:r>
        <w:rPr>
          <w:rFonts w:ascii="Calibri" w:hAnsi="Calibri"/>
          <w:color w:val="1F2933"/>
          <w:sz w:val="22"/>
        </w:rPr>
        <w:t>So I think the public product should change.</w:t>
      </w:r>
    </w:p>
    <w:p>
      <w:pPr>
        <w:jc w:val="both"/>
      </w:pPr>
      <w:r>
        <w:rPr>
          <w:rFonts w:ascii="Calibri" w:hAnsi="Calibri"/>
          <w:color w:val="1F2933"/>
          <w:sz w:val="22"/>
        </w:rPr>
        <w:t xml:space="preserve">The proposed DGG </w:t>
      </w:r>
      <w:r>
        <w:rPr>
          <w:rFonts w:ascii="Calibri" w:hAnsi="Calibri"/>
          <w:b/>
          <w:color w:val="1F2933"/>
          <w:sz w:val="22"/>
        </w:rPr>
        <w:t>Claim Record</w:t>
      </w:r>
      <w:r>
        <w:rPr>
          <w:rFonts w:ascii="Calibri" w:hAnsi="Calibri"/>
          <w:color w:val="1F2933"/>
          <w:sz w:val="22"/>
        </w:rPr>
        <w:t xml:space="preserve"> is deliberately non-sworn. It contains no oath, affirmation, jurat, affidavit, notarial verification, “under penalty of perjury” clause, truth certificate, prosecution language, or referral mechanism. The project’s earlier sworn-format research remains useful as a legal stress test, but it should not control the thing offered to political guests.</w:t>
      </w:r>
    </w:p>
    <w:p>
      <w:pPr>
        <w:jc w:val="both"/>
      </w:pPr>
      <w:r>
        <w:rPr>
          <w:rFonts w:ascii="Calibri" w:hAnsi="Calibri"/>
          <w:color w:val="1F2933"/>
          <w:sz w:val="22"/>
        </w:rPr>
        <w:t xml:space="preserve">That does </w:t>
      </w:r>
      <w:r>
        <w:rPr>
          <w:rFonts w:ascii="Calibri" w:hAnsi="Calibri"/>
          <w:b/>
          <w:color w:val="1F2933"/>
          <w:sz w:val="22"/>
        </w:rPr>
        <w:t>not</w:t>
      </w:r>
      <w:r>
        <w:rPr>
          <w:rFonts w:ascii="Calibri" w:hAnsi="Calibri"/>
          <w:color w:val="1F2933"/>
          <w:sz w:val="22"/>
        </w:rPr>
        <w:t xml:space="preserve"> mean public speech becomes risk-free. A person can still face ordinary consequences under laws governing defamation, privacy, campaign activity, contracts, official filings, threats, fraud, or other conduct. DGG can also make ordinary editorial mistakes. No honest document can promise otherwise.</w:t>
      </w:r>
    </w:p>
    <w:p>
      <w:pPr>
        <w:jc w:val="both"/>
      </w:pPr>
      <w:r>
        <w:rPr>
          <w:rFonts w:ascii="Calibri" w:hAnsi="Calibri"/>
          <w:color w:val="1F2933"/>
          <w:sz w:val="22"/>
        </w:rPr>
        <w:t>The narrower and more defensible promise is:</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DGG is not asking anyone to risk arrest to demonstrate honesty. The Claim Record is voluntary and non-sworn. It adds no oath, no notarial verification, and no project-created criminal penalty to an ordinary political interview.</w:t>
            </w:r>
          </w:p>
        </w:tc>
      </w:tr>
    </w:tbl>
    <w:p>
      <w:pPr>
        <w:spacing w:after="40"/>
      </w:pPr>
    </w:p>
    <w:p>
      <w:pPr>
        <w:jc w:val="both"/>
      </w:pPr>
      <w:r>
        <w:rPr>
          <w:rFonts w:ascii="Calibri" w:hAnsi="Calibri"/>
          <w:color w:val="1F2933"/>
          <w:sz w:val="22"/>
        </w:rPr>
        <w:t>That is less theatrical than the original idea. I think it is also more useful.</w:t>
      </w:r>
    </w:p>
    <w:p>
      <w:pPr>
        <w:pStyle w:val="Heading1"/>
      </w:pPr>
      <w:r>
        <w:rPr>
          <w:rFonts w:ascii="Calibri" w:hAnsi="Calibri"/>
          <w:b/>
          <w:color w:val="2E74B5"/>
          <w:sz w:val="32"/>
        </w:rPr>
        <w:t>2. The idea in sixty seconds</w:t>
      </w:r>
    </w:p>
    <w:p>
      <w:pPr>
        <w:jc w:val="both"/>
      </w:pPr>
      <w:r>
        <w:rPr>
          <w:rFonts w:ascii="Calibri" w:hAnsi="Calibri"/>
          <w:color w:val="1F2933"/>
          <w:sz w:val="22"/>
        </w:rPr>
        <w:t>Political interviews often blur several different things:</w:t>
      </w:r>
    </w:p>
    <w:p>
      <w:pPr>
        <w:pStyle w:val="ListBullet"/>
        <w:jc w:val="left"/>
      </w:pPr>
      <w:r>
        <w:rPr>
          <w:rFonts w:ascii="Calibri" w:hAnsi="Calibri"/>
          <w:color w:val="1F2933"/>
          <w:sz w:val="22"/>
        </w:rPr>
        <w:t>what the reporter asked;</w:t>
      </w:r>
    </w:p>
    <w:p>
      <w:pPr>
        <w:pStyle w:val="ListBullet"/>
        <w:jc w:val="left"/>
      </w:pPr>
      <w:r>
        <w:rPr>
          <w:rFonts w:ascii="Calibri" w:hAnsi="Calibri"/>
          <w:color w:val="1F2933"/>
          <w:sz w:val="22"/>
        </w:rPr>
        <w:t>what the speaker actually claimed;</w:t>
      </w:r>
    </w:p>
    <w:p>
      <w:pPr>
        <w:pStyle w:val="ListBullet"/>
        <w:jc w:val="left"/>
      </w:pPr>
      <w:r>
        <w:rPr>
          <w:rFonts w:ascii="Calibri" w:hAnsi="Calibri"/>
          <w:color w:val="1F2933"/>
          <w:sz w:val="22"/>
        </w:rPr>
        <w:t>what the speaker personally knew;</w:t>
      </w:r>
    </w:p>
    <w:p>
      <w:pPr>
        <w:pStyle w:val="ListBullet"/>
        <w:jc w:val="left"/>
      </w:pPr>
      <w:r>
        <w:rPr>
          <w:rFonts w:ascii="Calibri" w:hAnsi="Calibri"/>
          <w:color w:val="1F2933"/>
          <w:sz w:val="22"/>
        </w:rPr>
        <w:t>what came from staff, records, or inference;</w:t>
      </w:r>
    </w:p>
    <w:p>
      <w:pPr>
        <w:pStyle w:val="ListBullet"/>
        <w:jc w:val="left"/>
      </w:pPr>
      <w:r>
        <w:rPr>
          <w:rFonts w:ascii="Calibri" w:hAnsi="Calibri"/>
          <w:color w:val="1F2933"/>
          <w:sz w:val="22"/>
        </w:rPr>
        <w:t>what the evidence supports;</w:t>
      </w:r>
    </w:p>
    <w:p>
      <w:pPr>
        <w:pStyle w:val="ListBullet"/>
        <w:jc w:val="left"/>
      </w:pPr>
      <w:r>
        <w:rPr>
          <w:rFonts w:ascii="Calibri" w:hAnsi="Calibri"/>
          <w:color w:val="1F2933"/>
          <w:sz w:val="22"/>
        </w:rPr>
        <w:t>what the audience remembers from a short clip; and</w:t>
      </w:r>
    </w:p>
    <w:p>
      <w:pPr>
        <w:pStyle w:val="ListBullet"/>
        <w:jc w:val="left"/>
      </w:pPr>
      <w:r>
        <w:rPr>
          <w:rFonts w:ascii="Calibri" w:hAnsi="Calibri"/>
          <w:color w:val="1F2933"/>
          <w:sz w:val="22"/>
        </w:rPr>
        <w:t>what changed after publication.</w:t>
      </w:r>
    </w:p>
    <w:p>
      <w:pPr>
        <w:jc w:val="both"/>
      </w:pPr>
      <w:r>
        <w:rPr>
          <w:rFonts w:ascii="Calibri" w:hAnsi="Calibri"/>
          <w:color w:val="1F2933"/>
          <w:sz w:val="22"/>
        </w:rPr>
        <w:t>A Claim Record separates those things.</w:t>
      </w:r>
    </w:p>
    <w:p>
      <w:pPr>
        <w:jc w:val="both"/>
      </w:pPr>
      <w:r>
        <w:rPr>
          <w:rFonts w:ascii="Calibri" w:hAnsi="Calibri"/>
          <w:color w:val="1F2933"/>
          <w:sz w:val="22"/>
        </w:rPr>
        <w:t>For one narrow, checkable factual question, it places the following in one durable package:</w:t>
      </w:r>
    </w:p>
    <w:p>
      <w:pPr>
        <w:spacing w:after="80"/>
        <w:ind w:left="504" w:hanging="317"/>
        <w:jc w:val="left"/>
      </w:pPr>
      <w:r>
        <w:rPr>
          <w:rFonts w:ascii="Calibri" w:hAnsi="Calibri"/>
          <w:color w:val="1F2933"/>
          <w:sz w:val="22"/>
        </w:rPr>
        <w:t xml:space="preserve">1. </w:t>
      </w:r>
      <w:r>
        <w:rPr>
          <w:rFonts w:ascii="Calibri" w:hAnsi="Calibri"/>
          <w:color w:val="1F2933"/>
          <w:sz w:val="22"/>
        </w:rPr>
        <w:t>the exact question, definitions, and “as of” date;</w:t>
      </w:r>
    </w:p>
    <w:p>
      <w:pPr>
        <w:spacing w:after="80"/>
        <w:ind w:left="504" w:hanging="317"/>
        <w:jc w:val="left"/>
      </w:pPr>
      <w:r>
        <w:rPr>
          <w:rFonts w:ascii="Calibri" w:hAnsi="Calibri"/>
          <w:color w:val="1F2933"/>
          <w:sz w:val="22"/>
        </w:rPr>
        <w:t xml:space="preserve">2. </w:t>
      </w:r>
      <w:r>
        <w:rPr>
          <w:rFonts w:ascii="Calibri" w:hAnsi="Calibri"/>
          <w:color w:val="1F2933"/>
          <w:sz w:val="22"/>
        </w:rPr>
        <w:t>the participant’s exact approved answer;</w:t>
      </w:r>
    </w:p>
    <w:p>
      <w:pPr>
        <w:spacing w:after="80"/>
        <w:ind w:left="504" w:hanging="317"/>
        <w:jc w:val="left"/>
      </w:pPr>
      <w:r>
        <w:rPr>
          <w:rFonts w:ascii="Calibri" w:hAnsi="Calibri"/>
          <w:color w:val="1F2933"/>
          <w:sz w:val="22"/>
        </w:rPr>
        <w:t xml:space="preserve">3. </w:t>
      </w:r>
      <w:r>
        <w:rPr>
          <w:rFonts w:ascii="Calibri" w:hAnsi="Calibri"/>
          <w:color w:val="1F2933"/>
          <w:sz w:val="22"/>
        </w:rPr>
        <w:t>the participant’s basis for that answer and visible qualifications;</w:t>
      </w:r>
    </w:p>
    <w:p>
      <w:pPr>
        <w:spacing w:after="80"/>
        <w:ind w:left="504" w:hanging="317"/>
        <w:jc w:val="left"/>
      </w:pPr>
      <w:r>
        <w:rPr>
          <w:rFonts w:ascii="Calibri" w:hAnsi="Calibri"/>
          <w:color w:val="1F2933"/>
          <w:sz w:val="22"/>
        </w:rPr>
        <w:t xml:space="preserve">4. </w:t>
      </w:r>
      <w:r>
        <w:rPr>
          <w:rFonts w:ascii="Calibri" w:hAnsi="Calibri"/>
          <w:color w:val="1F2933"/>
          <w:sz w:val="22"/>
        </w:rPr>
        <w:t>supporting and meaningful contrary sources;</w:t>
      </w:r>
    </w:p>
    <w:p>
      <w:pPr>
        <w:spacing w:after="80"/>
        <w:ind w:left="504" w:hanging="317"/>
        <w:jc w:val="left"/>
      </w:pPr>
      <w:r>
        <w:rPr>
          <w:rFonts w:ascii="Calibri" w:hAnsi="Calibri"/>
          <w:color w:val="1F2933"/>
          <w:sz w:val="22"/>
        </w:rPr>
        <w:t xml:space="preserve">5. </w:t>
      </w:r>
      <w:r>
        <w:rPr>
          <w:rFonts w:ascii="Calibri" w:hAnsi="Calibri"/>
          <w:color w:val="1F2933"/>
          <w:sz w:val="22"/>
        </w:rPr>
        <w:t>DGG’s separate independent check;</w:t>
      </w:r>
    </w:p>
    <w:p>
      <w:pPr>
        <w:spacing w:after="80"/>
        <w:ind w:left="504" w:hanging="317"/>
        <w:jc w:val="left"/>
      </w:pPr>
      <w:r>
        <w:rPr>
          <w:rFonts w:ascii="Calibri" w:hAnsi="Calibri"/>
          <w:color w:val="1F2933"/>
          <w:sz w:val="22"/>
        </w:rPr>
        <w:t xml:space="preserve">6. </w:t>
      </w:r>
      <w:r>
        <w:rPr>
          <w:rFonts w:ascii="Calibri" w:hAnsi="Calibri"/>
          <w:color w:val="1F2933"/>
          <w:sz w:val="22"/>
        </w:rPr>
        <w:t>a version identifier showing which text was approved and published; and</w:t>
      </w:r>
    </w:p>
    <w:p>
      <w:pPr>
        <w:spacing w:after="80"/>
        <w:ind w:left="504" w:hanging="317"/>
        <w:jc w:val="left"/>
      </w:pPr>
      <w:r>
        <w:rPr>
          <w:rFonts w:ascii="Calibri" w:hAnsi="Calibri"/>
          <w:color w:val="1F2933"/>
          <w:sz w:val="22"/>
        </w:rPr>
        <w:t xml:space="preserve">7. </w:t>
      </w:r>
      <w:r>
        <w:rPr>
          <w:rFonts w:ascii="Calibri" w:hAnsi="Calibri"/>
          <w:color w:val="1F2933"/>
          <w:sz w:val="22"/>
        </w:rPr>
        <w:t>a correction trail that stays linked to the original.</w:t>
      </w:r>
    </w:p>
    <w:p>
      <w:pPr>
        <w:jc w:val="both"/>
      </w:pPr>
      <w:r>
        <w:rPr>
          <w:rFonts w:ascii="Calibri" w:hAnsi="Calibri"/>
          <w:color w:val="1F2933"/>
          <w:sz w:val="22"/>
        </w:rPr>
        <w:t>The participant controls their attributed words. DGG controls its questions, research, analysis, and publication. Neither controls the other’s section.</w:t>
      </w:r>
    </w:p>
    <w:p>
      <w:pPr>
        <w:jc w:val="both"/>
      </w:pPr>
      <w:r>
        <w:rPr>
          <w:rFonts w:ascii="Calibri" w:hAnsi="Calibri"/>
          <w:color w:val="1F2933"/>
          <w:sz w:val="22"/>
        </w:rPr>
        <w:t>There is no honesty score. DGG does not publish who declined. The record is not a badge saying a person is generally trustworthy. It is an inspectable record of one bounded claim.</w:t>
      </w:r>
    </w:p>
    <w:p>
      <w:pPr>
        <w:jc w:val="both"/>
      </w:pPr>
      <w:r>
        <w:rPr>
          <w:rFonts w:ascii="Calibri" w:hAnsi="Calibri"/>
          <w:color w:val="1F2933"/>
          <w:sz w:val="22"/>
        </w:rPr>
        <w:t>The working promise is:</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More context than a clip. More accountability than a quote.</w:t>
            </w:r>
          </w:p>
        </w:tc>
      </w:tr>
    </w:tbl>
    <w:p>
      <w:pPr>
        <w:spacing w:after="40"/>
      </w:pPr>
    </w:p>
    <w:p>
      <w:pPr>
        <w:pStyle w:val="Heading1"/>
      </w:pPr>
      <w:r>
        <w:rPr>
          <w:rFonts w:ascii="Calibri" w:hAnsi="Calibri"/>
          <w:b/>
          <w:color w:val="2E74B5"/>
          <w:sz w:val="32"/>
        </w:rPr>
        <w:t>3. What problem this solves for political reporting</w:t>
      </w:r>
    </w:p>
    <w:p>
      <w:pPr>
        <w:pStyle w:val="Heading2"/>
      </w:pPr>
      <w:r>
        <w:rPr>
          <w:rFonts w:ascii="Calibri" w:hAnsi="Calibri"/>
          <w:b/>
          <w:color w:val="2E74B5"/>
          <w:sz w:val="26"/>
        </w:rPr>
        <w:t>3.1 Confidence is often judged from performance</w:t>
      </w:r>
    </w:p>
    <w:p>
      <w:pPr>
        <w:jc w:val="both"/>
      </w:pPr>
      <w:r>
        <w:rPr>
          <w:rFonts w:ascii="Calibri" w:hAnsi="Calibri"/>
          <w:color w:val="1F2933"/>
          <w:sz w:val="22"/>
        </w:rPr>
        <w:t>Viewers routinely use tone, speed, posture, confidence, and nervousness as shortcuts for truth. Those signals are unreliable. A confident speaker can be wrong. A careful speaker may sound uncertain because they are trying to be accurate.</w:t>
      </w:r>
    </w:p>
    <w:p>
      <w:pPr>
        <w:jc w:val="both"/>
      </w:pPr>
      <w:r>
        <w:rPr>
          <w:rFonts w:ascii="Calibri" w:hAnsi="Calibri"/>
          <w:color w:val="1F2933"/>
          <w:sz w:val="22"/>
        </w:rPr>
        <w:t>The Claim Record replaces performative confidence with visible work. A participant shows confidence by choosing exact words, naming what they relied on, keeping necessary limits beside the claim, and accepting a durable correction process.</w:t>
      </w:r>
    </w:p>
    <w:p>
      <w:pPr>
        <w:pStyle w:val="Heading2"/>
      </w:pPr>
      <w:r>
        <w:rPr>
          <w:rFonts w:ascii="Calibri" w:hAnsi="Calibri"/>
          <w:b/>
          <w:color w:val="2E74B5"/>
          <w:sz w:val="26"/>
        </w:rPr>
        <w:t>3.2 Clips compress away the boundaries</w:t>
      </w:r>
    </w:p>
    <w:p>
      <w:pPr>
        <w:jc w:val="both"/>
      </w:pPr>
      <w:r>
        <w:rPr>
          <w:rFonts w:ascii="Calibri" w:hAnsi="Calibri"/>
          <w:color w:val="1F2933"/>
          <w:sz w:val="22"/>
        </w:rPr>
        <w:t>A short clip can lose the date range, definition, source, or qualification that made an answer accurate. The record keeps the exact attributed sentence and its material limits together. A clip can link back to the full record rather than becoming the only surviving version.</w:t>
      </w:r>
    </w:p>
    <w:p>
      <w:pPr>
        <w:pStyle w:val="Heading2"/>
      </w:pPr>
      <w:r>
        <w:rPr>
          <w:rFonts w:ascii="Calibri" w:hAnsi="Calibri"/>
          <w:b/>
          <w:color w:val="2E74B5"/>
          <w:sz w:val="26"/>
        </w:rPr>
        <w:t>3.3 Ordinary fact-checking arrives later</w:t>
      </w:r>
    </w:p>
    <w:p>
      <w:pPr>
        <w:jc w:val="both"/>
      </w:pPr>
      <w:r>
        <w:rPr>
          <w:rFonts w:ascii="Calibri" w:hAnsi="Calibri"/>
          <w:color w:val="1F2933"/>
          <w:sz w:val="22"/>
        </w:rPr>
        <w:t>Fact-checking remains necessary, but it is usually retrospective. The original statement may travel faster than the correction. This format moves some precision work before publication and makes a later correction travel with the claim.</w:t>
      </w:r>
    </w:p>
    <w:p>
      <w:pPr>
        <w:pStyle w:val="Heading2"/>
      </w:pPr>
      <w:r>
        <w:rPr>
          <w:rFonts w:ascii="Calibri" w:hAnsi="Calibri"/>
          <w:b/>
          <w:color w:val="2E74B5"/>
          <w:sz w:val="26"/>
        </w:rPr>
        <w:t>3.4 Political answers often mix knowledge with inference</w:t>
      </w:r>
    </w:p>
    <w:p>
      <w:pPr>
        <w:jc w:val="both"/>
      </w:pPr>
      <w:r>
        <w:rPr>
          <w:rFonts w:ascii="Calibri" w:hAnsi="Calibri"/>
          <w:color w:val="1F2933"/>
          <w:sz w:val="22"/>
        </w:rPr>
        <w:t>“I saw it,” “my staff told me,” “a public filing says,” and “I infer it from the pattern” are not the same basis of knowledge. The Claim Record makes that distinction visible without treating inference or uncertainty as misconduct.</w:t>
      </w:r>
    </w:p>
    <w:p>
      <w:pPr>
        <w:pStyle w:val="Heading2"/>
      </w:pPr>
      <w:r>
        <w:rPr>
          <w:rFonts w:ascii="Calibri" w:hAnsi="Calibri"/>
          <w:b/>
          <w:color w:val="2E74B5"/>
          <w:sz w:val="26"/>
        </w:rPr>
        <w:t>3.5 Corrections are treated as scandals</w:t>
      </w:r>
    </w:p>
    <w:p>
      <w:pPr>
        <w:jc w:val="both"/>
      </w:pPr>
      <w:r>
        <w:rPr>
          <w:rFonts w:ascii="Calibri" w:hAnsi="Calibri"/>
          <w:color w:val="1F2933"/>
          <w:sz w:val="22"/>
        </w:rPr>
        <w:t>When a system rewards absolute certainty, people hide updates. A well-designed correction lane treats responsible revision as maintenance. The public can see what changed, why, and when, while silent rewriting remains impossible.</w:t>
      </w:r>
    </w:p>
    <w:p>
      <w:pPr>
        <w:pStyle w:val="Heading2"/>
      </w:pPr>
      <w:r>
        <w:rPr>
          <w:rFonts w:ascii="Calibri" w:hAnsi="Calibri"/>
          <w:b/>
          <w:color w:val="2E74B5"/>
          <w:sz w:val="26"/>
        </w:rPr>
        <w:t>3.6 Audiences need detective tools, not another authority figure</w:t>
      </w:r>
    </w:p>
    <w:p>
      <w:pPr>
        <w:jc w:val="both"/>
      </w:pPr>
      <w:r>
        <w:rPr>
          <w:rFonts w:ascii="Calibri" w:hAnsi="Calibri"/>
          <w:color w:val="1F2933"/>
          <w:sz w:val="22"/>
        </w:rPr>
        <w:t>The format does not ask viewers to trust DGG blindly. It gives them the exact proposition, the sources, the contrary evidence, DGG’s reasoning, and the correction history. That is a small piece of civic detective training: learn to separate assertion, evidence, uncertainty, and editorial judgment.</w:t>
      </w:r>
    </w:p>
    <w:p>
      <w:pPr>
        <w:pStyle w:val="Heading1"/>
      </w:pPr>
      <w:r>
        <w:rPr>
          <w:rFonts w:ascii="Calibri" w:hAnsi="Calibri"/>
          <w:b/>
          <w:color w:val="2E74B5"/>
          <w:sz w:val="32"/>
        </w:rPr>
        <w:t>4. Why a campaign or public figure might actually say yes</w:t>
      </w:r>
    </w:p>
    <w:p>
      <w:pPr>
        <w:jc w:val="both"/>
      </w:pPr>
      <w:r>
        <w:rPr>
          <w:rFonts w:ascii="Calibri" w:hAnsi="Calibri"/>
          <w:color w:val="1F2933"/>
          <w:sz w:val="22"/>
        </w:rPr>
        <w:t>The format has to provide a real participant benefit. “Take more risk so the audience trusts you” is not a fair offer.</w:t>
      </w:r>
    </w:p>
    <w:p>
      <w:pPr>
        <w:jc w:val="both"/>
      </w:pPr>
      <w:r>
        <w:rPr>
          <w:rFonts w:ascii="Calibri" w:hAnsi="Calibri"/>
          <w:color w:val="1F2933"/>
          <w:sz w:val="22"/>
        </w:rPr>
        <w:t>A candidate or public figure receives these protections:</w:t>
      </w:r>
    </w:p>
    <w:p>
      <w:pPr>
        <w:pStyle w:val="ListBullet"/>
        <w:jc w:val="left"/>
      </w:pPr>
      <w:r>
        <w:rPr>
          <w:rFonts w:ascii="Calibri" w:hAnsi="Calibri"/>
          <w:b/>
          <w:color w:val="1F2933"/>
          <w:sz w:val="22"/>
        </w:rPr>
        <w:t>Exact attribution.</w:t>
      </w:r>
      <w:r>
        <w:rPr>
          <w:rFonts w:ascii="Calibri" w:hAnsi="Calibri"/>
          <w:color w:val="1F2933"/>
          <w:sz w:val="22"/>
        </w:rPr>
        <w:t xml:space="preserve"> The person sees and approves the precise words that will be presented as their Claim Record.</w:t>
      </w:r>
    </w:p>
    <w:p>
      <w:pPr>
        <w:pStyle w:val="ListBullet"/>
        <w:jc w:val="left"/>
      </w:pPr>
      <w:r>
        <w:rPr>
          <w:rFonts w:ascii="Calibri" w:hAnsi="Calibri"/>
          <w:b/>
          <w:color w:val="1F2933"/>
          <w:sz w:val="22"/>
        </w:rPr>
        <w:t>Narrow scope.</w:t>
      </w:r>
      <w:r>
        <w:rPr>
          <w:rFonts w:ascii="Calibri" w:hAnsi="Calibri"/>
          <w:color w:val="1F2933"/>
          <w:sz w:val="22"/>
        </w:rPr>
        <w:t xml:space="preserve"> The record covers one bounded factual proposition, not an entire interview or the person’s character.</w:t>
      </w:r>
    </w:p>
    <w:p>
      <w:pPr>
        <w:pStyle w:val="ListBullet"/>
        <w:jc w:val="left"/>
      </w:pPr>
      <w:r>
        <w:rPr>
          <w:rFonts w:ascii="Calibri" w:hAnsi="Calibri"/>
          <w:b/>
          <w:color w:val="1F2933"/>
          <w:sz w:val="22"/>
        </w:rPr>
        <w:t>Advance review.</w:t>
      </w:r>
      <w:r>
        <w:rPr>
          <w:rFonts w:ascii="Calibri" w:hAnsi="Calibri"/>
          <w:color w:val="1F2933"/>
          <w:sz w:val="22"/>
        </w:rPr>
        <w:t xml:space="preserve"> There is time to check records, speak with advisers, correct a bad premise, and decide what can responsibly be said.</w:t>
      </w:r>
    </w:p>
    <w:p>
      <w:pPr>
        <w:pStyle w:val="ListBullet"/>
        <w:jc w:val="left"/>
      </w:pPr>
      <w:r>
        <w:rPr>
          <w:rFonts w:ascii="Calibri" w:hAnsi="Calibri"/>
          <w:b/>
          <w:color w:val="1F2933"/>
          <w:sz w:val="22"/>
        </w:rPr>
        <w:t>Honest off-ramps.</w:t>
      </w:r>
      <w:r>
        <w:rPr>
          <w:rFonts w:ascii="Calibri" w:hAnsi="Calibri"/>
          <w:color w:val="1F2933"/>
          <w:sz w:val="22"/>
        </w:rPr>
        <w:t xml:space="preserve"> “Unknown,” “not recalled,” “outside my knowledge,” “unable to verify,” “qualified answer,” and private decline are legitimate options.</w:t>
      </w:r>
    </w:p>
    <w:p>
      <w:pPr>
        <w:pStyle w:val="ListBullet"/>
        <w:jc w:val="left"/>
      </w:pPr>
      <w:r>
        <w:rPr>
          <w:rFonts w:ascii="Calibri" w:hAnsi="Calibri"/>
          <w:b/>
          <w:color w:val="1F2933"/>
          <w:sz w:val="22"/>
        </w:rPr>
        <w:t>Visible qualifications.</w:t>
      </w:r>
      <w:r>
        <w:rPr>
          <w:rFonts w:ascii="Calibri" w:hAnsi="Calibri"/>
          <w:color w:val="1F2933"/>
          <w:sz w:val="22"/>
        </w:rPr>
        <w:t xml:space="preserve"> Material limits cannot be stripped away into fine print.</w:t>
      </w:r>
    </w:p>
    <w:p>
      <w:pPr>
        <w:pStyle w:val="ListBullet"/>
        <w:jc w:val="left"/>
      </w:pPr>
      <w:r>
        <w:rPr>
          <w:rFonts w:ascii="Calibri" w:hAnsi="Calibri"/>
          <w:b/>
          <w:color w:val="1F2933"/>
          <w:sz w:val="22"/>
        </w:rPr>
        <w:t>Protection against clip compression.</w:t>
      </w:r>
      <w:r>
        <w:rPr>
          <w:rFonts w:ascii="Calibri" w:hAnsi="Calibri"/>
          <w:color w:val="1F2933"/>
          <w:sz w:val="22"/>
        </w:rPr>
        <w:t xml:space="preserve"> The short segment always points to the full approved context.</w:t>
      </w:r>
    </w:p>
    <w:p>
      <w:pPr>
        <w:pStyle w:val="ListBullet"/>
        <w:jc w:val="left"/>
      </w:pPr>
      <w:r>
        <w:rPr>
          <w:rFonts w:ascii="Calibri" w:hAnsi="Calibri"/>
          <w:b/>
          <w:color w:val="1F2933"/>
          <w:sz w:val="22"/>
        </w:rPr>
        <w:t>A normal correction lane.</w:t>
      </w:r>
      <w:r>
        <w:rPr>
          <w:rFonts w:ascii="Calibri" w:hAnsi="Calibri"/>
          <w:color w:val="1F2933"/>
          <w:sz w:val="22"/>
        </w:rPr>
        <w:t xml:space="preserve"> New information can produce a linked update without DGG pretending the first version never existed.</w:t>
      </w:r>
    </w:p>
    <w:p>
      <w:pPr>
        <w:pStyle w:val="ListBullet"/>
        <w:jc w:val="left"/>
      </w:pPr>
      <w:r>
        <w:rPr>
          <w:rFonts w:ascii="Calibri" w:hAnsi="Calibri"/>
          <w:b/>
          <w:color w:val="1F2933"/>
          <w:sz w:val="22"/>
        </w:rPr>
        <w:t>No public refusal signal.</w:t>
      </w:r>
      <w:r>
        <w:rPr>
          <w:rFonts w:ascii="Calibri" w:hAnsi="Calibri"/>
          <w:color w:val="1F2933"/>
          <w:sz w:val="22"/>
        </w:rPr>
        <w:t xml:space="preserve"> DGG publishes completed records, not invitation lists, nonresponse pages, withdrawal notices, or suspicion labels.</w:t>
      </w:r>
    </w:p>
    <w:p>
      <w:pPr>
        <w:pStyle w:val="ListBullet"/>
        <w:jc w:val="left"/>
      </w:pPr>
      <w:r>
        <w:rPr>
          <w:rFonts w:ascii="Calibri" w:hAnsi="Calibri"/>
          <w:b/>
          <w:color w:val="1F2933"/>
          <w:sz w:val="22"/>
        </w:rPr>
        <w:t>No oath-based threat.</w:t>
      </w:r>
      <w:r>
        <w:rPr>
          <w:rFonts w:ascii="Calibri" w:hAnsi="Calibri"/>
          <w:color w:val="1F2933"/>
          <w:sz w:val="22"/>
        </w:rPr>
        <w:t xml:space="preserve"> The product does not ask the person to swear, affirm, or sign under penalty of perjury.</w:t>
      </w:r>
    </w:p>
    <w:p>
      <w:pPr>
        <w:jc w:val="both"/>
      </w:pPr>
      <w:r>
        <w:rPr>
          <w:rFonts w:ascii="Calibri" w:hAnsi="Calibri"/>
          <w:color w:val="1F2933"/>
          <w:sz w:val="22"/>
        </w:rPr>
        <w:t>The participant-facing message is not “risk prison to prove yourself.” It is:</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Put one checkable claim into your own clear words. Show what you relied on. Keep your limits with the quote. If the evidence changes, correct the record openly.</w:t>
            </w:r>
          </w:p>
        </w:tc>
      </w:tr>
    </w:tbl>
    <w:p>
      <w:pPr>
        <w:spacing w:after="40"/>
      </w:pPr>
    </w:p>
    <w:p>
      <w:pPr>
        <w:pStyle w:val="Heading1"/>
      </w:pPr>
      <w:r>
        <w:rPr>
          <w:rFonts w:ascii="Calibri" w:hAnsi="Calibri"/>
          <w:b/>
          <w:color w:val="2E74B5"/>
          <w:sz w:val="32"/>
        </w:rPr>
        <w:t>5. Why DGG or Ground Game might find it useful</w:t>
      </w:r>
    </w:p>
    <w:p>
      <w:pPr>
        <w:jc w:val="both"/>
      </w:pPr>
      <w:r>
        <w:rPr>
          <w:rFonts w:ascii="Calibri" w:hAnsi="Calibri"/>
          <w:color w:val="1F2933"/>
          <w:sz w:val="22"/>
        </w:rPr>
        <w:t>For DGG, this could become a repeatable reporting segment and an archive standard.</w:t>
      </w:r>
    </w:p>
    <w:p>
      <w:pPr>
        <w:pStyle w:val="Heading2"/>
      </w:pPr>
      <w:r>
        <w:rPr>
          <w:rFonts w:ascii="Calibri" w:hAnsi="Calibri"/>
          <w:b/>
          <w:color w:val="2E74B5"/>
          <w:sz w:val="26"/>
        </w:rPr>
        <w:t>Practical segment ideas</w:t>
      </w:r>
    </w:p>
    <w:p>
      <w:pPr>
        <w:spacing w:after="80"/>
        <w:ind w:left="504" w:hanging="317"/>
        <w:jc w:val="left"/>
      </w:pPr>
      <w:r>
        <w:rPr>
          <w:rFonts w:ascii="Calibri" w:hAnsi="Calibri"/>
          <w:color w:val="1F2933"/>
          <w:sz w:val="22"/>
        </w:rPr>
        <w:t xml:space="preserve">1. </w:t>
      </w:r>
      <w:r>
        <w:rPr>
          <w:rFonts w:ascii="Calibri" w:hAnsi="Calibri"/>
          <w:b/>
          <w:color w:val="1F2933"/>
          <w:sz w:val="22"/>
        </w:rPr>
        <w:t>Receipt Check.</w:t>
      </w:r>
      <w:r>
        <w:rPr>
          <w:rFonts w:ascii="Calibri" w:hAnsi="Calibri"/>
          <w:color w:val="1F2933"/>
          <w:sz w:val="22"/>
        </w:rPr>
        <w:t xml:space="preserve"> Did a named filing, vote, payment, meeting, or action occur by a defined date? Place the record beside the source.</w:t>
      </w:r>
    </w:p>
    <w:p>
      <w:pPr>
        <w:spacing w:after="80"/>
        <w:ind w:left="504" w:hanging="317"/>
        <w:jc w:val="left"/>
      </w:pPr>
      <w:r>
        <w:rPr>
          <w:rFonts w:ascii="Calibri" w:hAnsi="Calibri"/>
          <w:color w:val="1F2933"/>
          <w:sz w:val="22"/>
        </w:rPr>
        <w:t xml:space="preserve">2. </w:t>
      </w:r>
      <w:r>
        <w:rPr>
          <w:rFonts w:ascii="Calibri" w:hAnsi="Calibri"/>
          <w:b/>
          <w:color w:val="1F2933"/>
          <w:sz w:val="22"/>
        </w:rPr>
        <w:t>Clip in Context.</w:t>
      </w:r>
      <w:r>
        <w:rPr>
          <w:rFonts w:ascii="Calibri" w:hAnsi="Calibri"/>
          <w:color w:val="1F2933"/>
          <w:sz w:val="22"/>
        </w:rPr>
        <w:t xml:space="preserve"> Pair the short clip with the full transcript, timecode, exact claim, and any qualification omitted by compression.</w:t>
      </w:r>
    </w:p>
    <w:p>
      <w:pPr>
        <w:spacing w:after="80"/>
        <w:ind w:left="504" w:hanging="317"/>
        <w:jc w:val="left"/>
      </w:pPr>
      <w:r>
        <w:rPr>
          <w:rFonts w:ascii="Calibri" w:hAnsi="Calibri"/>
          <w:color w:val="1F2933"/>
          <w:sz w:val="22"/>
        </w:rPr>
        <w:t xml:space="preserve">3. </w:t>
      </w:r>
      <w:r>
        <w:rPr>
          <w:rFonts w:ascii="Calibri" w:hAnsi="Calibri"/>
          <w:b/>
          <w:color w:val="1F2933"/>
          <w:sz w:val="22"/>
        </w:rPr>
        <w:t>Campaign Timeline.</w:t>
      </w:r>
      <w:r>
        <w:rPr>
          <w:rFonts w:ascii="Calibri" w:hAnsi="Calibri"/>
          <w:color w:val="1F2933"/>
          <w:sz w:val="22"/>
        </w:rPr>
        <w:t xml:space="preserve"> Build a bounded firsthand chronology and reconcile it with public or participant-supplied records.</w:t>
      </w:r>
    </w:p>
    <w:p>
      <w:pPr>
        <w:spacing w:after="80"/>
        <w:ind w:left="504" w:hanging="317"/>
        <w:jc w:val="left"/>
      </w:pPr>
      <w:r>
        <w:rPr>
          <w:rFonts w:ascii="Calibri" w:hAnsi="Calibri"/>
          <w:color w:val="1F2933"/>
          <w:sz w:val="22"/>
        </w:rPr>
        <w:t xml:space="preserve">4. </w:t>
      </w:r>
      <w:r>
        <w:rPr>
          <w:rFonts w:ascii="Calibri" w:hAnsi="Calibri"/>
          <w:b/>
          <w:color w:val="1F2933"/>
          <w:sz w:val="22"/>
        </w:rPr>
        <w:t>Numbers Ledger.</w:t>
      </w:r>
      <w:r>
        <w:rPr>
          <w:rFonts w:ascii="Calibri" w:hAnsi="Calibri"/>
          <w:color w:val="1F2933"/>
          <w:sz w:val="22"/>
        </w:rPr>
        <w:t xml:space="preserve"> Isolate one amount, time period, denominator, and accounting source instead of debating a floating statistic.</w:t>
      </w:r>
    </w:p>
    <w:p>
      <w:pPr>
        <w:spacing w:after="80"/>
        <w:ind w:left="504" w:hanging="317"/>
        <w:jc w:val="left"/>
      </w:pPr>
      <w:r>
        <w:rPr>
          <w:rFonts w:ascii="Calibri" w:hAnsi="Calibri"/>
          <w:color w:val="1F2933"/>
          <w:sz w:val="22"/>
        </w:rPr>
        <w:t xml:space="preserve">5. </w:t>
      </w:r>
      <w:r>
        <w:rPr>
          <w:rFonts w:ascii="Calibri" w:hAnsi="Calibri"/>
          <w:b/>
          <w:color w:val="1F2933"/>
          <w:sz w:val="22"/>
        </w:rPr>
        <w:t>Promise-to-Progress Record.</w:t>
      </w:r>
      <w:r>
        <w:rPr>
          <w:rFonts w:ascii="Calibri" w:hAnsi="Calibri"/>
          <w:color w:val="1F2933"/>
          <w:sz w:val="22"/>
        </w:rPr>
        <w:t xml:space="preserve"> Track observable milestones. Do not claim to measure sincerity or guarantee a future outcome.</w:t>
      </w:r>
    </w:p>
    <w:p>
      <w:pPr>
        <w:spacing w:after="80"/>
        <w:ind w:left="504" w:hanging="317"/>
        <w:jc w:val="left"/>
      </w:pPr>
      <w:r>
        <w:rPr>
          <w:rFonts w:ascii="Calibri" w:hAnsi="Calibri"/>
          <w:color w:val="1F2933"/>
          <w:sz w:val="22"/>
        </w:rPr>
        <w:t xml:space="preserve">6. </w:t>
      </w:r>
      <w:r>
        <w:rPr>
          <w:rFonts w:ascii="Calibri" w:hAnsi="Calibri"/>
          <w:b/>
          <w:color w:val="1F2933"/>
          <w:sz w:val="22"/>
        </w:rPr>
        <w:t>Policy Text Walkthrough.</w:t>
      </w:r>
      <w:r>
        <w:rPr>
          <w:rFonts w:ascii="Calibri" w:hAnsi="Calibri"/>
          <w:color w:val="1F2933"/>
          <w:sz w:val="22"/>
        </w:rPr>
        <w:t xml:space="preserve"> Compare a claim about a named bill, amendment, order, or proposal with the exact cited section.</w:t>
      </w:r>
    </w:p>
    <w:p>
      <w:pPr>
        <w:spacing w:after="80"/>
        <w:ind w:left="504" w:hanging="317"/>
        <w:jc w:val="left"/>
      </w:pPr>
      <w:r>
        <w:rPr>
          <w:rFonts w:ascii="Calibri" w:hAnsi="Calibri"/>
          <w:color w:val="1F2933"/>
          <w:sz w:val="22"/>
        </w:rPr>
        <w:t xml:space="preserve">7. </w:t>
      </w:r>
      <w:r>
        <w:rPr>
          <w:rFonts w:ascii="Calibri" w:hAnsi="Calibri"/>
          <w:b/>
          <w:color w:val="1F2933"/>
          <w:sz w:val="22"/>
        </w:rPr>
        <w:t>Evidence Map.</w:t>
      </w:r>
      <w:r>
        <w:rPr>
          <w:rFonts w:ascii="Calibri" w:hAnsi="Calibri"/>
          <w:color w:val="1F2933"/>
          <w:sz w:val="22"/>
        </w:rPr>
        <w:t xml:space="preserve"> Place supporting and meaningfully adverse sources together while keeping DGG’s conclusion separate.</w:t>
      </w:r>
    </w:p>
    <w:p>
      <w:pPr>
        <w:spacing w:after="80"/>
        <w:ind w:left="504" w:hanging="317"/>
        <w:jc w:val="left"/>
      </w:pPr>
      <w:r>
        <w:rPr>
          <w:rFonts w:ascii="Calibri" w:hAnsi="Calibri"/>
          <w:color w:val="1F2933"/>
          <w:sz w:val="22"/>
        </w:rPr>
        <w:t xml:space="preserve">8. </w:t>
      </w:r>
      <w:r>
        <w:rPr>
          <w:rFonts w:ascii="Calibri" w:hAnsi="Calibri"/>
          <w:b/>
          <w:color w:val="1F2933"/>
          <w:sz w:val="22"/>
        </w:rPr>
        <w:t>Correction Desk.</w:t>
      </w:r>
      <w:r>
        <w:rPr>
          <w:rFonts w:ascii="Calibri" w:hAnsi="Calibri"/>
          <w:color w:val="1F2933"/>
          <w:sz w:val="22"/>
        </w:rPr>
        <w:t xml:space="preserve"> Show the old wording, new wording, reason, source, date, and version in a predictable format.</w:t>
      </w:r>
    </w:p>
    <w:p>
      <w:pPr>
        <w:spacing w:after="80"/>
        <w:ind w:left="504" w:hanging="317"/>
        <w:jc w:val="left"/>
      </w:pPr>
      <w:r>
        <w:rPr>
          <w:rFonts w:ascii="Calibri" w:hAnsi="Calibri"/>
          <w:color w:val="1F2933"/>
          <w:sz w:val="22"/>
        </w:rPr>
        <w:t xml:space="preserve">9. </w:t>
      </w:r>
      <w:r>
        <w:rPr>
          <w:rFonts w:ascii="Calibri" w:hAnsi="Calibri"/>
          <w:b/>
          <w:color w:val="1F2933"/>
          <w:sz w:val="22"/>
        </w:rPr>
        <w:t>Role or Relationship Snapshot.</w:t>
      </w:r>
      <w:r>
        <w:rPr>
          <w:rFonts w:ascii="Calibri" w:hAnsi="Calibri"/>
          <w:color w:val="1F2933"/>
          <w:sz w:val="22"/>
        </w:rPr>
        <w:t xml:space="preserve"> Record a narrowly scoped present role, ownership interest, vendor relationship, or public disclosure.</w:t>
      </w:r>
    </w:p>
    <w:p>
      <w:pPr>
        <w:spacing w:after="80"/>
        <w:ind w:left="504" w:hanging="317"/>
        <w:jc w:val="left"/>
      </w:pPr>
      <w:r>
        <w:rPr>
          <w:rFonts w:ascii="Calibri" w:hAnsi="Calibri"/>
          <w:color w:val="1F2933"/>
          <w:sz w:val="22"/>
        </w:rPr>
        <w:t xml:space="preserve">10. </w:t>
      </w:r>
      <w:r>
        <w:rPr>
          <w:rFonts w:ascii="Calibri" w:hAnsi="Calibri"/>
          <w:b/>
          <w:color w:val="1F2933"/>
          <w:sz w:val="22"/>
        </w:rPr>
        <w:t>Public-Record Reconciliation.</w:t>
      </w:r>
      <w:r>
        <w:rPr>
          <w:rFonts w:ascii="Calibri" w:hAnsi="Calibri"/>
          <w:color w:val="1F2933"/>
          <w:sz w:val="22"/>
        </w:rPr>
        <w:t xml:space="preserve"> Show conflicting records and preserve “unable to verify” when the evidence does not resolve them.</w:t>
      </w:r>
    </w:p>
    <w:p>
      <w:pPr>
        <w:jc w:val="both"/>
      </w:pPr>
      <w:r>
        <w:rPr>
          <w:rFonts w:ascii="Calibri" w:hAnsi="Calibri"/>
          <w:color w:val="1F2933"/>
          <w:sz w:val="22"/>
        </w:rPr>
        <w:t xml:space="preserve">The strongest first demonstration would be for DGG to use the format on one of its </w:t>
      </w:r>
      <w:r>
        <w:rPr>
          <w:rFonts w:ascii="Calibri" w:hAnsi="Calibri"/>
          <w:b/>
          <w:color w:val="1F2933"/>
          <w:sz w:val="22"/>
        </w:rPr>
        <w:t>own</w:t>
      </w:r>
      <w:r>
        <w:rPr>
          <w:rFonts w:ascii="Calibri" w:hAnsi="Calibri"/>
          <w:color w:val="1F2933"/>
          <w:sz w:val="22"/>
        </w:rPr>
        <w:t xml:space="preserve"> reporting claims. That proves the method is not a tool applied only to guests or political opponents.</w:t>
      </w:r>
    </w:p>
    <w:p>
      <w:pPr>
        <w:pStyle w:val="Heading1"/>
      </w:pPr>
      <w:r>
        <w:rPr>
          <w:rFonts w:ascii="Calibri" w:hAnsi="Calibri"/>
          <w:b/>
          <w:color w:val="2E74B5"/>
          <w:sz w:val="32"/>
        </w:rPr>
        <w:t>6. What the Claim Record is—and is not</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680"/>
            <w:shd w:fill="2E74B5"/>
            <w:tcMar>
              <w:top w:w="75" w:type="dxa"/>
              <w:start w:w="90" w:type="dxa"/>
              <w:bottom w:w="75" w:type="dxa"/>
              <w:end w:w="90" w:type="dxa"/>
            </w:tcMar>
          </w:tcPr>
          <w:p>
            <w:pPr>
              <w:spacing w:after="0"/>
              <w:jc w:val="left"/>
            </w:pPr>
            <w:r>
              <w:rPr>
                <w:rFonts w:ascii="Calibri" w:hAnsi="Calibri"/>
                <w:b/>
                <w:color w:val="FFFFFF"/>
                <w:sz w:val="19"/>
              </w:rPr>
              <w:t>It is</w:t>
            </w:r>
          </w:p>
        </w:tc>
        <w:tc>
          <w:tcPr>
            <w:tcW w:type="dxa" w:w="4680"/>
            <w:shd w:fill="2E74B5"/>
            <w:tcMar>
              <w:top w:w="75" w:type="dxa"/>
              <w:start w:w="90" w:type="dxa"/>
              <w:bottom w:w="75" w:type="dxa"/>
              <w:end w:w="90" w:type="dxa"/>
            </w:tcMar>
          </w:tcPr>
          <w:p>
            <w:pPr>
              <w:spacing w:after="0"/>
              <w:jc w:val="left"/>
            </w:pPr>
            <w:r>
              <w:rPr>
                <w:rFonts w:ascii="Calibri" w:hAnsi="Calibri"/>
                <w:b/>
                <w:color w:val="FFFFFF"/>
                <w:sz w:val="19"/>
              </w:rPr>
              <w:t>It is not</w:t>
            </w:r>
          </w:p>
        </w:tc>
      </w:tr>
      <w:tr>
        <w:trPr>
          <w:cantSplit/>
        </w:trPr>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participant-authored record of one narrow claim</w:t>
            </w:r>
          </w:p>
        </w:tc>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whole-interview oath</w:t>
            </w:r>
          </w:p>
        </w:tc>
      </w:tr>
      <w:tr>
        <w:trPr>
          <w:cantSplit/>
        </w:trPr>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 way to keep exact words, evidence, limits, and corrections together</w:t>
            </w:r>
          </w:p>
        </w:tc>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Proof that a claim is true</w:t>
            </w:r>
          </w:p>
        </w:tc>
      </w:tr>
      <w:tr>
        <w:trPr>
          <w:cantSplit/>
        </w:trPr>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transparent reporting and version-control method</w:t>
            </w:r>
          </w:p>
        </w:tc>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government form, official proceeding, or law-enforcement intake</w:t>
            </w:r>
          </w:p>
        </w:tc>
      </w:tr>
      <w:tr>
        <w:trPr>
          <w:cantSplit/>
        </w:trPr>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 voluntary publication choice</w:t>
            </w:r>
          </w:p>
        </w:tc>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 condition of access, candidacy, benefits, employment, licensing, or public service</w:t>
            </w:r>
          </w:p>
        </w:tc>
      </w:tr>
      <w:tr>
        <w:trPr>
          <w:cantSplit/>
        </w:trPr>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source for DGG’s independent reporting</w:t>
            </w:r>
          </w:p>
        </w:tc>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substitute for DGG’s fact-checking</w:t>
            </w:r>
          </w:p>
        </w:tc>
      </w:tr>
      <w:tr>
        <w:trPr>
          <w:cantSplit/>
        </w:trPr>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 record-specific signal</w:t>
            </w:r>
          </w:p>
        </w:tc>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An honesty badge, character score, or candidate ranking</w:t>
            </w:r>
          </w:p>
        </w:tc>
      </w:tr>
      <w:tr>
        <w:trPr>
          <w:cantSplit/>
        </w:trPr>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system that permits uncertainty and correction</w:t>
            </w:r>
          </w:p>
        </w:tc>
        <w:tc>
          <w:tcPr>
            <w:tcW w:type="dxa" w:w="4680"/>
            <w:tcMar>
              <w:top w:w="70" w:type="dxa"/>
              <w:start w:w="90" w:type="dxa"/>
              <w:bottom w:w="70" w:type="dxa"/>
              <w:end w:w="90" w:type="dxa"/>
            </w:tcMar>
            <w:vAlign w:val="top"/>
          </w:tcPr>
          <w:p>
            <w:pPr>
              <w:spacing w:after="0" w:line="259" w:lineRule="auto"/>
              <w:jc w:val="left"/>
            </w:pPr>
            <w:r>
              <w:rPr>
                <w:rFonts w:ascii="Calibri" w:hAnsi="Calibri"/>
                <w:color w:val="1F2933"/>
                <w:sz w:val="19"/>
              </w:rPr>
              <w:t>A forced yes/no test or live ambush</w:t>
            </w:r>
          </w:p>
        </w:tc>
      </w:tr>
      <w:tr>
        <w:trPr>
          <w:cantSplit/>
        </w:trPr>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 private media/research concept</w:t>
            </w:r>
          </w:p>
        </w:tc>
        <w:tc>
          <w:tcPr>
            <w:tcW w:type="dxa" w:w="4680"/>
            <w:shd w:fill="F4F6F9"/>
            <w:tcMar>
              <w:top w:w="70" w:type="dxa"/>
              <w:start w:w="90" w:type="dxa"/>
              <w:bottom w:w="70" w:type="dxa"/>
              <w:end w:w="90" w:type="dxa"/>
            </w:tcMar>
            <w:vAlign w:val="top"/>
          </w:tcPr>
          <w:p>
            <w:pPr>
              <w:spacing w:after="0" w:line="259" w:lineRule="auto"/>
              <w:jc w:val="left"/>
            </w:pPr>
            <w:r>
              <w:rPr>
                <w:rFonts w:ascii="Calibri" w:hAnsi="Calibri"/>
                <w:color w:val="1F2933"/>
                <w:sz w:val="19"/>
              </w:rPr>
              <w:t>A government partnership or state truth tribunal</w:t>
            </w:r>
          </w:p>
        </w:tc>
      </w:tr>
    </w:tbl>
    <w:p>
      <w:pPr>
        <w:spacing w:after="40"/>
      </w:pPr>
    </w:p>
    <w:p>
      <w:pPr>
        <w:pStyle w:val="Heading1"/>
      </w:pPr>
      <w:r>
        <w:rPr>
          <w:rFonts w:ascii="Calibri" w:hAnsi="Calibri"/>
          <w:b/>
          <w:color w:val="2E74B5"/>
          <w:sz w:val="32"/>
        </w:rPr>
        <w:t>7. How the workflow would work</w:t>
      </w:r>
    </w:p>
    <w:p>
      <w:pPr>
        <w:pStyle w:val="Heading2"/>
      </w:pPr>
      <w:r>
        <w:rPr>
          <w:rFonts w:ascii="Calibri" w:hAnsi="Calibri"/>
          <w:b/>
          <w:color w:val="2E74B5"/>
          <w:sz w:val="26"/>
        </w:rPr>
        <w:t>Step 1 — Admit only a suitable question</w:t>
      </w:r>
    </w:p>
    <w:p>
      <w:pPr>
        <w:jc w:val="both"/>
      </w:pPr>
      <w:r>
        <w:rPr>
          <w:rFonts w:ascii="Calibri" w:hAnsi="Calibri"/>
          <w:color w:val="1F2933"/>
          <w:sz w:val="22"/>
        </w:rPr>
        <w:t>DGG applies a written admission screen. The question must be narrow, relevant, factually checkable as of a defined date, supported by a legitimate reporting purpose, and answerable without demanding privileged, private, dangerous, or speculative material.</w:t>
      </w:r>
    </w:p>
    <w:p>
      <w:pPr>
        <w:jc w:val="both"/>
      </w:pPr>
      <w:r>
        <w:rPr>
          <w:rFonts w:ascii="Calibri" w:hAnsi="Calibri"/>
          <w:color w:val="1F2933"/>
          <w:sz w:val="22"/>
        </w:rPr>
        <w:t>The format should reject questions about motive, sincerity, prediction, broad legal compliance, criminal guilt, someone else’s secret conduct, active litigation, confidential national-security matters, private medical or family facts, and unsupported accusations.</w:t>
      </w:r>
    </w:p>
    <w:p>
      <w:pPr>
        <w:jc w:val="both"/>
      </w:pPr>
      <w:r>
        <w:rPr>
          <w:rFonts w:ascii="Calibri" w:hAnsi="Calibri"/>
          <w:b/>
          <w:color w:val="1F2933"/>
          <w:sz w:val="22"/>
        </w:rPr>
        <w:t>Why:</w:t>
      </w:r>
      <w:r>
        <w:rPr>
          <w:rFonts w:ascii="Calibri" w:hAnsi="Calibri"/>
          <w:color w:val="1F2933"/>
          <w:sz w:val="22"/>
        </w:rPr>
        <w:t xml:space="preserve"> A formal record cannot repair a question that is unfair or impossible to answer.</w:t>
      </w:r>
    </w:p>
    <w:p>
      <w:pPr>
        <w:pStyle w:val="Heading2"/>
      </w:pPr>
      <w:r>
        <w:rPr>
          <w:rFonts w:ascii="Calibri" w:hAnsi="Calibri"/>
          <w:b/>
          <w:color w:val="2E74B5"/>
          <w:sz w:val="26"/>
        </w:rPr>
        <w:t>Step 2 — Define the proposition</w:t>
      </w:r>
    </w:p>
    <w:p>
      <w:pPr>
        <w:jc w:val="both"/>
      </w:pPr>
      <w:r>
        <w:rPr>
          <w:rFonts w:ascii="Calibri" w:hAnsi="Calibri"/>
          <w:color w:val="1F2933"/>
          <w:sz w:val="22"/>
        </w:rPr>
        <w:t>DGG states the relevant person or entity, conduct, date range, location, data cutoff, and any term that could carry competing meanings. Compound questions are split into independently answerable propositions.</w:t>
      </w:r>
    </w:p>
    <w:p>
      <w:pPr>
        <w:jc w:val="both"/>
      </w:pPr>
      <w:r>
        <w:rPr>
          <w:rFonts w:ascii="Calibri" w:hAnsi="Calibri"/>
          <w:b/>
          <w:color w:val="1F2933"/>
          <w:sz w:val="22"/>
        </w:rPr>
        <w:t>Why:</w:t>
      </w:r>
      <w:r>
        <w:rPr>
          <w:rFonts w:ascii="Calibri" w:hAnsi="Calibri"/>
          <w:color w:val="1F2933"/>
          <w:sz w:val="22"/>
        </w:rPr>
        <w:t xml:space="preserve"> Political disagreement often hides inside undefined words such as “funded,” “supported,” “worked for,” “knew,” or “approved.” Precision removes that escape hatch for both the interviewer and the participant.</w:t>
      </w:r>
    </w:p>
    <w:p>
      <w:pPr>
        <w:pStyle w:val="Heading2"/>
      </w:pPr>
      <w:r>
        <w:rPr>
          <w:rFonts w:ascii="Calibri" w:hAnsi="Calibri"/>
          <w:b/>
          <w:color w:val="2E74B5"/>
          <w:sz w:val="26"/>
        </w:rPr>
        <w:t>Step 3 — Build a balanced source packet</w:t>
      </w:r>
    </w:p>
    <w:p>
      <w:pPr>
        <w:jc w:val="both"/>
      </w:pPr>
      <w:r>
        <w:rPr>
          <w:rFonts w:ascii="Calibri" w:hAnsi="Calibri"/>
          <w:color w:val="1F2933"/>
          <w:sz w:val="22"/>
        </w:rPr>
        <w:t>DGG gathers the source that prompted the question and searches for meaningful contrary or qualifying evidence. The participant may add sources. Each source records title, publisher, date, access date, stable link or archive reference, and the proposition it actually supports.</w:t>
      </w:r>
    </w:p>
    <w:p>
      <w:pPr>
        <w:jc w:val="both"/>
      </w:pPr>
      <w:r>
        <w:rPr>
          <w:rFonts w:ascii="Calibri" w:hAnsi="Calibri"/>
          <w:b/>
          <w:color w:val="1F2933"/>
          <w:sz w:val="22"/>
        </w:rPr>
        <w:t>Why:</w:t>
      </w:r>
      <w:r>
        <w:rPr>
          <w:rFonts w:ascii="Calibri" w:hAnsi="Calibri"/>
          <w:color w:val="1F2933"/>
          <w:sz w:val="22"/>
        </w:rPr>
        <w:t xml:space="preserve"> “Show your work” is not credible if DGG supplies only the evidence that favors its initial theory.</w:t>
      </w:r>
    </w:p>
    <w:p>
      <w:pPr>
        <w:pStyle w:val="Heading2"/>
      </w:pPr>
      <w:r>
        <w:rPr>
          <w:rFonts w:ascii="Calibri" w:hAnsi="Calibri"/>
          <w:b/>
          <w:color w:val="2E74B5"/>
          <w:sz w:val="26"/>
        </w:rPr>
        <w:t>Step 4 — Invite privately and provide time</w:t>
      </w:r>
    </w:p>
    <w:p>
      <w:pPr>
        <w:jc w:val="both"/>
      </w:pPr>
      <w:r>
        <w:rPr>
          <w:rFonts w:ascii="Calibri" w:hAnsi="Calibri"/>
          <w:color w:val="1F2933"/>
          <w:sz w:val="22"/>
        </w:rPr>
        <w:t>The participant receives the question, definitions, source packet, response options, process explanation, publication choices, and correction policy before any on-camera Claim Record segment. They may consult counsel or advisers, ask questions, propose a narrower accurate formulation, or decline privately.</w:t>
      </w:r>
    </w:p>
    <w:p>
      <w:pPr>
        <w:jc w:val="both"/>
      </w:pPr>
      <w:r>
        <w:rPr>
          <w:rFonts w:ascii="Calibri" w:hAnsi="Calibri"/>
          <w:b/>
          <w:color w:val="1F2933"/>
          <w:sz w:val="22"/>
        </w:rPr>
        <w:t>Why:</w:t>
      </w:r>
      <w:r>
        <w:rPr>
          <w:rFonts w:ascii="Calibri" w:hAnsi="Calibri"/>
          <w:color w:val="1F2933"/>
          <w:sz w:val="22"/>
        </w:rPr>
        <w:t xml:space="preserve"> The project is testing preparation and precision, not memory under ambush conditions.</w:t>
      </w:r>
    </w:p>
    <w:p>
      <w:pPr>
        <w:pStyle w:val="Heading2"/>
      </w:pPr>
      <w:r>
        <w:rPr>
          <w:rFonts w:ascii="Calibri" w:hAnsi="Calibri"/>
          <w:b/>
          <w:color w:val="2E74B5"/>
          <w:sz w:val="26"/>
        </w:rPr>
        <w:t>Step 5 — Let the participant author the answer</w:t>
      </w:r>
    </w:p>
    <w:p>
      <w:pPr>
        <w:jc w:val="both"/>
      </w:pPr>
      <w:r>
        <w:rPr>
          <w:rFonts w:ascii="Calibri" w:hAnsi="Calibri"/>
          <w:color w:val="1F2933"/>
          <w:sz w:val="22"/>
        </w:rPr>
        <w:t>DGG may identify ambiguity or suggest plainer formatting, but the participant controls the substance of the attributed answer. Every material change returns to the participant for approval.</w:t>
      </w:r>
    </w:p>
    <w:p>
      <w:pPr>
        <w:jc w:val="both"/>
      </w:pPr>
      <w:r>
        <w:rPr>
          <w:rFonts w:ascii="Calibri" w:hAnsi="Calibri"/>
          <w:b/>
          <w:color w:val="1F2933"/>
          <w:sz w:val="22"/>
        </w:rPr>
        <w:t>Why:</w:t>
      </w:r>
      <w:r>
        <w:rPr>
          <w:rFonts w:ascii="Calibri" w:hAnsi="Calibri"/>
          <w:color w:val="1F2933"/>
          <w:sz w:val="22"/>
        </w:rPr>
        <w:t xml:space="preserve"> A person cannot meaningfully stand behind a sentence that a producer quietly made stronger.</w:t>
      </w:r>
    </w:p>
    <w:p>
      <w:pPr>
        <w:pStyle w:val="Heading2"/>
      </w:pPr>
      <w:r>
        <w:rPr>
          <w:rFonts w:ascii="Calibri" w:hAnsi="Calibri"/>
          <w:b/>
          <w:color w:val="2E74B5"/>
          <w:sz w:val="26"/>
        </w:rPr>
        <w:t>Step 6 — Record knowledge, limits, and response type</w:t>
      </w:r>
    </w:p>
    <w:p>
      <w:pPr>
        <w:jc w:val="both"/>
      </w:pPr>
      <w:r>
        <w:rPr>
          <w:rFonts w:ascii="Calibri" w:hAnsi="Calibri"/>
          <w:color w:val="1F2933"/>
          <w:sz w:val="22"/>
        </w:rPr>
        <w:t>The participant selects an answer lane and identifies the basis for the answer. Any material qualification appears immediately beside the claim, not in a disconnected footnote.</w:t>
      </w:r>
    </w:p>
    <w:p>
      <w:pPr>
        <w:jc w:val="both"/>
      </w:pPr>
      <w:r>
        <w:rPr>
          <w:rFonts w:ascii="Calibri" w:hAnsi="Calibri"/>
          <w:b/>
          <w:color w:val="1F2933"/>
          <w:sz w:val="22"/>
        </w:rPr>
        <w:t>Why:</w:t>
      </w:r>
      <w:r>
        <w:rPr>
          <w:rFonts w:ascii="Calibri" w:hAnsi="Calibri"/>
          <w:color w:val="1F2933"/>
          <w:sz w:val="22"/>
        </w:rPr>
        <w:t xml:space="preserve"> Precision should reward “I do not know” when that is the honest answer.</w:t>
      </w:r>
    </w:p>
    <w:p>
      <w:pPr>
        <w:pStyle w:val="Heading2"/>
      </w:pPr>
      <w:r>
        <w:rPr>
          <w:rFonts w:ascii="Calibri" w:hAnsi="Calibri"/>
          <w:b/>
          <w:color w:val="2E74B5"/>
          <w:sz w:val="26"/>
        </w:rPr>
        <w:t>Step 7 — Keep DGG’s analysis separate</w:t>
      </w:r>
    </w:p>
    <w:p>
      <w:pPr>
        <w:jc w:val="both"/>
      </w:pPr>
      <w:r>
        <w:rPr>
          <w:rFonts w:ascii="Calibri" w:hAnsi="Calibri"/>
          <w:color w:val="1F2933"/>
          <w:sz w:val="22"/>
        </w:rPr>
        <w:t>DGG independently assesses the evidence and uses a neutral finding such as supported, contradicted, mixed, insufficient evidence, or not independently assessable. The participant does not control DGG’s finding. DGG does not rewrite the participant’s answer.</w:t>
      </w:r>
    </w:p>
    <w:p>
      <w:pPr>
        <w:jc w:val="both"/>
      </w:pPr>
      <w:r>
        <w:rPr>
          <w:rFonts w:ascii="Calibri" w:hAnsi="Calibri"/>
          <w:b/>
          <w:color w:val="1F2933"/>
          <w:sz w:val="22"/>
        </w:rPr>
        <w:t>Why:</w:t>
      </w:r>
      <w:r>
        <w:rPr>
          <w:rFonts w:ascii="Calibri" w:hAnsi="Calibri"/>
          <w:color w:val="1F2933"/>
          <w:sz w:val="22"/>
        </w:rPr>
        <w:t xml:space="preserve"> The Claim Record must not become candidate-produced publicity, and DGG must not make its analysis look participant-endorsed.</w:t>
      </w:r>
    </w:p>
    <w:p>
      <w:pPr>
        <w:pStyle w:val="Heading2"/>
      </w:pPr>
      <w:r>
        <w:rPr>
          <w:rFonts w:ascii="Calibri" w:hAnsi="Calibri"/>
          <w:b/>
          <w:color w:val="2E74B5"/>
          <w:sz w:val="26"/>
        </w:rPr>
        <w:t>Step 8 — Show the final proof and freeze the version</w:t>
      </w:r>
    </w:p>
    <w:p>
      <w:pPr>
        <w:jc w:val="both"/>
      </w:pPr>
      <w:r>
        <w:rPr>
          <w:rFonts w:ascii="Calibri" w:hAnsi="Calibri"/>
          <w:color w:val="1F2933"/>
          <w:sz w:val="22"/>
        </w:rPr>
        <w:t>The participant sees the exact final attributed section and approves publication of that version. The record receives a unique ID, date, version number, and file digest. The digest proves file identity, not truth.</w:t>
      </w:r>
    </w:p>
    <w:p>
      <w:pPr>
        <w:jc w:val="both"/>
      </w:pPr>
      <w:r>
        <w:rPr>
          <w:rFonts w:ascii="Calibri" w:hAnsi="Calibri"/>
          <w:b/>
          <w:color w:val="1F2933"/>
          <w:sz w:val="22"/>
        </w:rPr>
        <w:t>Why:</w:t>
      </w:r>
      <w:r>
        <w:rPr>
          <w:rFonts w:ascii="Calibri" w:hAnsi="Calibri"/>
          <w:color w:val="1F2933"/>
          <w:sz w:val="22"/>
        </w:rPr>
        <w:t xml:space="preserve"> Everyone should be able to identify which exact words were approved and whether a later copy was altered.</w:t>
      </w:r>
    </w:p>
    <w:p>
      <w:pPr>
        <w:pStyle w:val="Heading2"/>
      </w:pPr>
      <w:r>
        <w:rPr>
          <w:rFonts w:ascii="Calibri" w:hAnsi="Calibri"/>
          <w:b/>
          <w:color w:val="2E74B5"/>
          <w:sz w:val="26"/>
        </w:rPr>
        <w:t>Step 9 — Publish with a visible status banner</w:t>
      </w:r>
    </w:p>
    <w:p>
      <w:pPr>
        <w:jc w:val="both"/>
      </w:pPr>
      <w:r>
        <w:rPr>
          <w:rFonts w:ascii="Calibri" w:hAnsi="Calibri"/>
          <w:color w:val="1F2933"/>
          <w:sz w:val="22"/>
        </w:rPr>
        <w:t>Every page and clip link makes the boundaries conspicuous:</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VOLUNTARY • NON-SWORN • NOT UNDER PENALTY OF PERJURY • NOT A GOVERNMENT FILING • DGG HAS NOT CERTIFIED THIS CLAIM AS TRUE</w:t>
            </w:r>
          </w:p>
        </w:tc>
      </w:tr>
    </w:tbl>
    <w:p>
      <w:pPr>
        <w:spacing w:after="40"/>
      </w:pPr>
    </w:p>
    <w:p>
      <w:pPr>
        <w:jc w:val="both"/>
      </w:pPr>
      <w:r>
        <w:rPr>
          <w:rFonts w:ascii="Calibri" w:hAnsi="Calibri"/>
          <w:b/>
          <w:color w:val="1F2933"/>
          <w:sz w:val="22"/>
        </w:rPr>
        <w:t>Why:</w:t>
      </w:r>
      <w:r>
        <w:rPr>
          <w:rFonts w:ascii="Calibri" w:hAnsi="Calibri"/>
          <w:color w:val="1F2933"/>
          <w:sz w:val="22"/>
        </w:rPr>
        <w:t xml:space="preserve"> A polished document can accidentally look official. The limits must be as visible as the branding.</w:t>
      </w:r>
    </w:p>
    <w:p>
      <w:pPr>
        <w:pStyle w:val="Heading2"/>
      </w:pPr>
      <w:r>
        <w:rPr>
          <w:rFonts w:ascii="Calibri" w:hAnsi="Calibri"/>
          <w:b/>
          <w:color w:val="2E74B5"/>
          <w:sz w:val="26"/>
        </w:rPr>
        <w:t>Step 10 — Correct by linked version, never silent overwrite</w:t>
      </w:r>
    </w:p>
    <w:p>
      <w:pPr>
        <w:jc w:val="both"/>
      </w:pPr>
      <w:r>
        <w:rPr>
          <w:rFonts w:ascii="Calibri" w:hAnsi="Calibri"/>
          <w:color w:val="1F2933"/>
          <w:sz w:val="22"/>
        </w:rPr>
        <w:t>Before publication, the participant may revise or withdraw privately. After publication, a substantive change creates a new dated version. The current page points to the correction and the prior version; the prior page is marked superseded.</w:t>
      </w:r>
    </w:p>
    <w:p>
      <w:pPr>
        <w:jc w:val="both"/>
      </w:pPr>
      <w:r>
        <w:rPr>
          <w:rFonts w:ascii="Calibri" w:hAnsi="Calibri"/>
          <w:b/>
          <w:color w:val="1F2933"/>
          <w:sz w:val="22"/>
        </w:rPr>
        <w:t>Why:</w:t>
      </w:r>
      <w:r>
        <w:rPr>
          <w:rFonts w:ascii="Calibri" w:hAnsi="Calibri"/>
          <w:color w:val="1F2933"/>
          <w:sz w:val="22"/>
        </w:rPr>
        <w:t xml:space="preserve"> The correction travels with the claim, while the archive remains honest.</w:t>
      </w:r>
    </w:p>
    <w:p>
      <w:pPr>
        <w:sectPr>
          <w:headerReference w:type="default" r:id="rId9"/>
          <w:footerReference w:type="default" r:id="rId10"/>
          <w:pgSz w:w="12240" w:h="15840"/>
          <w:pgMar w:top="1152" w:right="1440" w:bottom="1080" w:left="1440" w:header="432" w:footer="432" w:gutter="0"/>
          <w:cols w:space="720"/>
          <w:titlePg/>
          <w:docGrid w:linePitch="360"/>
        </w:sectPr>
      </w:pPr>
    </w:p>
    <w:p>
      <w:pPr>
        <w:pStyle w:val="Heading1"/>
      </w:pPr>
      <w:r>
        <w:rPr>
          <w:rFonts w:ascii="Calibri" w:hAnsi="Calibri"/>
          <w:b/>
          <w:color w:val="2E74B5"/>
          <w:sz w:val="32"/>
        </w:rPr>
        <w:t>8. Every moving part and why it exists</w:t>
      </w:r>
    </w:p>
    <w:p>
      <w:pPr>
        <w:jc w:val="both"/>
      </w:pPr>
      <w:r>
        <w:rPr>
          <w:rFonts w:ascii="Calibri" w:hAnsi="Calibri"/>
          <w:color w:val="1F2933"/>
          <w:sz w:val="22"/>
        </w:rPr>
        <w:t>The following matrix is the system’s mechanical heart.</w:t>
      </w:r>
    </w:p>
    <w:tbl>
      <w:tblPr>
        <w:tblW w:type="auto" w:w="0"/>
        <w:jc w:val="center"/>
        <w:tblLayout w:type="fixed"/>
        <w:tblLook w:firstColumn="1" w:firstRow="1" w:lastColumn="0" w:lastRow="0" w:noHBand="0" w:noVBand="1" w:val="04A0"/>
      </w:tblPr>
      <w:tblGrid>
        <w:gridCol w:w="3492"/>
        <w:gridCol w:w="3492"/>
        <w:gridCol w:w="3492"/>
        <w:gridCol w:w="3492"/>
      </w:tblGrid>
      <w:tr>
        <w:trPr>
          <w:tblHeader w:val="true"/>
          <w:cantSplit/>
        </w:trPr>
        <w:tc>
          <w:tcPr>
            <w:tcW w:type="dxa" w:w="2514"/>
            <w:shd w:fill="2E74B5"/>
            <w:tcMar>
              <w:top w:w="75" w:type="dxa"/>
              <w:start w:w="90" w:type="dxa"/>
              <w:bottom w:w="75" w:type="dxa"/>
              <w:end w:w="90" w:type="dxa"/>
            </w:tcMar>
          </w:tcPr>
          <w:p>
            <w:pPr>
              <w:spacing w:after="0"/>
              <w:jc w:val="left"/>
            </w:pPr>
            <w:r>
              <w:rPr>
                <w:rFonts w:ascii="Calibri" w:hAnsi="Calibri"/>
                <w:b/>
                <w:color w:val="FFFFFF"/>
                <w:sz w:val="16"/>
              </w:rPr>
              <w:t>Moving part</w:t>
            </w:r>
          </w:p>
        </w:tc>
        <w:tc>
          <w:tcPr>
            <w:tcW w:type="dxa" w:w="3492"/>
            <w:shd w:fill="2E74B5"/>
            <w:tcMar>
              <w:top w:w="75" w:type="dxa"/>
              <w:start w:w="90" w:type="dxa"/>
              <w:bottom w:w="75" w:type="dxa"/>
              <w:end w:w="90" w:type="dxa"/>
            </w:tcMar>
          </w:tcPr>
          <w:p>
            <w:pPr>
              <w:spacing w:after="0"/>
              <w:jc w:val="left"/>
            </w:pPr>
            <w:r>
              <w:rPr>
                <w:rFonts w:ascii="Calibri" w:hAnsi="Calibri"/>
                <w:b/>
                <w:color w:val="FFFFFF"/>
                <w:sz w:val="16"/>
              </w:rPr>
              <w:t>Problem it prevents</w:t>
            </w:r>
          </w:p>
        </w:tc>
        <w:tc>
          <w:tcPr>
            <w:tcW w:type="dxa" w:w="3771"/>
            <w:shd w:fill="2E74B5"/>
            <w:tcMar>
              <w:top w:w="75" w:type="dxa"/>
              <w:start w:w="90" w:type="dxa"/>
              <w:bottom w:w="75" w:type="dxa"/>
              <w:end w:w="90" w:type="dxa"/>
            </w:tcMar>
          </w:tcPr>
          <w:p>
            <w:pPr>
              <w:spacing w:after="0"/>
              <w:jc w:val="left"/>
            </w:pPr>
            <w:r>
              <w:rPr>
                <w:rFonts w:ascii="Calibri" w:hAnsi="Calibri"/>
                <w:b/>
                <w:color w:val="FFFFFF"/>
                <w:sz w:val="16"/>
              </w:rPr>
              <w:t>Political/reporting value</w:t>
            </w:r>
          </w:p>
        </w:tc>
        <w:tc>
          <w:tcPr>
            <w:tcW w:type="dxa" w:w="4190"/>
            <w:shd w:fill="2E74B5"/>
            <w:tcMar>
              <w:top w:w="75" w:type="dxa"/>
              <w:start w:w="90" w:type="dxa"/>
              <w:bottom w:w="75" w:type="dxa"/>
              <w:end w:w="90" w:type="dxa"/>
            </w:tcMar>
          </w:tcPr>
          <w:p>
            <w:pPr>
              <w:spacing w:after="0"/>
              <w:jc w:val="left"/>
            </w:pPr>
            <w:r>
              <w:rPr>
                <w:rFonts w:ascii="Calibri" w:hAnsi="Calibri"/>
                <w:b/>
                <w:color w:val="FFFFFF"/>
                <w:sz w:val="16"/>
              </w:rPr>
              <w:t>What breaks if it is omitted</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Non-sworn status banner</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A formal page is mistaken for testimony or a government form</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Makes the safety design visible before participation</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Oath fear and truth-halo return through appearance alone</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Private voluntary invitation</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Declining may look suspicious</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A guest can assess the offer without public pressure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“Voluntary” becomes coercive</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No invitee/refusal list</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Nonparticipation becomes an accusation</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Campaigns are not punished for using an ordinary interview instead</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The record becomes a refusal leaderboard</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Question-admission screen</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Gotcha, speculative, private, or legally loaded prompts</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Reserves the segment for claims the format can actually improve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A precise form legitimizes an unfair question</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Fact/opinion boundary</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Values and predictions are treated as checkable facts</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Keeps policy debate open and ordinary</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A signed opinion looks officially verified</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One proposition at a time</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One “yes” appears to endorse several claims</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Lets viewers and reporters check each proposition fairly</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Partly true and partly false bundles become unscorable</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Defined terms and time scope</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Speaker and reporter use different meanings</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Reduces semantic games by both sides</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Apparent agreement or contradiction may be artificial</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Neutral admission criteria</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One party receives harsher questions</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Supports editorial legitimacy and comparable use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The method becomes partisan opposition research</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Advance disclosure</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The participant guesses under pressure</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Rewards preparation and record-checking</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The format measures ambush performance</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Supporting and adverse sources</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DGG cherry-picks evidence</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Lets viewers inspect the dispute, not just the conclusion</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“Transparency” becomes one-sided advocacy</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Source metadata and cutoff</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Links change or do not support the stated proposition</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Makes the research reproducible</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Later reviewers cannot reconstruct the basis</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Participant authorship</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Producers strengthen the quote</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Protects exact attribution</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The participant is credited with someone else’s sentence</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Full response menu</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Forced yes/no creates false certainty</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Makes uncertainty usable information</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The safest answer becomes evasion or guessing</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Basis-of-knowledge field</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Confidence is mistaken for firsthand knowledge</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Separates records, staff reports, observation, and inference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Audiences cannot evaluate how the speaker knows</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Visible qualifications</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Clips remove the caveat</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Keeps the accurate limit beside the claim</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The record becomes a stronger but less accurate quote</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Separation of question, claim, sources, and DGG finding</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One layer appears to endorse another</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Preserves editorial and participant independence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Candidate publicity or false attribution results</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Teach-back comprehension check</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A person approves without understanding publication meaning</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Confirms accessible, informed participation</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Formal consent may hide actual confusion</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No oath, affirmation, jurat, or penalty clause</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Punishment becomes the credibility mechanism</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Keeps the offer about evidence and precision</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The project recreates the criminal-law track</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No notary in the base design</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A seal implies official truth review or a perjury trap</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Removes an unnecessary legal and theatrical layer</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The notary is mistaken for a truth referee</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Layered recording/publication/research consent</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One release hides several different choices</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Lets a guest make granular decisions</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Interview consent is stretched into unrelated uses</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Accessibility and language support</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Formality disadvantages some speakers</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Makes precision available across disability and language</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Comfort with legal-looking forms is mistaken for honesty</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Data-minimized identity check</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Impersonation risk competes with privacy</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Confirms attribution without stockpiling ID images</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Either identity is weak or private data becomes a liability</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Final proof and participant approval</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The published text differs from the reviewed text</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Prevents quote disputes</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No one can establish the approved version</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Version ID, timestamp, and digest</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Copies can be changed or confused</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Makes the archive inspectable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Altered screenshots become indistinguishable</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Separate private master and public derivative</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Redaction changes the file and its hash</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Protects private material while preserving traceability</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A digest is falsely presented for a different document</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Restricted custody and retention policy</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Records can be breached, subpoenaed, or repurposed</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Forces DGG to collect and keep only what it can defend</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Sensitive material sits indefinitely in unmanaged storage</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Linked correction lane</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Permanence discourages honest updating</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Makes correction normal and visible</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Errors persist or are silently rewritten</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No honesty score or green badge</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One claim creates a character halo</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Keeps judgment proposition-specific</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The segment becomes a candidate certification product</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DGG editorial independence</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A campaign turns the process into promotion</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Protects journalism and legal classification</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The record may become coordinated or paid campaign content</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Government firewall</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The project looks like official intake or enforcement</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Makes the private reporting posture credible</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Participants reasonably fear state use or endorsement</w:t>
            </w:r>
          </w:p>
        </w:tc>
      </w:tr>
      <w:tr>
        <w:trPr>
          <w:cantSplit/>
        </w:trPr>
        <w:tc>
          <w:tcPr>
            <w:tcW w:type="dxa" w:w="2514"/>
            <w:tcMar>
              <w:top w:w="70" w:type="dxa"/>
              <w:start w:w="90" w:type="dxa"/>
              <w:bottom w:w="70" w:type="dxa"/>
              <w:end w:w="90" w:type="dxa"/>
            </w:tcMar>
            <w:vAlign w:val="top"/>
          </w:tcPr>
          <w:p>
            <w:pPr>
              <w:spacing w:after="0" w:line="259" w:lineRule="auto"/>
              <w:jc w:val="left"/>
            </w:pPr>
            <w:r>
              <w:rPr>
                <w:rFonts w:ascii="Calibri" w:hAnsi="Calibri"/>
                <w:color w:val="1F2933"/>
                <w:sz w:val="16"/>
              </w:rPr>
              <w:t>Research gates</w:t>
            </w:r>
          </w:p>
        </w:tc>
        <w:tc>
          <w:tcPr>
            <w:tcW w:type="dxa" w:w="3492"/>
            <w:tcMar>
              <w:top w:w="70" w:type="dxa"/>
              <w:start w:w="90" w:type="dxa"/>
              <w:bottom w:w="70" w:type="dxa"/>
              <w:end w:w="90" w:type="dxa"/>
            </w:tcMar>
            <w:vAlign w:val="top"/>
          </w:tcPr>
          <w:p>
            <w:pPr>
              <w:spacing w:after="0" w:line="259" w:lineRule="auto"/>
              <w:jc w:val="left"/>
            </w:pPr>
            <w:r>
              <w:rPr>
                <w:rFonts w:ascii="Calibri" w:hAnsi="Calibri"/>
                <w:color w:val="1F2933"/>
                <w:sz w:val="16"/>
              </w:rPr>
              <w:t>Intuition substitutes for evidence about safety</w:t>
            </w:r>
          </w:p>
        </w:tc>
        <w:tc>
          <w:tcPr>
            <w:tcW w:type="dxa" w:w="3771"/>
            <w:tcMar>
              <w:top w:w="70" w:type="dxa"/>
              <w:start w:w="90" w:type="dxa"/>
              <w:bottom w:w="70" w:type="dxa"/>
              <w:end w:w="90" w:type="dxa"/>
            </w:tcMar>
            <w:vAlign w:val="top"/>
          </w:tcPr>
          <w:p>
            <w:pPr>
              <w:spacing w:after="0" w:line="259" w:lineRule="auto"/>
              <w:jc w:val="left"/>
            </w:pPr>
            <w:r>
              <w:rPr>
                <w:rFonts w:ascii="Calibri" w:hAnsi="Calibri"/>
                <w:color w:val="1F2933"/>
                <w:sz w:val="16"/>
              </w:rPr>
              <w:t>Tests benefit, stigma, and misunderstanding before real use</w:t>
            </w:r>
          </w:p>
        </w:tc>
        <w:tc>
          <w:tcPr>
            <w:tcW w:type="dxa" w:w="4190"/>
            <w:tcMar>
              <w:top w:w="70" w:type="dxa"/>
              <w:start w:w="90" w:type="dxa"/>
              <w:bottom w:w="70" w:type="dxa"/>
              <w:end w:w="90" w:type="dxa"/>
            </w:tcMar>
            <w:vAlign w:val="top"/>
          </w:tcPr>
          <w:p>
            <w:pPr>
              <w:spacing w:after="0" w:line="259" w:lineRule="auto"/>
              <w:jc w:val="left"/>
            </w:pPr>
            <w:r>
              <w:rPr>
                <w:rFonts w:ascii="Calibri" w:hAnsi="Calibri"/>
                <w:color w:val="1F2933"/>
                <w:sz w:val="16"/>
              </w:rPr>
              <w:t>Real candidates become the first safety experiment</w:t>
            </w:r>
          </w:p>
        </w:tc>
      </w:tr>
      <w:tr>
        <w:trPr>
          <w:cantSplit/>
        </w:trPr>
        <w:tc>
          <w:tcPr>
            <w:tcW w:type="dxa" w:w="2514"/>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Permanent stop rules</w:t>
            </w:r>
          </w:p>
        </w:tc>
        <w:tc>
          <w:tcPr>
            <w:tcW w:type="dxa" w:w="3492"/>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Production pressure converts uncertainty into permission</w:t>
            </w:r>
          </w:p>
        </w:tc>
        <w:tc>
          <w:tcPr>
            <w:tcW w:type="dxa" w:w="3771"/>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Lets anyone halt the process when the mission is compromised</w:t>
            </w:r>
          </w:p>
        </w:tc>
        <w:tc>
          <w:tcPr>
            <w:tcW w:type="dxa" w:w="4190"/>
            <w:shd w:fill="F4F6F9"/>
            <w:tcMar>
              <w:top w:w="70" w:type="dxa"/>
              <w:start w:w="90" w:type="dxa"/>
              <w:bottom w:w="70" w:type="dxa"/>
              <w:end w:w="90" w:type="dxa"/>
            </w:tcMar>
            <w:vAlign w:val="top"/>
          </w:tcPr>
          <w:p>
            <w:pPr>
              <w:spacing w:after="0" w:line="259" w:lineRule="auto"/>
              <w:jc w:val="left"/>
            </w:pPr>
            <w:r>
              <w:rPr>
                <w:rFonts w:ascii="Calibri" w:hAnsi="Calibri"/>
                <w:color w:val="1F2933"/>
                <w:sz w:val="16"/>
              </w:rPr>
              <w:t>Spectacle and deadlines defeat the safeguards</w:t>
            </w:r>
          </w:p>
        </w:tc>
      </w:tr>
    </w:tbl>
    <w:p>
      <w:pPr>
        <w:spacing w:after="40"/>
      </w:pPr>
    </w:p>
    <w:p>
      <w:pPr>
        <w:sectPr>
          <w:headerReference w:type="default" r:id="rId11"/>
          <w:footerReference w:type="default" r:id="rId12"/>
          <w:pgSz w:w="15840" w:h="12240" w:orient="landscape"/>
          <w:pgMar w:top="1008" w:right="936" w:bottom="1008" w:left="936" w:header="432" w:footer="432" w:gutter="0"/>
          <w:cols w:space="720"/>
          <w:docGrid w:linePitch="360"/>
        </w:sectPr>
      </w:pPr>
    </w:p>
    <w:p>
      <w:pPr>
        <w:pStyle w:val="Heading1"/>
      </w:pPr>
      <w:r>
        <w:rPr>
          <w:rFonts w:ascii="Calibri" w:hAnsi="Calibri"/>
          <w:b/>
          <w:color w:val="2E74B5"/>
          <w:sz w:val="32"/>
        </w:rPr>
        <w:t>9. The professional Claim Record format</w:t>
      </w:r>
    </w:p>
    <w:p>
      <w:pPr>
        <w:jc w:val="both"/>
      </w:pPr>
      <w:r>
        <w:rPr>
          <w:rFonts w:ascii="Calibri" w:hAnsi="Calibri"/>
          <w:color w:val="1F2933"/>
          <w:sz w:val="22"/>
        </w:rPr>
        <w:t>The form should look like a newsroom evidence record, not a court filing. It should avoid seals, gavels, certificate borders, “testimony,” “affidavit,” “verified,” “certified,” and criminal-law language.</w:t>
      </w:r>
    </w:p>
    <w:p>
      <w:pPr>
        <w:pStyle w:val="Heading2"/>
      </w:pPr>
      <w:r>
        <w:rPr>
          <w:rFonts w:ascii="Calibri" w:hAnsi="Calibri"/>
          <w:b/>
          <w:color w:val="2E74B5"/>
          <w:sz w:val="26"/>
        </w:rPr>
        <w:t>A. Record control</w:t>
      </w:r>
    </w:p>
    <w:p>
      <w:pPr>
        <w:pStyle w:val="ListBullet"/>
        <w:jc w:val="left"/>
      </w:pPr>
      <w:r>
        <w:rPr>
          <w:rFonts w:ascii="Calibri" w:hAnsi="Calibri"/>
          <w:color w:val="1F2933"/>
          <w:sz w:val="22"/>
        </w:rPr>
        <w:t>Claim Record ID</w:t>
      </w:r>
    </w:p>
    <w:p>
      <w:pPr>
        <w:pStyle w:val="ListBullet"/>
        <w:jc w:val="left"/>
      </w:pPr>
      <w:r>
        <w:rPr>
          <w:rFonts w:ascii="Calibri" w:hAnsi="Calibri"/>
          <w:color w:val="1F2933"/>
          <w:sz w:val="22"/>
        </w:rPr>
        <w:t>version number</w:t>
      </w:r>
    </w:p>
    <w:p>
      <w:pPr>
        <w:pStyle w:val="ListBullet"/>
        <w:jc w:val="left"/>
      </w:pPr>
      <w:r>
        <w:rPr>
          <w:rFonts w:ascii="Calibri" w:hAnsi="Calibri"/>
          <w:color w:val="1F2933"/>
          <w:sz w:val="22"/>
        </w:rPr>
        <w:t>current/superseded/corrected status</w:t>
      </w:r>
    </w:p>
    <w:p>
      <w:pPr>
        <w:pStyle w:val="ListBullet"/>
        <w:jc w:val="left"/>
      </w:pPr>
      <w:r>
        <w:rPr>
          <w:rFonts w:ascii="Calibri" w:hAnsi="Calibri"/>
          <w:color w:val="1F2933"/>
          <w:sz w:val="22"/>
        </w:rPr>
        <w:t>publication date and evidence cutoff</w:t>
      </w:r>
    </w:p>
    <w:p>
      <w:pPr>
        <w:pStyle w:val="ListBullet"/>
        <w:jc w:val="left"/>
      </w:pPr>
      <w:r>
        <w:rPr>
          <w:rFonts w:ascii="Calibri" w:hAnsi="Calibri"/>
          <w:color w:val="1F2933"/>
          <w:sz w:val="22"/>
        </w:rPr>
        <w:t>public-copy digest</w:t>
      </w:r>
    </w:p>
    <w:p>
      <w:pPr>
        <w:pStyle w:val="ListBullet"/>
        <w:jc w:val="left"/>
      </w:pPr>
      <w:r>
        <w:rPr>
          <w:rFonts w:ascii="Calibri" w:hAnsi="Calibri"/>
          <w:color w:val="1F2933"/>
          <w:sz w:val="22"/>
        </w:rPr>
        <w:t>link to current version and correction history</w:t>
      </w:r>
    </w:p>
    <w:p>
      <w:pPr>
        <w:pStyle w:val="Heading2"/>
      </w:pPr>
      <w:r>
        <w:rPr>
          <w:rFonts w:ascii="Calibri" w:hAnsi="Calibri"/>
          <w:b/>
          <w:color w:val="2E74B5"/>
          <w:sz w:val="26"/>
        </w:rPr>
        <w:t>B. Boundary banner</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Voluntary participant-authored Claim Record. Non-sworn. Not under penalty of perjury. Not a government filing. DGG does not certify truth. DGG’s independent assessment appears separately.</w:t>
            </w:r>
          </w:p>
        </w:tc>
      </w:tr>
    </w:tbl>
    <w:p>
      <w:pPr>
        <w:spacing w:after="40"/>
      </w:pPr>
    </w:p>
    <w:p>
      <w:pPr>
        <w:pStyle w:val="Heading2"/>
      </w:pPr>
      <w:r>
        <w:rPr>
          <w:rFonts w:ascii="Calibri" w:hAnsi="Calibri"/>
          <w:b/>
          <w:color w:val="2E74B5"/>
          <w:sz w:val="26"/>
        </w:rPr>
        <w:t>C. Exact question</w:t>
      </w:r>
    </w:p>
    <w:p>
      <w:pPr>
        <w:pStyle w:val="ListBullet"/>
        <w:jc w:val="left"/>
      </w:pPr>
      <w:r>
        <w:rPr>
          <w:rFonts w:ascii="Calibri" w:hAnsi="Calibri"/>
          <w:color w:val="1F2933"/>
          <w:sz w:val="22"/>
        </w:rPr>
        <w:t>one question only;</w:t>
      </w:r>
    </w:p>
    <w:p>
      <w:pPr>
        <w:pStyle w:val="ListBullet"/>
        <w:jc w:val="left"/>
      </w:pPr>
      <w:r>
        <w:rPr>
          <w:rFonts w:ascii="Calibri" w:hAnsi="Calibri"/>
          <w:color w:val="1F2933"/>
          <w:sz w:val="22"/>
        </w:rPr>
        <w:t>named entity or person;</w:t>
      </w:r>
    </w:p>
    <w:p>
      <w:pPr>
        <w:pStyle w:val="ListBullet"/>
        <w:jc w:val="left"/>
      </w:pPr>
      <w:r>
        <w:rPr>
          <w:rFonts w:ascii="Calibri" w:hAnsi="Calibri"/>
          <w:color w:val="1F2933"/>
          <w:sz w:val="22"/>
        </w:rPr>
        <w:t>defined conduct;</w:t>
      </w:r>
    </w:p>
    <w:p>
      <w:pPr>
        <w:pStyle w:val="ListBullet"/>
        <w:jc w:val="left"/>
      </w:pPr>
      <w:r>
        <w:rPr>
          <w:rFonts w:ascii="Calibri" w:hAnsi="Calibri"/>
          <w:color w:val="1F2933"/>
          <w:sz w:val="22"/>
        </w:rPr>
        <w:t>date range and “as of” date;</w:t>
      </w:r>
    </w:p>
    <w:p>
      <w:pPr>
        <w:pStyle w:val="ListBullet"/>
        <w:jc w:val="left"/>
      </w:pPr>
      <w:r>
        <w:rPr>
          <w:rFonts w:ascii="Calibri" w:hAnsi="Calibri"/>
          <w:color w:val="1F2933"/>
          <w:sz w:val="22"/>
        </w:rPr>
        <w:t>material definitions;</w:t>
      </w:r>
    </w:p>
    <w:p>
      <w:pPr>
        <w:pStyle w:val="ListBullet"/>
        <w:jc w:val="left"/>
      </w:pPr>
      <w:r>
        <w:rPr>
          <w:rFonts w:ascii="Calibri" w:hAnsi="Calibri"/>
          <w:color w:val="1F2933"/>
          <w:sz w:val="22"/>
        </w:rPr>
        <w:t>why the question is publicly relevant.</w:t>
      </w:r>
    </w:p>
    <w:p>
      <w:pPr>
        <w:pStyle w:val="Heading2"/>
      </w:pPr>
      <w:r>
        <w:rPr>
          <w:rFonts w:ascii="Calibri" w:hAnsi="Calibri"/>
          <w:b/>
          <w:color w:val="2E74B5"/>
          <w:sz w:val="26"/>
        </w:rPr>
        <w:t>D. Participant response lane</w:t>
      </w:r>
    </w:p>
    <w:p>
      <w:pPr>
        <w:jc w:val="both"/>
      </w:pPr>
      <w:r>
        <w:rPr>
          <w:rFonts w:ascii="Calibri" w:hAnsi="Calibri"/>
          <w:color w:val="1F2933"/>
          <w:sz w:val="22"/>
        </w:rPr>
        <w:t>The participant chooses one:</w:t>
      </w:r>
    </w:p>
    <w:p>
      <w:pPr>
        <w:pStyle w:val="ListBullet"/>
        <w:jc w:val="left"/>
      </w:pPr>
      <w:r>
        <w:rPr>
          <w:rFonts w:ascii="Calibri" w:hAnsi="Calibri"/>
          <w:color w:val="1F2933"/>
          <w:sz w:val="22"/>
        </w:rPr>
        <w:t>agree;</w:t>
      </w:r>
    </w:p>
    <w:p>
      <w:pPr>
        <w:pStyle w:val="ListBullet"/>
        <w:jc w:val="left"/>
      </w:pPr>
      <w:r>
        <w:rPr>
          <w:rFonts w:ascii="Calibri" w:hAnsi="Calibri"/>
          <w:color w:val="1F2933"/>
          <w:sz w:val="22"/>
        </w:rPr>
        <w:t>disagree;</w:t>
      </w:r>
    </w:p>
    <w:p>
      <w:pPr>
        <w:pStyle w:val="ListBullet"/>
        <w:jc w:val="left"/>
      </w:pPr>
      <w:r>
        <w:rPr>
          <w:rFonts w:ascii="Calibri" w:hAnsi="Calibri"/>
          <w:color w:val="1F2933"/>
          <w:sz w:val="22"/>
        </w:rPr>
        <w:t>qualified answer;</w:t>
      </w:r>
    </w:p>
    <w:p>
      <w:pPr>
        <w:pStyle w:val="ListBullet"/>
        <w:jc w:val="left"/>
      </w:pPr>
      <w:r>
        <w:rPr>
          <w:rFonts w:ascii="Calibri" w:hAnsi="Calibri"/>
          <w:color w:val="1F2933"/>
          <w:sz w:val="22"/>
        </w:rPr>
        <w:t>unable to verify;</w:t>
      </w:r>
    </w:p>
    <w:p>
      <w:pPr>
        <w:pStyle w:val="ListBullet"/>
        <w:jc w:val="left"/>
      </w:pPr>
      <w:r>
        <w:rPr>
          <w:rFonts w:ascii="Calibri" w:hAnsi="Calibri"/>
          <w:color w:val="1F2933"/>
          <w:sz w:val="22"/>
        </w:rPr>
        <w:t>do not know;</w:t>
      </w:r>
    </w:p>
    <w:p>
      <w:pPr>
        <w:pStyle w:val="ListBullet"/>
        <w:jc w:val="left"/>
      </w:pPr>
      <w:r>
        <w:rPr>
          <w:rFonts w:ascii="Calibri" w:hAnsi="Calibri"/>
          <w:color w:val="1F2933"/>
          <w:sz w:val="22"/>
        </w:rPr>
        <w:t>do not recall;</w:t>
      </w:r>
    </w:p>
    <w:p>
      <w:pPr>
        <w:pStyle w:val="ListBullet"/>
        <w:jc w:val="left"/>
      </w:pPr>
      <w:r>
        <w:rPr>
          <w:rFonts w:ascii="Calibri" w:hAnsi="Calibri"/>
          <w:color w:val="1F2933"/>
          <w:sz w:val="22"/>
        </w:rPr>
        <w:t>outside my personal knowledge;</w:t>
      </w:r>
    </w:p>
    <w:p>
      <w:pPr>
        <w:pStyle w:val="ListBullet"/>
        <w:jc w:val="left"/>
      </w:pPr>
      <w:r>
        <w:rPr>
          <w:rFonts w:ascii="Calibri" w:hAnsi="Calibri"/>
          <w:color w:val="1F2933"/>
          <w:sz w:val="22"/>
        </w:rPr>
        <w:t>premise needs correction; or</w:t>
      </w:r>
    </w:p>
    <w:p>
      <w:pPr>
        <w:pStyle w:val="ListBullet"/>
        <w:jc w:val="left"/>
      </w:pPr>
      <w:r>
        <w:rPr>
          <w:rFonts w:ascii="Calibri" w:hAnsi="Calibri"/>
          <w:color w:val="1F2933"/>
          <w:sz w:val="22"/>
        </w:rPr>
        <w:t>decline privately before publication.</w:t>
      </w:r>
    </w:p>
    <w:p>
      <w:pPr>
        <w:pStyle w:val="Heading2"/>
      </w:pPr>
      <w:r>
        <w:rPr>
          <w:rFonts w:ascii="Calibri" w:hAnsi="Calibri"/>
          <w:b/>
          <w:color w:val="2E74B5"/>
          <w:sz w:val="26"/>
        </w:rPr>
        <w:t>E. My exact words</w:t>
      </w:r>
    </w:p>
    <w:p>
      <w:pPr>
        <w:jc w:val="both"/>
      </w:pPr>
      <w:r>
        <w:rPr>
          <w:rFonts w:ascii="Calibri" w:hAnsi="Calibri"/>
          <w:color w:val="1F2933"/>
          <w:sz w:val="22"/>
        </w:rPr>
        <w:t>A visually separate box contains only the participant-approved attributed text.</w:t>
      </w:r>
    </w:p>
    <w:p>
      <w:pPr>
        <w:pStyle w:val="Heading2"/>
      </w:pPr>
      <w:r>
        <w:rPr>
          <w:rFonts w:ascii="Calibri" w:hAnsi="Calibri"/>
          <w:b/>
          <w:color w:val="2E74B5"/>
          <w:sz w:val="26"/>
        </w:rPr>
        <w:t>F. Basis and limits</w:t>
      </w:r>
    </w:p>
    <w:p>
      <w:pPr>
        <w:pStyle w:val="ListBullet"/>
        <w:jc w:val="left"/>
      </w:pPr>
      <w:r>
        <w:rPr>
          <w:rFonts w:ascii="Calibri" w:hAnsi="Calibri"/>
          <w:color w:val="1F2933"/>
          <w:sz w:val="22"/>
        </w:rPr>
        <w:t>personal observation;</w:t>
      </w:r>
    </w:p>
    <w:p>
      <w:pPr>
        <w:pStyle w:val="ListBullet"/>
        <w:jc w:val="left"/>
      </w:pPr>
      <w:r>
        <w:rPr>
          <w:rFonts w:ascii="Calibri" w:hAnsi="Calibri"/>
          <w:color w:val="1F2933"/>
          <w:sz w:val="22"/>
        </w:rPr>
        <w:t>public record;</w:t>
      </w:r>
    </w:p>
    <w:p>
      <w:pPr>
        <w:pStyle w:val="ListBullet"/>
        <w:jc w:val="left"/>
      </w:pPr>
      <w:r>
        <w:rPr>
          <w:rFonts w:ascii="Calibri" w:hAnsi="Calibri"/>
          <w:color w:val="1F2933"/>
          <w:sz w:val="22"/>
        </w:rPr>
        <w:t>participant-controlled internal record that can lawfully be described;</w:t>
      </w:r>
    </w:p>
    <w:p>
      <w:pPr>
        <w:pStyle w:val="ListBullet"/>
        <w:jc w:val="left"/>
      </w:pPr>
      <w:r>
        <w:rPr>
          <w:rFonts w:ascii="Calibri" w:hAnsi="Calibri"/>
          <w:color w:val="1F2933"/>
          <w:sz w:val="22"/>
        </w:rPr>
        <w:t>staff or adviser report;</w:t>
      </w:r>
    </w:p>
    <w:p>
      <w:pPr>
        <w:pStyle w:val="ListBullet"/>
        <w:jc w:val="left"/>
      </w:pPr>
      <w:r>
        <w:rPr>
          <w:rFonts w:ascii="Calibri" w:hAnsi="Calibri"/>
          <w:color w:val="1F2933"/>
          <w:sz w:val="22"/>
        </w:rPr>
        <w:t>identified expert advice;</w:t>
      </w:r>
    </w:p>
    <w:p>
      <w:pPr>
        <w:pStyle w:val="ListBullet"/>
        <w:jc w:val="left"/>
      </w:pPr>
      <w:r>
        <w:rPr>
          <w:rFonts w:ascii="Calibri" w:hAnsi="Calibri"/>
          <w:color w:val="1F2933"/>
          <w:sz w:val="22"/>
        </w:rPr>
        <w:t>inference from listed facts; or</w:t>
      </w:r>
    </w:p>
    <w:p>
      <w:pPr>
        <w:pStyle w:val="ListBullet"/>
        <w:jc w:val="left"/>
      </w:pPr>
      <w:r>
        <w:rPr>
          <w:rFonts w:ascii="Calibri" w:hAnsi="Calibri"/>
          <w:color w:val="1F2933"/>
          <w:sz w:val="22"/>
        </w:rPr>
        <w:t>basis cannot responsibly be published.</w:t>
      </w:r>
    </w:p>
    <w:p>
      <w:pPr>
        <w:jc w:val="both"/>
      </w:pPr>
      <w:r>
        <w:rPr>
          <w:rFonts w:ascii="Calibri" w:hAnsi="Calibri"/>
          <w:color w:val="1F2933"/>
          <w:sz w:val="22"/>
        </w:rPr>
        <w:t>All material qualifications, uncertainty, and scope limits remain adjacent.</w:t>
      </w:r>
    </w:p>
    <w:p>
      <w:pPr>
        <w:pStyle w:val="Heading2"/>
      </w:pPr>
      <w:r>
        <w:rPr>
          <w:rFonts w:ascii="Calibri" w:hAnsi="Calibri"/>
          <w:b/>
          <w:color w:val="2E74B5"/>
          <w:sz w:val="26"/>
        </w:rPr>
        <w:t>G. Evidence map</w:t>
      </w:r>
    </w:p>
    <w:p>
      <w:pPr>
        <w:pStyle w:val="ListBullet"/>
        <w:jc w:val="left"/>
      </w:pPr>
      <w:r>
        <w:rPr>
          <w:rFonts w:ascii="Calibri" w:hAnsi="Calibri"/>
          <w:color w:val="1F2933"/>
          <w:sz w:val="22"/>
        </w:rPr>
        <w:t>participant-submitted sources;</w:t>
      </w:r>
    </w:p>
    <w:p>
      <w:pPr>
        <w:pStyle w:val="ListBullet"/>
        <w:jc w:val="left"/>
      </w:pPr>
      <w:r>
        <w:rPr>
          <w:rFonts w:ascii="Calibri" w:hAnsi="Calibri"/>
          <w:color w:val="1F2933"/>
          <w:sz w:val="22"/>
        </w:rPr>
        <w:t>DGG sources supporting the proposition;</w:t>
      </w:r>
    </w:p>
    <w:p>
      <w:pPr>
        <w:pStyle w:val="ListBullet"/>
        <w:jc w:val="left"/>
      </w:pPr>
      <w:r>
        <w:rPr>
          <w:rFonts w:ascii="Calibri" w:hAnsi="Calibri"/>
          <w:color w:val="1F2933"/>
          <w:sz w:val="22"/>
        </w:rPr>
        <w:t>meaningful contrary or qualifying sources;</w:t>
      </w:r>
    </w:p>
    <w:p>
      <w:pPr>
        <w:pStyle w:val="ListBullet"/>
        <w:jc w:val="left"/>
      </w:pPr>
      <w:r>
        <w:rPr>
          <w:rFonts w:ascii="Calibri" w:hAnsi="Calibri"/>
          <w:color w:val="1F2933"/>
          <w:sz w:val="22"/>
        </w:rPr>
        <w:t>unresolved conflicts;</w:t>
      </w:r>
    </w:p>
    <w:p>
      <w:pPr>
        <w:pStyle w:val="ListBullet"/>
        <w:jc w:val="left"/>
      </w:pPr>
      <w:r>
        <w:rPr>
          <w:rFonts w:ascii="Calibri" w:hAnsi="Calibri"/>
          <w:color w:val="1F2933"/>
          <w:sz w:val="22"/>
        </w:rPr>
        <w:t>source date and archive information.</w:t>
      </w:r>
    </w:p>
    <w:p>
      <w:pPr>
        <w:pStyle w:val="Heading2"/>
      </w:pPr>
      <w:r>
        <w:rPr>
          <w:rFonts w:ascii="Calibri" w:hAnsi="Calibri"/>
          <w:b/>
          <w:color w:val="2E74B5"/>
          <w:sz w:val="26"/>
        </w:rPr>
        <w:t>H. DGG independent check</w:t>
      </w:r>
    </w:p>
    <w:p>
      <w:pPr>
        <w:jc w:val="both"/>
      </w:pPr>
      <w:r>
        <w:rPr>
          <w:rFonts w:ascii="Calibri" w:hAnsi="Calibri"/>
          <w:color w:val="1F2933"/>
          <w:sz w:val="22"/>
        </w:rPr>
        <w:t>DGG selects and explains one finding:</w:t>
      </w:r>
    </w:p>
    <w:p>
      <w:pPr>
        <w:pStyle w:val="ListBullet"/>
        <w:jc w:val="left"/>
      </w:pPr>
      <w:r>
        <w:rPr>
          <w:rFonts w:ascii="Calibri" w:hAnsi="Calibri"/>
          <w:color w:val="1F2933"/>
          <w:sz w:val="22"/>
        </w:rPr>
        <w:t>supported by the located evidence;</w:t>
      </w:r>
    </w:p>
    <w:p>
      <w:pPr>
        <w:pStyle w:val="ListBullet"/>
        <w:jc w:val="left"/>
      </w:pPr>
      <w:r>
        <w:rPr>
          <w:rFonts w:ascii="Calibri" w:hAnsi="Calibri"/>
          <w:color w:val="1F2933"/>
          <w:sz w:val="22"/>
        </w:rPr>
        <w:t>contradicted by the located evidence;</w:t>
      </w:r>
    </w:p>
    <w:p>
      <w:pPr>
        <w:pStyle w:val="ListBullet"/>
        <w:jc w:val="left"/>
      </w:pPr>
      <w:r>
        <w:rPr>
          <w:rFonts w:ascii="Calibri" w:hAnsi="Calibri"/>
          <w:color w:val="1F2933"/>
          <w:sz w:val="22"/>
        </w:rPr>
        <w:t>mixed or partially supported;</w:t>
      </w:r>
    </w:p>
    <w:p>
      <w:pPr>
        <w:pStyle w:val="ListBullet"/>
        <w:jc w:val="left"/>
      </w:pPr>
      <w:r>
        <w:rPr>
          <w:rFonts w:ascii="Calibri" w:hAnsi="Calibri"/>
          <w:color w:val="1F2933"/>
          <w:sz w:val="22"/>
        </w:rPr>
        <w:t>insufficient public evidence;</w:t>
      </w:r>
    </w:p>
    <w:p>
      <w:pPr>
        <w:pStyle w:val="ListBullet"/>
        <w:jc w:val="left"/>
      </w:pPr>
      <w:r>
        <w:rPr>
          <w:rFonts w:ascii="Calibri" w:hAnsi="Calibri"/>
          <w:color w:val="1F2933"/>
          <w:sz w:val="22"/>
        </w:rPr>
        <w:t>not independently assessable.</w:t>
      </w:r>
    </w:p>
    <w:p>
      <w:pPr>
        <w:jc w:val="both"/>
      </w:pPr>
      <w:r>
        <w:rPr>
          <w:rFonts w:ascii="Calibri" w:hAnsi="Calibri"/>
          <w:color w:val="1F2933"/>
          <w:sz w:val="22"/>
        </w:rPr>
        <w:t>No green checkmark, “truth percentage,” or candidate-wide label appears.</w:t>
      </w:r>
    </w:p>
    <w:p>
      <w:pPr>
        <w:pStyle w:val="Heading2"/>
      </w:pPr>
      <w:r>
        <w:rPr>
          <w:rFonts w:ascii="Calibri" w:hAnsi="Calibri"/>
          <w:b/>
          <w:color w:val="2E74B5"/>
          <w:sz w:val="26"/>
        </w:rPr>
        <w:t>I. Publication approval</w:t>
      </w:r>
    </w:p>
    <w:p>
      <w:pPr>
        <w:jc w:val="both"/>
      </w:pPr>
      <w:r>
        <w:rPr>
          <w:rFonts w:ascii="Calibri" w:hAnsi="Calibri"/>
          <w:color w:val="1F2933"/>
          <w:sz w:val="22"/>
        </w:rPr>
        <w:t>Suggested plain language:</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I reviewed Claim Record [ID], Version [number]. I authorize DGG to attribute the text in “My exact words” to me and to publish it with the displayed question, evidence map, DGG assessment, and limitations. I understand that this record is voluntary and non-sworn; it is not testimony, a government filing, or a statement under penalty of perjury. My publication approval does not mean DGG agrees with or has certified my claim.</w:t>
            </w:r>
          </w:p>
        </w:tc>
      </w:tr>
    </w:tbl>
    <w:p>
      <w:pPr>
        <w:spacing w:after="40"/>
      </w:pPr>
    </w:p>
    <w:p>
      <w:pPr>
        <w:jc w:val="both"/>
      </w:pPr>
      <w:r>
        <w:rPr>
          <w:rFonts w:ascii="Calibri" w:hAnsi="Calibri"/>
          <w:color w:val="1F2933"/>
          <w:sz w:val="22"/>
        </w:rPr>
        <w:t>Counsel should review the exact language before any real-person use.</w:t>
      </w:r>
    </w:p>
    <w:p>
      <w:pPr>
        <w:pStyle w:val="Heading2"/>
      </w:pPr>
      <w:r>
        <w:rPr>
          <w:rFonts w:ascii="Calibri" w:hAnsi="Calibri"/>
          <w:b/>
          <w:color w:val="2E74B5"/>
          <w:sz w:val="26"/>
        </w:rPr>
        <w:t>J. Correction history</w:t>
      </w:r>
    </w:p>
    <w:p>
      <w:pPr>
        <w:pStyle w:val="ListBullet"/>
        <w:jc w:val="left"/>
      </w:pPr>
      <w:r>
        <w:rPr>
          <w:rFonts w:ascii="Calibri" w:hAnsi="Calibri"/>
          <w:color w:val="1F2933"/>
          <w:sz w:val="22"/>
        </w:rPr>
        <w:t>prior version and date;</w:t>
      </w:r>
    </w:p>
    <w:p>
      <w:pPr>
        <w:pStyle w:val="ListBullet"/>
        <w:jc w:val="left"/>
      </w:pPr>
      <w:r>
        <w:rPr>
          <w:rFonts w:ascii="Calibri" w:hAnsi="Calibri"/>
          <w:color w:val="1F2933"/>
          <w:sz w:val="22"/>
        </w:rPr>
        <w:t>new version and date;</w:t>
      </w:r>
    </w:p>
    <w:p>
      <w:pPr>
        <w:pStyle w:val="ListBullet"/>
        <w:jc w:val="left"/>
      </w:pPr>
      <w:r>
        <w:rPr>
          <w:rFonts w:ascii="Calibri" w:hAnsi="Calibri"/>
          <w:color w:val="1F2933"/>
          <w:sz w:val="22"/>
        </w:rPr>
        <w:t>category: transcription, scope clarification, new evidence, factual correction, or withdrawal of a claim;</w:t>
      </w:r>
    </w:p>
    <w:p>
      <w:pPr>
        <w:pStyle w:val="ListBullet"/>
        <w:jc w:val="left"/>
      </w:pPr>
      <w:r>
        <w:rPr>
          <w:rFonts w:ascii="Calibri" w:hAnsi="Calibri"/>
          <w:color w:val="1F2933"/>
          <w:sz w:val="22"/>
        </w:rPr>
        <w:t>concise explanation;</w:t>
      </w:r>
    </w:p>
    <w:p>
      <w:pPr>
        <w:pStyle w:val="ListBullet"/>
        <w:jc w:val="left"/>
      </w:pPr>
      <w:r>
        <w:rPr>
          <w:rFonts w:ascii="Calibri" w:hAnsi="Calibri"/>
          <w:color w:val="1F2933"/>
          <w:sz w:val="22"/>
        </w:rPr>
        <w:t>source that prompted the change;</w:t>
      </w:r>
    </w:p>
    <w:p>
      <w:pPr>
        <w:pStyle w:val="ListBullet"/>
        <w:jc w:val="left"/>
      </w:pPr>
      <w:r>
        <w:rPr>
          <w:rFonts w:ascii="Calibri" w:hAnsi="Calibri"/>
          <w:color w:val="1F2933"/>
          <w:sz w:val="22"/>
        </w:rPr>
        <w:t>DGG note if its assessment also changed.</w:t>
      </w:r>
    </w:p>
    <w:p>
      <w:pPr>
        <w:pStyle w:val="Heading1"/>
      </w:pPr>
      <w:r>
        <w:rPr>
          <w:rFonts w:ascii="Calibri" w:hAnsi="Calibri"/>
          <w:b/>
          <w:color w:val="2E74B5"/>
          <w:sz w:val="32"/>
        </w:rPr>
        <w:t>10. A fully synthetic example</w:t>
      </w:r>
    </w:p>
    <w:p>
      <w:pPr>
        <w:jc w:val="both"/>
      </w:pPr>
      <w:r>
        <w:rPr>
          <w:rFonts w:ascii="Calibri" w:hAnsi="Calibri"/>
          <w:b/>
          <w:color w:val="1F2933"/>
          <w:sz w:val="22"/>
        </w:rPr>
        <w:t>Claim Record ID:</w:t>
      </w:r>
      <w:r>
        <w:rPr>
          <w:rFonts w:ascii="Calibri" w:hAnsi="Calibri"/>
          <w:color w:val="1F2933"/>
          <w:sz w:val="22"/>
        </w:rPr>
        <w:t xml:space="preserve"> DGG-SYN-001 </w:t>
      </w:r>
      <w:r>
        <w:rPr>
          <w:rFonts w:ascii="Calibri" w:hAnsi="Calibri"/>
          <w:b/>
          <w:color w:val="1F2933"/>
          <w:sz w:val="22"/>
        </w:rPr>
        <w:t>Status:</w:t>
      </w:r>
      <w:r>
        <w:rPr>
          <w:rFonts w:ascii="Calibri" w:hAnsi="Calibri"/>
          <w:color w:val="1F2933"/>
          <w:sz w:val="22"/>
        </w:rPr>
        <w:t xml:space="preserve"> Synthetic demonstration only </w:t>
      </w:r>
      <w:r>
        <w:rPr>
          <w:rFonts w:ascii="Calibri" w:hAnsi="Calibri"/>
          <w:b/>
          <w:color w:val="1F2933"/>
          <w:sz w:val="22"/>
        </w:rPr>
        <w:t>Evidence cutoff:</w:t>
      </w:r>
      <w:r>
        <w:rPr>
          <w:rFonts w:ascii="Calibri" w:hAnsi="Calibri"/>
          <w:color w:val="1F2933"/>
          <w:sz w:val="22"/>
        </w:rPr>
        <w:t xml:space="preserve"> August 1, 2026</w:t>
      </w:r>
    </w:p>
    <w:p>
      <w:pPr>
        <w:spacing w:before="80" w:after="60"/>
        <w:jc w:val="left"/>
      </w:pPr>
      <w:r>
        <w:rPr>
          <w:rFonts w:ascii="Calibri" w:hAnsi="Calibri"/>
          <w:b/>
          <w:color w:val="1F2933"/>
          <w:sz w:val="22"/>
        </w:rPr>
        <w:t>Exact question</w:t>
      </w:r>
    </w:p>
    <w:p>
      <w:pPr>
        <w:jc w:val="both"/>
      </w:pPr>
      <w:r>
        <w:rPr>
          <w:rFonts w:ascii="Calibri" w:hAnsi="Calibri"/>
          <w:color w:val="1F2933"/>
          <w:sz w:val="22"/>
        </w:rPr>
        <w:t>“As of August 1, 2026, did the fictional Friends of Harbor Park committee file its quarterly expenditure report with the fictional Washington Civic Reporting Office by the July 15 deadline?”</w:t>
      </w:r>
    </w:p>
    <w:p>
      <w:pPr>
        <w:spacing w:before="80" w:after="60"/>
        <w:jc w:val="left"/>
      </w:pPr>
      <w:r>
        <w:rPr>
          <w:rFonts w:ascii="Calibri" w:hAnsi="Calibri"/>
          <w:b/>
          <w:color w:val="1F2933"/>
          <w:sz w:val="22"/>
        </w:rPr>
        <w:t>Definitions</w:t>
      </w:r>
    </w:p>
    <w:p>
      <w:pPr>
        <w:jc w:val="both"/>
      </w:pPr>
      <w:r>
        <w:rPr>
          <w:rFonts w:ascii="Calibri" w:hAnsi="Calibri"/>
          <w:color w:val="1F2933"/>
          <w:sz w:val="22"/>
        </w:rPr>
        <w:t>“Filed” means accepted by the agency’s public filing portal. “Quarterly expenditure report” means the Q2 report identified in the fictional source packet.</w:t>
      </w:r>
    </w:p>
    <w:p>
      <w:pPr>
        <w:spacing w:before="80" w:after="60"/>
        <w:jc w:val="left"/>
      </w:pPr>
      <w:r>
        <w:rPr>
          <w:rFonts w:ascii="Calibri" w:hAnsi="Calibri"/>
          <w:b/>
          <w:color w:val="1F2933"/>
          <w:sz w:val="22"/>
        </w:rPr>
        <w:t>Participant response lane</w:t>
      </w:r>
    </w:p>
    <w:p>
      <w:pPr>
        <w:jc w:val="both"/>
      </w:pPr>
      <w:r>
        <w:rPr>
          <w:rFonts w:ascii="Calibri" w:hAnsi="Calibri"/>
          <w:color w:val="1F2933"/>
          <w:sz w:val="22"/>
        </w:rPr>
        <w:t>Qualified answer.</w:t>
      </w:r>
    </w:p>
    <w:p>
      <w:pPr>
        <w:spacing w:before="80" w:after="60"/>
        <w:jc w:val="left"/>
      </w:pPr>
      <w:r>
        <w:rPr>
          <w:rFonts w:ascii="Calibri" w:hAnsi="Calibri"/>
          <w:b/>
          <w:color w:val="1F2933"/>
          <w:sz w:val="22"/>
        </w:rPr>
        <w:t>My exact words</w:t>
      </w:r>
    </w:p>
    <w:p>
      <w:pPr>
        <w:jc w:val="both"/>
      </w:pPr>
      <w:r>
        <w:rPr>
          <w:rFonts w:ascii="Calibri" w:hAnsi="Calibri"/>
          <w:color w:val="1F2933"/>
          <w:sz w:val="22"/>
        </w:rPr>
        <w:t>“The committee submitted the Q2 report on July 14, 2026. The portal displayed an acceptance receipt that day. I have not independently confirmed whether the agency later requested an amendment.”</w:t>
      </w:r>
    </w:p>
    <w:p>
      <w:pPr>
        <w:spacing w:before="80" w:after="60"/>
        <w:jc w:val="left"/>
      </w:pPr>
      <w:r>
        <w:rPr>
          <w:rFonts w:ascii="Calibri" w:hAnsi="Calibri"/>
          <w:b/>
          <w:color w:val="1F2933"/>
          <w:sz w:val="22"/>
        </w:rPr>
        <w:t>Basis and limits</w:t>
      </w:r>
    </w:p>
    <w:p>
      <w:pPr>
        <w:jc w:val="both"/>
      </w:pPr>
      <w:r>
        <w:rPr>
          <w:rFonts w:ascii="Calibri" w:hAnsi="Calibri"/>
          <w:color w:val="1F2933"/>
          <w:sz w:val="22"/>
        </w:rPr>
        <w:t>The participant relies on the submission receipt and a staff report. The participant does not claim personal knowledge of any later agency correspondence.</w:t>
      </w:r>
    </w:p>
    <w:p>
      <w:pPr>
        <w:spacing w:before="80" w:after="60"/>
        <w:jc w:val="left"/>
      </w:pPr>
      <w:r>
        <w:rPr>
          <w:rFonts w:ascii="Calibri" w:hAnsi="Calibri"/>
          <w:b/>
          <w:color w:val="1F2933"/>
          <w:sz w:val="22"/>
        </w:rPr>
        <w:t>Evidence map</w:t>
      </w:r>
    </w:p>
    <w:p>
      <w:pPr>
        <w:pStyle w:val="ListBullet"/>
        <w:jc w:val="left"/>
      </w:pPr>
      <w:r>
        <w:rPr>
          <w:rFonts w:ascii="Calibri" w:hAnsi="Calibri"/>
          <w:color w:val="1F2933"/>
          <w:sz w:val="22"/>
        </w:rPr>
        <w:t>Fictional portal receipt dated July 14, 2026 — supports submission and acceptance.</w:t>
      </w:r>
    </w:p>
    <w:p>
      <w:pPr>
        <w:pStyle w:val="ListBullet"/>
        <w:jc w:val="left"/>
      </w:pPr>
      <w:r>
        <w:rPr>
          <w:rFonts w:ascii="Calibri" w:hAnsi="Calibri"/>
          <w:color w:val="1F2933"/>
          <w:sz w:val="22"/>
        </w:rPr>
        <w:t>Fictional public index accessed August 1, 2026 — lists the report but does not show later correspondence.</w:t>
      </w:r>
    </w:p>
    <w:p>
      <w:pPr>
        <w:pStyle w:val="ListBullet"/>
        <w:jc w:val="left"/>
      </w:pPr>
      <w:r>
        <w:rPr>
          <w:rFonts w:ascii="Calibri" w:hAnsi="Calibri"/>
          <w:color w:val="1F2933"/>
          <w:sz w:val="22"/>
        </w:rPr>
        <w:t>No contrary source located as of the cutoff.</w:t>
      </w:r>
    </w:p>
    <w:p>
      <w:pPr>
        <w:spacing w:before="80" w:after="60"/>
        <w:jc w:val="left"/>
      </w:pPr>
      <w:r>
        <w:rPr>
          <w:rFonts w:ascii="Calibri" w:hAnsi="Calibri"/>
          <w:b/>
          <w:color w:val="1F2933"/>
          <w:sz w:val="22"/>
        </w:rPr>
        <w:t>DGG independent check</w:t>
      </w:r>
    </w:p>
    <w:p>
      <w:pPr>
        <w:jc w:val="both"/>
      </w:pPr>
      <w:r>
        <w:rPr>
          <w:rFonts w:ascii="Calibri" w:hAnsi="Calibri"/>
          <w:color w:val="1F2933"/>
          <w:sz w:val="22"/>
        </w:rPr>
        <w:t>Supported as to timely submission and portal acceptance; not independently assessable as to whether the agency later requested an amendment.</w:t>
      </w:r>
    </w:p>
    <w:p>
      <w:pPr>
        <w:spacing w:before="80" w:after="60"/>
        <w:jc w:val="left"/>
      </w:pPr>
      <w:r>
        <w:rPr>
          <w:rFonts w:ascii="Calibri" w:hAnsi="Calibri"/>
          <w:b/>
          <w:color w:val="1F2933"/>
          <w:sz w:val="22"/>
        </w:rPr>
        <w:t>Why this works</w:t>
      </w:r>
    </w:p>
    <w:p>
      <w:pPr>
        <w:jc w:val="both"/>
      </w:pPr>
      <w:r>
        <w:rPr>
          <w:rFonts w:ascii="Calibri" w:hAnsi="Calibri"/>
          <w:color w:val="1F2933"/>
          <w:sz w:val="22"/>
        </w:rPr>
        <w:t>The record preserves a useful “yes” without turning it into a broader claim. It distinguishes the receipt from the participant’s lack of knowledge about later events. A short clip can show the answer, but the durable record keeps the limitation attached.</w:t>
      </w:r>
    </w:p>
    <w:p>
      <w:pPr>
        <w:pStyle w:val="Heading1"/>
      </w:pPr>
      <w:r>
        <w:rPr>
          <w:rFonts w:ascii="Calibri" w:hAnsi="Calibri"/>
          <w:b/>
          <w:color w:val="2E74B5"/>
          <w:sz w:val="32"/>
        </w:rPr>
        <w:t>11. How to present it on a show</w:t>
      </w:r>
    </w:p>
    <w:p>
      <w:pPr>
        <w:jc w:val="both"/>
      </w:pPr>
      <w:r>
        <w:rPr>
          <w:rFonts w:ascii="Calibri" w:hAnsi="Calibri"/>
          <w:color w:val="1F2933"/>
          <w:sz w:val="22"/>
        </w:rPr>
        <w:t>The segment should feel calm and journalistic, not ceremonial.</w:t>
      </w:r>
    </w:p>
    <w:p>
      <w:pPr>
        <w:pStyle w:val="Heading2"/>
      </w:pPr>
      <w:r>
        <w:rPr>
          <w:rFonts w:ascii="Calibri" w:hAnsi="Calibri"/>
          <w:b/>
          <w:color w:val="2E74B5"/>
          <w:sz w:val="26"/>
        </w:rPr>
        <w:t>Recommended on-screen sequence</w:t>
      </w:r>
    </w:p>
    <w:p>
      <w:pPr>
        <w:spacing w:after="80"/>
        <w:ind w:left="504" w:hanging="317"/>
        <w:jc w:val="left"/>
      </w:pPr>
      <w:r>
        <w:rPr>
          <w:rFonts w:ascii="Calibri" w:hAnsi="Calibri"/>
          <w:color w:val="1F2933"/>
          <w:sz w:val="22"/>
        </w:rPr>
        <w:t xml:space="preserve">1. </w:t>
      </w:r>
      <w:r>
        <w:rPr>
          <w:rFonts w:ascii="Calibri" w:hAnsi="Calibri"/>
          <w:b/>
          <w:color w:val="1F2933"/>
          <w:sz w:val="22"/>
        </w:rPr>
        <w:t>The question</w:t>
      </w:r>
      <w:r>
        <w:rPr>
          <w:rFonts w:ascii="Calibri" w:hAnsi="Calibri"/>
          <w:color w:val="1F2933"/>
          <w:sz w:val="22"/>
        </w:rPr>
        <w:t xml:space="preserve"> — one sentence, with the date range visible.</w:t>
      </w:r>
    </w:p>
    <w:p>
      <w:pPr>
        <w:spacing w:after="80"/>
        <w:ind w:left="504" w:hanging="317"/>
        <w:jc w:val="left"/>
      </w:pPr>
      <w:r>
        <w:rPr>
          <w:rFonts w:ascii="Calibri" w:hAnsi="Calibri"/>
          <w:color w:val="1F2933"/>
          <w:sz w:val="22"/>
        </w:rPr>
        <w:t xml:space="preserve">2. </w:t>
      </w:r>
      <w:r>
        <w:rPr>
          <w:rFonts w:ascii="Calibri" w:hAnsi="Calibri"/>
          <w:b/>
          <w:color w:val="1F2933"/>
          <w:sz w:val="22"/>
        </w:rPr>
        <w:t>The participant’s words</w:t>
      </w:r>
      <w:r>
        <w:rPr>
          <w:rFonts w:ascii="Calibri" w:hAnsi="Calibri"/>
          <w:color w:val="1F2933"/>
          <w:sz w:val="22"/>
        </w:rPr>
        <w:t xml:space="preserve"> — exact text, read or summarized by the participant.</w:t>
      </w:r>
    </w:p>
    <w:p>
      <w:pPr>
        <w:spacing w:after="80"/>
        <w:ind w:left="504" w:hanging="317"/>
        <w:jc w:val="left"/>
      </w:pPr>
      <w:r>
        <w:rPr>
          <w:rFonts w:ascii="Calibri" w:hAnsi="Calibri"/>
          <w:color w:val="1F2933"/>
          <w:sz w:val="22"/>
        </w:rPr>
        <w:t xml:space="preserve">3. </w:t>
      </w:r>
      <w:r>
        <w:rPr>
          <w:rFonts w:ascii="Calibri" w:hAnsi="Calibri"/>
          <w:b/>
          <w:color w:val="1F2933"/>
          <w:sz w:val="22"/>
        </w:rPr>
        <w:t>What the answer relies on</w:t>
      </w:r>
      <w:r>
        <w:rPr>
          <w:rFonts w:ascii="Calibri" w:hAnsi="Calibri"/>
          <w:color w:val="1F2933"/>
          <w:sz w:val="22"/>
        </w:rPr>
        <w:t xml:space="preserve"> — two or three source cards.</w:t>
      </w:r>
    </w:p>
    <w:p>
      <w:pPr>
        <w:spacing w:after="80"/>
        <w:ind w:left="504" w:hanging="317"/>
        <w:jc w:val="left"/>
      </w:pPr>
      <w:r>
        <w:rPr>
          <w:rFonts w:ascii="Calibri" w:hAnsi="Calibri"/>
          <w:color w:val="1F2933"/>
          <w:sz w:val="22"/>
        </w:rPr>
        <w:t xml:space="preserve">4. </w:t>
      </w:r>
      <w:r>
        <w:rPr>
          <w:rFonts w:ascii="Calibri" w:hAnsi="Calibri"/>
          <w:b/>
          <w:color w:val="1F2933"/>
          <w:sz w:val="22"/>
        </w:rPr>
        <w:t>What remains uncertain</w:t>
      </w:r>
      <w:r>
        <w:rPr>
          <w:rFonts w:ascii="Calibri" w:hAnsi="Calibri"/>
          <w:color w:val="1F2933"/>
          <w:sz w:val="22"/>
        </w:rPr>
        <w:t xml:space="preserve"> — visible limits.</w:t>
      </w:r>
    </w:p>
    <w:p>
      <w:pPr>
        <w:spacing w:after="80"/>
        <w:ind w:left="504" w:hanging="317"/>
        <w:jc w:val="left"/>
      </w:pPr>
      <w:r>
        <w:rPr>
          <w:rFonts w:ascii="Calibri" w:hAnsi="Calibri"/>
          <w:color w:val="1F2933"/>
          <w:sz w:val="22"/>
        </w:rPr>
        <w:t xml:space="preserve">5. </w:t>
      </w:r>
      <w:r>
        <w:rPr>
          <w:rFonts w:ascii="Calibri" w:hAnsi="Calibri"/>
          <w:b/>
          <w:color w:val="1F2933"/>
          <w:sz w:val="22"/>
        </w:rPr>
        <w:t>DGG’s check</w:t>
      </w:r>
      <w:r>
        <w:rPr>
          <w:rFonts w:ascii="Calibri" w:hAnsi="Calibri"/>
          <w:color w:val="1F2933"/>
          <w:sz w:val="22"/>
        </w:rPr>
        <w:t xml:space="preserve"> — separate color and speaker.</w:t>
      </w:r>
    </w:p>
    <w:p>
      <w:pPr>
        <w:spacing w:after="80"/>
        <w:ind w:left="504" w:hanging="317"/>
        <w:jc w:val="left"/>
      </w:pPr>
      <w:r>
        <w:rPr>
          <w:rFonts w:ascii="Calibri" w:hAnsi="Calibri"/>
          <w:color w:val="1F2933"/>
          <w:sz w:val="22"/>
        </w:rPr>
        <w:t xml:space="preserve">6. </w:t>
      </w:r>
      <w:r>
        <w:rPr>
          <w:rFonts w:ascii="Calibri" w:hAnsi="Calibri"/>
          <w:b/>
          <w:color w:val="1F2933"/>
          <w:sz w:val="22"/>
        </w:rPr>
        <w:t>Record link and version</w:t>
      </w:r>
      <w:r>
        <w:rPr>
          <w:rFonts w:ascii="Calibri" w:hAnsi="Calibri"/>
          <w:color w:val="1F2933"/>
          <w:sz w:val="22"/>
        </w:rPr>
        <w:t xml:space="preserve"> — viewers can inspect the complete page.</w:t>
      </w:r>
    </w:p>
    <w:p>
      <w:pPr>
        <w:spacing w:after="80"/>
        <w:ind w:left="504" w:hanging="317"/>
        <w:jc w:val="left"/>
      </w:pPr>
      <w:r>
        <w:rPr>
          <w:rFonts w:ascii="Calibri" w:hAnsi="Calibri"/>
          <w:color w:val="1F2933"/>
          <w:sz w:val="22"/>
        </w:rPr>
        <w:t xml:space="preserve">7. </w:t>
      </w:r>
      <w:r>
        <w:rPr>
          <w:rFonts w:ascii="Calibri" w:hAnsi="Calibri"/>
          <w:b/>
          <w:color w:val="1F2933"/>
          <w:sz w:val="22"/>
        </w:rPr>
        <w:t>Correction link</w:t>
      </w:r>
      <w:r>
        <w:rPr>
          <w:rFonts w:ascii="Calibri" w:hAnsi="Calibri"/>
          <w:color w:val="1F2933"/>
          <w:sz w:val="22"/>
        </w:rPr>
        <w:t xml:space="preserve"> — present whenever a later version exists.</w:t>
      </w:r>
    </w:p>
    <w:p>
      <w:pPr>
        <w:pStyle w:val="Heading2"/>
      </w:pPr>
      <w:r>
        <w:rPr>
          <w:rFonts w:ascii="Calibri" w:hAnsi="Calibri"/>
          <w:b/>
          <w:color w:val="2E74B5"/>
          <w:sz w:val="26"/>
        </w:rPr>
        <w:t>Recommended host language</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“This is a voluntary, non-sworn Claim Record. It is not a truth certificate. The guest chose the exact words in the participant section. DGG independently reviewed the evidence and controls the reporting section. You can inspect both, including the sources and any correction, at the link shown.”</w:t>
            </w:r>
          </w:p>
        </w:tc>
      </w:tr>
    </w:tbl>
    <w:p>
      <w:pPr>
        <w:spacing w:after="40"/>
      </w:pPr>
    </w:p>
    <w:p>
      <w:pPr>
        <w:pStyle w:val="Heading2"/>
      </w:pPr>
      <w:r>
        <w:rPr>
          <w:rFonts w:ascii="Calibri" w:hAnsi="Calibri"/>
          <w:b/>
          <w:color w:val="2E74B5"/>
          <w:sz w:val="26"/>
        </w:rPr>
        <w:t>What the show should never dramatize</w:t>
      </w:r>
    </w:p>
    <w:p>
      <w:pPr>
        <w:pStyle w:val="ListBullet"/>
        <w:jc w:val="left"/>
      </w:pPr>
      <w:r>
        <w:rPr>
          <w:rFonts w:ascii="Calibri" w:hAnsi="Calibri"/>
          <w:color w:val="1F2933"/>
          <w:sz w:val="22"/>
        </w:rPr>
        <w:t>no gavel, witness stand, seal, courtroom sound, or police imagery;</w:t>
      </w:r>
    </w:p>
    <w:p>
      <w:pPr>
        <w:pStyle w:val="ListBullet"/>
        <w:jc w:val="left"/>
      </w:pPr>
      <w:r>
        <w:rPr>
          <w:rFonts w:ascii="Calibri" w:hAnsi="Calibri"/>
          <w:color w:val="1F2933"/>
          <w:sz w:val="22"/>
        </w:rPr>
        <w:t>no “would you say that under oath?” challenge;</w:t>
      </w:r>
    </w:p>
    <w:p>
      <w:pPr>
        <w:pStyle w:val="ListBullet"/>
        <w:jc w:val="left"/>
      </w:pPr>
      <w:r>
        <w:rPr>
          <w:rFonts w:ascii="Calibri" w:hAnsi="Calibri"/>
          <w:color w:val="1F2933"/>
          <w:sz w:val="22"/>
        </w:rPr>
        <w:t>no countdown or live drafting;</w:t>
      </w:r>
    </w:p>
    <w:p>
      <w:pPr>
        <w:pStyle w:val="ListBullet"/>
        <w:jc w:val="left"/>
      </w:pPr>
      <w:r>
        <w:rPr>
          <w:rFonts w:ascii="Calibri" w:hAnsi="Calibri"/>
          <w:color w:val="1F2933"/>
          <w:sz w:val="22"/>
        </w:rPr>
        <w:t>no refusal reveal;</w:t>
      </w:r>
    </w:p>
    <w:p>
      <w:pPr>
        <w:pStyle w:val="ListBullet"/>
        <w:jc w:val="left"/>
      </w:pPr>
      <w:r>
        <w:rPr>
          <w:rFonts w:ascii="Calibri" w:hAnsi="Calibri"/>
          <w:color w:val="1F2933"/>
          <w:sz w:val="22"/>
        </w:rPr>
        <w:t>no audience vote on whether the person is honest;</w:t>
      </w:r>
    </w:p>
    <w:p>
      <w:pPr>
        <w:pStyle w:val="ListBullet"/>
        <w:jc w:val="left"/>
      </w:pPr>
      <w:r>
        <w:rPr>
          <w:rFonts w:ascii="Calibri" w:hAnsi="Calibri"/>
          <w:color w:val="1F2933"/>
          <w:sz w:val="22"/>
        </w:rPr>
        <w:t>no “caught,” “confessed,” “perjury,” or “risking prison” headline;</w:t>
      </w:r>
    </w:p>
    <w:p>
      <w:pPr>
        <w:pStyle w:val="ListBullet"/>
        <w:jc w:val="left"/>
      </w:pPr>
      <w:r>
        <w:rPr>
          <w:rFonts w:ascii="Calibri" w:hAnsi="Calibri"/>
          <w:color w:val="1F2933"/>
          <w:sz w:val="22"/>
        </w:rPr>
        <w:t>no green truth badge around the participant’s face.</w:t>
      </w:r>
    </w:p>
    <w:p>
      <w:pPr>
        <w:pStyle w:val="Heading1"/>
      </w:pPr>
      <w:r>
        <w:rPr>
          <w:rFonts w:ascii="Calibri" w:hAnsi="Calibri"/>
          <w:b/>
          <w:color w:val="2E74B5"/>
          <w:sz w:val="32"/>
        </w:rPr>
        <w:t>12. The advertising strategy</w:t>
      </w:r>
    </w:p>
    <w:p>
      <w:pPr>
        <w:jc w:val="both"/>
      </w:pPr>
      <w:r>
        <w:rPr>
          <w:rFonts w:ascii="Calibri" w:hAnsi="Calibri"/>
          <w:color w:val="1F2933"/>
          <w:sz w:val="22"/>
        </w:rPr>
        <w:t>The product should be sold on participant control, reporting quality, and audience inspectability—not fear.</w:t>
      </w:r>
    </w:p>
    <w:p>
      <w:pPr>
        <w:pStyle w:val="Heading2"/>
      </w:pPr>
      <w:r>
        <w:rPr>
          <w:rFonts w:ascii="Calibri" w:hAnsi="Calibri"/>
          <w:b/>
          <w:color w:val="2E74B5"/>
          <w:sz w:val="26"/>
        </w:rPr>
        <w:t>Primary message</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Your words. Your sources. One record.</w:t>
            </w:r>
          </w:p>
        </w:tc>
      </w:tr>
    </w:tbl>
    <w:p>
      <w:pPr>
        <w:spacing w:after="40"/>
      </w:pPr>
    </w:p>
    <w:p>
      <w:pPr>
        <w:pStyle w:val="Heading2"/>
      </w:pPr>
      <w:r>
        <w:rPr>
          <w:rFonts w:ascii="Calibri" w:hAnsi="Calibri"/>
          <w:b/>
          <w:color w:val="2E74B5"/>
          <w:sz w:val="26"/>
        </w:rPr>
        <w:t>Supporting messages</w:t>
      </w:r>
    </w:p>
    <w:p>
      <w:pPr>
        <w:pStyle w:val="ListBullet"/>
        <w:jc w:val="left"/>
      </w:pPr>
      <w:r>
        <w:rPr>
          <w:rFonts w:ascii="Calibri" w:hAnsi="Calibri"/>
          <w:color w:val="1F2933"/>
          <w:sz w:val="22"/>
        </w:rPr>
        <w:t>More context than a clip. More accountability than a quote.</w:t>
      </w:r>
    </w:p>
    <w:p>
      <w:pPr>
        <w:pStyle w:val="ListBullet"/>
        <w:jc w:val="left"/>
      </w:pPr>
      <w:r>
        <w:rPr>
          <w:rFonts w:ascii="Calibri" w:hAnsi="Calibri"/>
          <w:color w:val="1F2933"/>
          <w:sz w:val="22"/>
        </w:rPr>
        <w:t>The pressure comes from clarity, not punishment.</w:t>
      </w:r>
    </w:p>
    <w:p>
      <w:pPr>
        <w:pStyle w:val="ListBullet"/>
        <w:jc w:val="left"/>
      </w:pPr>
      <w:r>
        <w:rPr>
          <w:rFonts w:ascii="Calibri" w:hAnsi="Calibri"/>
          <w:color w:val="1F2933"/>
          <w:sz w:val="22"/>
        </w:rPr>
        <w:t>Put the evidence beside the claim.</w:t>
      </w:r>
    </w:p>
    <w:p>
      <w:pPr>
        <w:pStyle w:val="ListBullet"/>
        <w:jc w:val="left"/>
      </w:pPr>
      <w:r>
        <w:rPr>
          <w:rFonts w:ascii="Calibri" w:hAnsi="Calibri"/>
          <w:color w:val="1F2933"/>
          <w:sz w:val="22"/>
        </w:rPr>
        <w:t>Precision is allowed. You never have to pretend certainty you do not have.</w:t>
      </w:r>
    </w:p>
    <w:p>
      <w:pPr>
        <w:pStyle w:val="ListBullet"/>
        <w:jc w:val="left"/>
      </w:pPr>
      <w:r>
        <w:rPr>
          <w:rFonts w:ascii="Calibri" w:hAnsi="Calibri"/>
          <w:color w:val="1F2933"/>
          <w:sz w:val="22"/>
        </w:rPr>
        <w:t>You control your words. DGG controls its reporting.</w:t>
      </w:r>
    </w:p>
    <w:p>
      <w:pPr>
        <w:pStyle w:val="ListBullet"/>
        <w:jc w:val="left"/>
      </w:pPr>
      <w:r>
        <w:rPr>
          <w:rFonts w:ascii="Calibri" w:hAnsi="Calibri"/>
          <w:color w:val="1F2933"/>
          <w:sz w:val="22"/>
        </w:rPr>
        <w:t>Standing behind a claim is not the same as proving it.</w:t>
      </w:r>
    </w:p>
    <w:p>
      <w:pPr>
        <w:pStyle w:val="ListBullet"/>
        <w:jc w:val="left"/>
      </w:pPr>
      <w:r>
        <w:rPr>
          <w:rFonts w:ascii="Calibri" w:hAnsi="Calibri"/>
          <w:color w:val="1F2933"/>
          <w:sz w:val="22"/>
        </w:rPr>
        <w:t>The correction travels with the claim.</w:t>
      </w:r>
    </w:p>
    <w:p>
      <w:pPr>
        <w:pStyle w:val="ListBullet"/>
        <w:jc w:val="left"/>
      </w:pPr>
      <w:r>
        <w:rPr>
          <w:rFonts w:ascii="Calibri" w:hAnsi="Calibri"/>
          <w:color w:val="1F2933"/>
          <w:sz w:val="22"/>
        </w:rPr>
        <w:t>No courtroom theater. No oath. No notary. Just one precise factual claim with its evidence, limits, and correction history kept together.</w:t>
      </w:r>
    </w:p>
    <w:p>
      <w:pPr>
        <w:pStyle w:val="Heading2"/>
      </w:pPr>
      <w:r>
        <w:rPr>
          <w:rFonts w:ascii="Calibri" w:hAnsi="Calibri"/>
          <w:b/>
          <w:color w:val="2E74B5"/>
          <w:sz w:val="26"/>
        </w:rPr>
        <w:t>The honest safety language</w:t>
      </w:r>
    </w:p>
    <w:p>
      <w:pPr>
        <w:jc w:val="both"/>
      </w:pPr>
      <w:r>
        <w:rPr>
          <w:rFonts w:ascii="Calibri" w:hAnsi="Calibri"/>
          <w:color w:val="1F2933"/>
          <w:sz w:val="22"/>
        </w:rPr>
        <w:t>Good:</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“DGG does not ask you to swear, affirm, or sign under penalty of perjury. The Claim Record is a voluntary publication format, not a government filing or law-enforcement process.”</w:t>
            </w:r>
          </w:p>
        </w:tc>
      </w:tr>
    </w:tbl>
    <w:p>
      <w:pPr>
        <w:spacing w:after="40"/>
      </w:pPr>
    </w:p>
    <w:p>
      <w:pPr>
        <w:jc w:val="both"/>
      </w:pPr>
      <w:r>
        <w:rPr>
          <w:rFonts w:ascii="Calibri" w:hAnsi="Calibri"/>
          <w:color w:val="1F2933"/>
          <w:sz w:val="22"/>
        </w:rPr>
        <w:t>Not acceptable:</w:t>
      </w:r>
    </w:p>
    <w:p>
      <w:pPr>
        <w:pStyle w:val="ListBullet"/>
        <w:jc w:val="left"/>
      </w:pPr>
      <w:r>
        <w:rPr>
          <w:rFonts w:ascii="Calibri" w:hAnsi="Calibri"/>
          <w:color w:val="1F2933"/>
          <w:sz w:val="22"/>
        </w:rPr>
        <w:t>“There is no danger in any way.”</w:t>
      </w:r>
    </w:p>
    <w:p>
      <w:pPr>
        <w:pStyle w:val="ListBullet"/>
        <w:jc w:val="left"/>
      </w:pPr>
      <w:r>
        <w:rPr>
          <w:rFonts w:ascii="Calibri" w:hAnsi="Calibri"/>
          <w:color w:val="1F2933"/>
          <w:sz w:val="22"/>
        </w:rPr>
        <w:t>“Legally harmless.”</w:t>
      </w:r>
    </w:p>
    <w:p>
      <w:pPr>
        <w:pStyle w:val="ListBullet"/>
        <w:jc w:val="left"/>
      </w:pPr>
      <w:r>
        <w:rPr>
          <w:rFonts w:ascii="Calibri" w:hAnsi="Calibri"/>
          <w:color w:val="1F2933"/>
          <w:sz w:val="22"/>
        </w:rPr>
        <w:t>“Risk-free.”</w:t>
      </w:r>
    </w:p>
    <w:p>
      <w:pPr>
        <w:pStyle w:val="ListBullet"/>
        <w:jc w:val="left"/>
      </w:pPr>
      <w:r>
        <w:rPr>
          <w:rFonts w:ascii="Calibri" w:hAnsi="Calibri"/>
          <w:color w:val="1F2933"/>
          <w:sz w:val="22"/>
        </w:rPr>
        <w:t>“Guaranteed safe.”</w:t>
      </w:r>
    </w:p>
    <w:p>
      <w:pPr>
        <w:pStyle w:val="ListBullet"/>
        <w:jc w:val="left"/>
      </w:pPr>
      <w:r>
        <w:rPr>
          <w:rFonts w:ascii="Calibri" w:hAnsi="Calibri"/>
          <w:color w:val="1F2933"/>
          <w:sz w:val="22"/>
        </w:rPr>
        <w:t>“Verified true.”</w:t>
      </w:r>
    </w:p>
    <w:p>
      <w:pPr>
        <w:pStyle w:val="ListBullet"/>
        <w:jc w:val="left"/>
      </w:pPr>
      <w:r>
        <w:rPr>
          <w:rFonts w:ascii="Calibri" w:hAnsi="Calibri"/>
          <w:color w:val="1F2933"/>
          <w:sz w:val="22"/>
        </w:rPr>
        <w:t>“Officially certified.”</w:t>
      </w:r>
    </w:p>
    <w:p>
      <w:pPr>
        <w:pStyle w:val="ListBullet"/>
        <w:jc w:val="left"/>
      </w:pPr>
      <w:r>
        <w:rPr>
          <w:rFonts w:ascii="Calibri" w:hAnsi="Calibri"/>
          <w:color w:val="1F2933"/>
          <w:sz w:val="22"/>
        </w:rPr>
        <w:t>“Perjury-proof.”</w:t>
      </w:r>
    </w:p>
    <w:p>
      <w:pPr>
        <w:pStyle w:val="ListBullet"/>
        <w:jc w:val="left"/>
      </w:pPr>
      <w:r>
        <w:rPr>
          <w:rFonts w:ascii="Calibri" w:hAnsi="Calibri"/>
          <w:color w:val="1F2933"/>
          <w:sz w:val="22"/>
        </w:rPr>
        <w:t>“Only dishonest candidates decline.”</w:t>
      </w:r>
    </w:p>
    <w:p>
      <w:pPr>
        <w:jc w:val="both"/>
      </w:pPr>
      <w:r>
        <w:rPr>
          <w:rFonts w:ascii="Calibri" w:hAnsi="Calibri"/>
          <w:color w:val="1F2933"/>
          <w:sz w:val="22"/>
        </w:rPr>
        <w:t>The safer language is also better advertising because it is concrete. People can see exactly which threatening mechanisms are absent.</w:t>
      </w:r>
    </w:p>
    <w:p>
      <w:pPr>
        <w:pStyle w:val="Heading1"/>
      </w:pPr>
      <w:r>
        <w:rPr>
          <w:rFonts w:ascii="Calibri" w:hAnsi="Calibri"/>
          <w:b/>
          <w:color w:val="2E74B5"/>
          <w:sz w:val="32"/>
        </w:rPr>
        <w:t>13. The legal design argument in plain language</w:t>
      </w:r>
    </w:p>
    <w:p>
      <w:pPr>
        <w:pStyle w:val="Heading2"/>
      </w:pPr>
      <w:r>
        <w:rPr>
          <w:rFonts w:ascii="Calibri" w:hAnsi="Calibri"/>
          <w:b/>
          <w:color w:val="2E74B5"/>
          <w:sz w:val="26"/>
        </w:rPr>
        <w:t>13.1 Why removing the oath is substantive</w:t>
      </w:r>
    </w:p>
    <w:p>
      <w:pPr>
        <w:jc w:val="both"/>
      </w:pPr>
      <w:r>
        <w:rPr>
          <w:rFonts w:ascii="Calibri" w:hAnsi="Calibri"/>
          <w:color w:val="1F2933"/>
          <w:sz w:val="22"/>
        </w:rPr>
        <w:t>Washington’s false-swearing statute addresses a knowingly false statement made under an oath required or authorized by law. Washington’s notary statute recognizes a “verification on oath or affirmation” as a declaration before a notarial officer that a statement in a record is true. The earlier design intentionally approached that legal architecture.</w:t>
      </w:r>
    </w:p>
    <w:p>
      <w:pPr>
        <w:jc w:val="both"/>
      </w:pPr>
      <w:r>
        <w:rPr>
          <w:rFonts w:ascii="Calibri" w:hAnsi="Calibri"/>
          <w:color w:val="1F2933"/>
          <w:sz w:val="22"/>
        </w:rPr>
        <w:t>The Claim Record intentionally does not. It omits the oath, affirmation, notarial verification, jurat, affidavit form, and penalty language. This is designed to avoid creating the project-specific false-swearing mechanism that made arrest part of the earlier conversation.</w:t>
      </w:r>
    </w:p>
    <w:p>
      <w:pPr>
        <w:jc w:val="both"/>
      </w:pPr>
      <w:r>
        <w:rPr>
          <w:rFonts w:ascii="Calibri" w:hAnsi="Calibri"/>
          <w:color w:val="1F2933"/>
          <w:sz w:val="22"/>
        </w:rPr>
        <w:t>Only Washington counsel reviewing the exact final words and workflow can confirm that the implementation does not accidentally recreate a sworn act.</w:t>
      </w:r>
    </w:p>
    <w:p>
      <w:pPr>
        <w:pStyle w:val="Heading2"/>
      </w:pPr>
      <w:r>
        <w:rPr>
          <w:rFonts w:ascii="Calibri" w:hAnsi="Calibri"/>
          <w:b/>
          <w:color w:val="2E74B5"/>
          <w:sz w:val="26"/>
        </w:rPr>
        <w:t>13.2 Why this is not legal immunity</w:t>
      </w:r>
    </w:p>
    <w:p>
      <w:pPr>
        <w:jc w:val="both"/>
      </w:pPr>
      <w:r>
        <w:rPr>
          <w:rFonts w:ascii="Calibri" w:hAnsi="Calibri"/>
          <w:color w:val="1F2933"/>
          <w:sz w:val="22"/>
        </w:rPr>
        <w:t>The record remains public speech and reporting. Existing law still applies. A non-sworn statement can still create issues if it is defamatory, invades privacy, violates a contract, contains a threat, appears in an official filing, is used in a regulated campaign communication, or forms part of other unlawful conduct.</w:t>
      </w:r>
    </w:p>
    <w:p>
      <w:pPr>
        <w:jc w:val="both"/>
      </w:pPr>
      <w:r>
        <w:rPr>
          <w:rFonts w:ascii="Calibri" w:hAnsi="Calibri"/>
          <w:color w:val="1F2933"/>
          <w:sz w:val="22"/>
        </w:rPr>
        <w:t>That is why the system uses narrow questions, source review, participant authorship, DGG’s independent check, privacy screening, campaign separation, and stop rules. Those controls manage ordinary risk; they do not abolish it.</w:t>
      </w:r>
    </w:p>
    <w:p>
      <w:pPr>
        <w:pStyle w:val="Heading2"/>
      </w:pPr>
      <w:r>
        <w:rPr>
          <w:rFonts w:ascii="Calibri" w:hAnsi="Calibri"/>
          <w:b/>
          <w:color w:val="2E74B5"/>
          <w:sz w:val="26"/>
        </w:rPr>
        <w:t>13.3 Why the notary should be removed from the public product</w:t>
      </w:r>
    </w:p>
    <w:p>
      <w:pPr>
        <w:jc w:val="both"/>
      </w:pPr>
      <w:r>
        <w:rPr>
          <w:rFonts w:ascii="Calibri" w:hAnsi="Calibri"/>
          <w:color w:val="1F2933"/>
          <w:sz w:val="22"/>
        </w:rPr>
        <w:t>The early proposal used a notary to formalize the act. For this version, a notary adds more confusion than value. Many viewers will read a seal as official validation even though a notary does not investigate the political truth. A notarial verification on oath would also reintroduce the legal mechanism this redesign is trying to remove.</w:t>
      </w:r>
    </w:p>
    <w:p>
      <w:pPr>
        <w:jc w:val="both"/>
      </w:pPr>
      <w:r>
        <w:rPr>
          <w:rFonts w:ascii="Calibri" w:hAnsi="Calibri"/>
          <w:color w:val="1F2933"/>
          <w:sz w:val="22"/>
        </w:rPr>
        <w:t>The base design therefore uses ordinary newsroom identity confirmation and participant publication approval. If DGG later believes an independent identity witness is necessary, counsel should design that role without an oath and without any suggestion that the witness certified truth.</w:t>
      </w:r>
    </w:p>
    <w:p>
      <w:pPr>
        <w:jc w:val="both"/>
      </w:pPr>
      <w:r>
        <w:rPr>
          <w:rFonts w:ascii="Calibri" w:hAnsi="Calibri"/>
          <w:color w:val="1F2933"/>
          <w:sz w:val="22"/>
        </w:rPr>
        <w:t xml:space="preserve">The public document should also avoid the legal term </w:t>
      </w:r>
      <w:r>
        <w:rPr>
          <w:rFonts w:ascii="Calibri" w:hAnsi="Calibri"/>
          <w:b/>
          <w:color w:val="1F2933"/>
          <w:sz w:val="22"/>
        </w:rPr>
        <w:t>“unsworn declaration.”</w:t>
      </w:r>
      <w:r>
        <w:rPr>
          <w:rFonts w:ascii="Calibri" w:hAnsi="Calibri"/>
          <w:color w:val="1F2933"/>
          <w:sz w:val="22"/>
        </w:rPr>
        <w:t xml:space="preserve"> Washington law recognizes declarations made under penalty of perjury without a notary. This project is instead a non-sworn, non-penalty publication record. The form should not use “I declare,” “I swear,” “I affirm,” “true and correct,” “I certify,” or “I attest.”</w:t>
      </w:r>
    </w:p>
    <w:p>
      <w:pPr>
        <w:pStyle w:val="Heading2"/>
      </w:pPr>
      <w:r>
        <w:rPr>
          <w:rFonts w:ascii="Calibri" w:hAnsi="Calibri"/>
          <w:b/>
          <w:color w:val="2E74B5"/>
          <w:sz w:val="26"/>
        </w:rPr>
        <w:t>13.4 Why recording consent remains separate</w:t>
      </w:r>
    </w:p>
    <w:p>
      <w:pPr>
        <w:jc w:val="both"/>
      </w:pPr>
      <w:r>
        <w:rPr>
          <w:rFonts w:ascii="Calibri" w:hAnsi="Calibri"/>
          <w:color w:val="1F2933"/>
          <w:sz w:val="22"/>
        </w:rPr>
        <w:t>Washington generally requires consent for recording private communications or conversations, subject to statutory details and media provisions. The safer production rule is written pre-capture notice and consent, followed by a clear on-record confirmation for each recording and purpose. Recording, Claim Record publication, research use, and campaign reuse are separate choices.</w:t>
      </w:r>
    </w:p>
    <w:p>
      <w:pPr>
        <w:pStyle w:val="Heading2"/>
      </w:pPr>
      <w:r>
        <w:rPr>
          <w:rFonts w:ascii="Calibri" w:hAnsi="Calibri"/>
          <w:b/>
          <w:color w:val="2E74B5"/>
          <w:sz w:val="26"/>
        </w:rPr>
        <w:t>13.5 Why campaign classification needs a decision tree</w:t>
      </w:r>
    </w:p>
    <w:p>
      <w:pPr>
        <w:jc w:val="both"/>
      </w:pPr>
      <w:r>
        <w:rPr>
          <w:rFonts w:ascii="Calibri" w:hAnsi="Calibri"/>
          <w:color w:val="1F2933"/>
          <w:sz w:val="22"/>
        </w:rPr>
        <w:t>Washington and federal election law contain fact-specific media, contribution, expenditure, coordination, debate, advertising, and disclaimer rules. A project cannot assume that every online show or every reuse of a segment qualifies for a media exclusion.</w:t>
      </w:r>
    </w:p>
    <w:p>
      <w:pPr>
        <w:jc w:val="both"/>
      </w:pPr>
      <w:r>
        <w:rPr>
          <w:rFonts w:ascii="Calibri" w:hAnsi="Calibri"/>
          <w:color w:val="1F2933"/>
          <w:sz w:val="22"/>
        </w:rPr>
        <w:t>Before real candidate use, counsel should map at least:</w:t>
      </w:r>
    </w:p>
    <w:p>
      <w:pPr>
        <w:pStyle w:val="ListBullet"/>
        <w:jc w:val="left"/>
      </w:pPr>
      <w:r>
        <w:rPr>
          <w:rFonts w:ascii="Calibri" w:hAnsi="Calibri"/>
          <w:color w:val="1F2933"/>
          <w:sz w:val="22"/>
        </w:rPr>
        <w:t>who owns and controls DGG;</w:t>
      </w:r>
    </w:p>
    <w:p>
      <w:pPr>
        <w:pStyle w:val="ListBullet"/>
        <w:jc w:val="left"/>
      </w:pPr>
      <w:r>
        <w:rPr>
          <w:rFonts w:ascii="Calibri" w:hAnsi="Calibri"/>
          <w:color w:val="1F2933"/>
          <w:sz w:val="22"/>
        </w:rPr>
        <w:t>who selects the guest and question;</w:t>
      </w:r>
    </w:p>
    <w:p>
      <w:pPr>
        <w:pStyle w:val="ListBullet"/>
        <w:jc w:val="left"/>
      </w:pPr>
      <w:r>
        <w:rPr>
          <w:rFonts w:ascii="Calibri" w:hAnsi="Calibri"/>
          <w:color w:val="1F2933"/>
          <w:sz w:val="22"/>
        </w:rPr>
        <w:t>whether a candidate or committee requested, shaped, paid for, or received material control over the content;</w:t>
      </w:r>
    </w:p>
    <w:p>
      <w:pPr>
        <w:pStyle w:val="ListBullet"/>
        <w:jc w:val="left"/>
      </w:pPr>
      <w:r>
        <w:rPr>
          <w:rFonts w:ascii="Calibri" w:hAnsi="Calibri"/>
          <w:color w:val="1F2933"/>
          <w:sz w:val="22"/>
        </w:rPr>
        <w:t>whether DGG gave anything of value or preferential placement;</w:t>
      </w:r>
    </w:p>
    <w:p>
      <w:pPr>
        <w:pStyle w:val="ListBullet"/>
        <w:jc w:val="left"/>
      </w:pPr>
      <w:r>
        <w:rPr>
          <w:rFonts w:ascii="Calibri" w:hAnsi="Calibri"/>
          <w:color w:val="1F2933"/>
          <w:sz w:val="22"/>
        </w:rPr>
        <w:t>whether the campaign can reuse, license, edit, or amplify the record;</w:t>
      </w:r>
    </w:p>
    <w:p>
      <w:pPr>
        <w:pStyle w:val="ListBullet"/>
        <w:jc w:val="left"/>
      </w:pPr>
      <w:r>
        <w:rPr>
          <w:rFonts w:ascii="Calibri" w:hAnsi="Calibri"/>
          <w:color w:val="1F2933"/>
          <w:sz w:val="22"/>
        </w:rPr>
        <w:t>whether distribution is editorial, paid, broadcast, or coordinated;</w:t>
      </w:r>
    </w:p>
    <w:p>
      <w:pPr>
        <w:pStyle w:val="ListBullet"/>
        <w:jc w:val="left"/>
      </w:pPr>
      <w:r>
        <w:rPr>
          <w:rFonts w:ascii="Calibri" w:hAnsi="Calibri"/>
          <w:color w:val="1F2933"/>
          <w:sz w:val="22"/>
        </w:rPr>
        <w:t>which disclaimers, reports, or sponsor rules apply; and</w:t>
      </w:r>
    </w:p>
    <w:p>
      <w:pPr>
        <w:pStyle w:val="ListBullet"/>
        <w:jc w:val="left"/>
      </w:pPr>
      <w:r>
        <w:rPr>
          <w:rFonts w:ascii="Calibri" w:hAnsi="Calibri"/>
          <w:color w:val="1F2933"/>
          <w:sz w:val="22"/>
        </w:rPr>
        <w:t>whether state and federal rules differ for the office involved.</w:t>
      </w:r>
    </w:p>
    <w:p>
      <w:pPr>
        <w:jc w:val="both"/>
      </w:pPr>
      <w:r>
        <w:rPr>
          <w:rFonts w:ascii="Calibri" w:hAnsi="Calibri"/>
          <w:color w:val="1F2933"/>
          <w:sz w:val="22"/>
        </w:rPr>
        <w:t>DGG should preserve independent control over questions, analysis, timing, placement, and publication. The participant should control only their exact attributed words and publication consent.</w:t>
      </w:r>
    </w:p>
    <w:p>
      <w:pPr>
        <w:jc w:val="both"/>
      </w:pPr>
      <w:r>
        <w:rPr>
          <w:rFonts w:ascii="Calibri" w:hAnsi="Calibri"/>
          <w:color w:val="1F2933"/>
          <w:sz w:val="22"/>
        </w:rPr>
        <w:t>The separation also protects against turning favorable coverage into something bought or exchanged. DGG should accept no payment or thing of value as consideration for favorable or unfavorable treatment, and it should review the use of public resources, candidate-requested distribution, or paid amplification before release.</w:t>
      </w:r>
    </w:p>
    <w:p>
      <w:pPr>
        <w:pStyle w:val="Heading2"/>
      </w:pPr>
      <w:r>
        <w:rPr>
          <w:rFonts w:ascii="Calibri" w:hAnsi="Calibri"/>
          <w:b/>
          <w:color w:val="2E74B5"/>
          <w:sz w:val="26"/>
        </w:rPr>
        <w:t>13.6 Why the advertising itself needs review</w:t>
      </w:r>
    </w:p>
    <w:p>
      <w:pPr>
        <w:jc w:val="both"/>
      </w:pPr>
      <w:r>
        <w:rPr>
          <w:rFonts w:ascii="Calibri" w:hAnsi="Calibri"/>
          <w:color w:val="1F2933"/>
          <w:sz w:val="22"/>
        </w:rPr>
        <w:t>The safety promise is part of the product. If DGG says “risk-free” while ordinary legal and reputational exposure remains, the marketing defeats the project’s credibility. A fixed approved vocabulary and audience-comprehension test should therefore be a launch gate.</w:t>
      </w:r>
    </w:p>
    <w:p>
      <w:pPr>
        <w:pStyle w:val="Heading1"/>
      </w:pPr>
      <w:r>
        <w:rPr>
          <w:rFonts w:ascii="Calibri" w:hAnsi="Calibri"/>
          <w:b/>
          <w:color w:val="2E74B5"/>
          <w:sz w:val="32"/>
        </w:rPr>
        <w:t>14. Government connection: unnecessary and currently undesirable</w:t>
      </w:r>
    </w:p>
    <w:p>
      <w:pPr>
        <w:jc w:val="both"/>
      </w:pPr>
      <w:r>
        <w:rPr>
          <w:rFonts w:ascii="Calibri" w:hAnsi="Calibri"/>
          <w:color w:val="1F2933"/>
          <w:sz w:val="22"/>
        </w:rPr>
        <w:t>The Claim Record does not need government involvement. The cleanest first design is private editorial and research activity.</w:t>
      </w:r>
    </w:p>
    <w:p>
      <w:pPr>
        <w:jc w:val="both"/>
      </w:pPr>
      <w:r>
        <w:rPr>
          <w:rFonts w:ascii="Calibri" w:hAnsi="Calibri"/>
          <w:color w:val="1F2933"/>
          <w:sz w:val="22"/>
        </w:rPr>
        <w:t>It should have:</w:t>
      </w:r>
    </w:p>
    <w:p>
      <w:pPr>
        <w:pStyle w:val="ListBullet"/>
        <w:jc w:val="left"/>
      </w:pPr>
      <w:r>
        <w:rPr>
          <w:rFonts w:ascii="Calibri" w:hAnsi="Calibri"/>
          <w:color w:val="1F2933"/>
          <w:sz w:val="22"/>
        </w:rPr>
        <w:t>no government seal or endorsement;</w:t>
      </w:r>
    </w:p>
    <w:p>
      <w:pPr>
        <w:pStyle w:val="ListBullet"/>
        <w:jc w:val="left"/>
      </w:pPr>
      <w:r>
        <w:rPr>
          <w:rFonts w:ascii="Calibri" w:hAnsi="Calibri"/>
          <w:color w:val="1F2933"/>
          <w:sz w:val="22"/>
        </w:rPr>
        <w:t>no agency partner selecting questions;</w:t>
      </w:r>
    </w:p>
    <w:p>
      <w:pPr>
        <w:pStyle w:val="ListBullet"/>
        <w:jc w:val="left"/>
      </w:pPr>
      <w:r>
        <w:rPr>
          <w:rFonts w:ascii="Calibri" w:hAnsi="Calibri"/>
          <w:color w:val="1F2933"/>
          <w:sz w:val="22"/>
        </w:rPr>
        <w:t>no law-enforcement referral arrangement;</w:t>
      </w:r>
    </w:p>
    <w:p>
      <w:pPr>
        <w:pStyle w:val="ListBullet"/>
        <w:jc w:val="left"/>
      </w:pPr>
      <w:r>
        <w:rPr>
          <w:rFonts w:ascii="Calibri" w:hAnsi="Calibri"/>
          <w:color w:val="1F2933"/>
          <w:sz w:val="22"/>
        </w:rPr>
        <w:t>no official database integration;</w:t>
      </w:r>
    </w:p>
    <w:p>
      <w:pPr>
        <w:pStyle w:val="ListBullet"/>
        <w:jc w:val="left"/>
      </w:pPr>
      <w:r>
        <w:rPr>
          <w:rFonts w:ascii="Calibri" w:hAnsi="Calibri"/>
          <w:color w:val="1F2933"/>
          <w:sz w:val="22"/>
        </w:rPr>
        <w:t>no use as a condition for benefits, employment, licensing, candidacy, access, or government service;</w:t>
      </w:r>
    </w:p>
    <w:p>
      <w:pPr>
        <w:pStyle w:val="ListBullet"/>
        <w:jc w:val="left"/>
      </w:pPr>
      <w:r>
        <w:rPr>
          <w:rFonts w:ascii="Calibri" w:hAnsi="Calibri"/>
          <w:color w:val="1F2933"/>
          <w:sz w:val="22"/>
        </w:rPr>
        <w:t>no promise that an agency will rely on the record; and</w:t>
      </w:r>
    </w:p>
    <w:p>
      <w:pPr>
        <w:pStyle w:val="ListBullet"/>
        <w:jc w:val="left"/>
      </w:pPr>
      <w:r>
        <w:rPr>
          <w:rFonts w:ascii="Calibri" w:hAnsi="Calibri"/>
          <w:color w:val="1F2933"/>
          <w:sz w:val="22"/>
        </w:rPr>
        <w:t>no governmental “truth” determination.</w:t>
      </w:r>
    </w:p>
    <w:p>
      <w:pPr>
        <w:jc w:val="both"/>
      </w:pPr>
      <w:r>
        <w:rPr>
          <w:rFonts w:ascii="Calibri" w:hAnsi="Calibri"/>
          <w:color w:val="1F2933"/>
          <w:sz w:val="22"/>
        </w:rPr>
        <w:t>Government funding, contracting, co-design, privileged access, official reliance, mandatory use, or enforcement interest would materially change the facts. Any of those events should pause the project and trigger a new legal, ethics, privacy, public-records, and constitutional review.</w:t>
      </w:r>
    </w:p>
    <w:p>
      <w:pPr>
        <w:jc w:val="both"/>
      </w:pPr>
      <w:r>
        <w:rPr>
          <w:rFonts w:ascii="Calibri" w:hAnsi="Calibri"/>
          <w:color w:val="1F2933"/>
          <w:sz w:val="22"/>
        </w:rPr>
        <w:t>Much later, government or civic organizations could study the published method, fund independent research under appropriate safeguards, or consider neutral educational materials. None of that is necessary to test whether DGG can produce a better private reporting record.</w:t>
      </w:r>
    </w:p>
    <w:p>
      <w:pPr>
        <w:pStyle w:val="Heading1"/>
      </w:pPr>
      <w:r>
        <w:rPr>
          <w:rFonts w:ascii="Calibri" w:hAnsi="Calibri"/>
          <w:b/>
          <w:color w:val="2E74B5"/>
          <w:sz w:val="32"/>
        </w:rPr>
        <w:t>15. Campaign and editorial firewalls</w:t>
      </w:r>
    </w:p>
    <w:p>
      <w:pPr>
        <w:jc w:val="both"/>
      </w:pPr>
      <w:r>
        <w:rPr>
          <w:rFonts w:ascii="Calibri" w:hAnsi="Calibri"/>
          <w:color w:val="1F2933"/>
          <w:sz w:val="22"/>
        </w:rPr>
        <w:t>Before any election-related use, the written rules should require:</w:t>
      </w:r>
    </w:p>
    <w:p>
      <w:pPr>
        <w:spacing w:after="80"/>
        <w:ind w:left="504" w:hanging="317"/>
        <w:jc w:val="left"/>
      </w:pPr>
      <w:r>
        <w:rPr>
          <w:rFonts w:ascii="Calibri" w:hAnsi="Calibri"/>
          <w:color w:val="1F2933"/>
          <w:sz w:val="22"/>
        </w:rPr>
        <w:t xml:space="preserve">1. </w:t>
      </w:r>
      <w:r>
        <w:rPr>
          <w:rFonts w:ascii="Calibri" w:hAnsi="Calibri"/>
          <w:b/>
          <w:color w:val="1F2933"/>
          <w:sz w:val="22"/>
        </w:rPr>
        <w:t>Independent question selection.</w:t>
      </w:r>
      <w:r>
        <w:rPr>
          <w:rFonts w:ascii="Calibri" w:hAnsi="Calibri"/>
          <w:color w:val="1F2933"/>
          <w:sz w:val="22"/>
        </w:rPr>
        <w:t xml:space="preserve"> DGG—not the campaign—decides which questions are reportable and suitable.</w:t>
      </w:r>
    </w:p>
    <w:p>
      <w:pPr>
        <w:spacing w:after="80"/>
        <w:ind w:left="504" w:hanging="317"/>
        <w:jc w:val="left"/>
      </w:pPr>
      <w:r>
        <w:rPr>
          <w:rFonts w:ascii="Calibri" w:hAnsi="Calibri"/>
          <w:color w:val="1F2933"/>
          <w:sz w:val="22"/>
        </w:rPr>
        <w:t xml:space="preserve">2. </w:t>
      </w:r>
      <w:r>
        <w:rPr>
          <w:rFonts w:ascii="Calibri" w:hAnsi="Calibri"/>
          <w:b/>
          <w:color w:val="1F2933"/>
          <w:sz w:val="22"/>
        </w:rPr>
        <w:t>No paid placement.</w:t>
      </w:r>
      <w:r>
        <w:rPr>
          <w:rFonts w:ascii="Calibri" w:hAnsi="Calibri"/>
          <w:color w:val="1F2933"/>
          <w:sz w:val="22"/>
        </w:rPr>
        <w:t xml:space="preserve"> Participation does not purchase favorable treatment, special branding, timing, or distribution.</w:t>
      </w:r>
    </w:p>
    <w:p>
      <w:pPr>
        <w:spacing w:after="80"/>
        <w:ind w:left="504" w:hanging="317"/>
        <w:jc w:val="left"/>
      </w:pPr>
      <w:r>
        <w:rPr>
          <w:rFonts w:ascii="Calibri" w:hAnsi="Calibri"/>
          <w:color w:val="1F2933"/>
          <w:sz w:val="22"/>
        </w:rPr>
        <w:t xml:space="preserve">3. </w:t>
      </w:r>
      <w:r>
        <w:rPr>
          <w:rFonts w:ascii="Calibri" w:hAnsi="Calibri"/>
          <w:b/>
          <w:color w:val="1F2933"/>
          <w:sz w:val="22"/>
        </w:rPr>
        <w:t>No campaign control over DGG’s finding.</w:t>
      </w:r>
      <w:r>
        <w:rPr>
          <w:rFonts w:ascii="Calibri" w:hAnsi="Calibri"/>
          <w:color w:val="1F2933"/>
          <w:sz w:val="22"/>
        </w:rPr>
        <w:t xml:space="preserve"> The participant may challenge an error and supply evidence, but DGG retains the conclusion.</w:t>
      </w:r>
    </w:p>
    <w:p>
      <w:pPr>
        <w:spacing w:after="80"/>
        <w:ind w:left="504" w:hanging="317"/>
        <w:jc w:val="left"/>
      </w:pPr>
      <w:r>
        <w:rPr>
          <w:rFonts w:ascii="Calibri" w:hAnsi="Calibri"/>
          <w:color w:val="1F2933"/>
          <w:sz w:val="22"/>
        </w:rPr>
        <w:t xml:space="preserve">4. </w:t>
      </w:r>
      <w:r>
        <w:rPr>
          <w:rFonts w:ascii="Calibri" w:hAnsi="Calibri"/>
          <w:b/>
          <w:color w:val="1F2933"/>
          <w:sz w:val="22"/>
        </w:rPr>
        <w:t>No automatic reuse license.</w:t>
      </w:r>
      <w:r>
        <w:rPr>
          <w:rFonts w:ascii="Calibri" w:hAnsi="Calibri"/>
          <w:color w:val="1F2933"/>
          <w:sz w:val="22"/>
        </w:rPr>
        <w:t xml:space="preserve"> Campaign ads, fundraising, edits, excerpts, broadcast use, and paid amplification require separate review.</w:t>
      </w:r>
    </w:p>
    <w:p>
      <w:pPr>
        <w:spacing w:after="80"/>
        <w:ind w:left="504" w:hanging="317"/>
        <w:jc w:val="left"/>
      </w:pPr>
      <w:r>
        <w:rPr>
          <w:rFonts w:ascii="Calibri" w:hAnsi="Calibri"/>
          <w:color w:val="1F2933"/>
          <w:sz w:val="22"/>
        </w:rPr>
        <w:t xml:space="preserve">5. </w:t>
      </w:r>
      <w:r>
        <w:rPr>
          <w:rFonts w:ascii="Calibri" w:hAnsi="Calibri"/>
          <w:b/>
          <w:color w:val="1F2933"/>
          <w:sz w:val="22"/>
        </w:rPr>
        <w:t>No preference created by participation.</w:t>
      </w:r>
      <w:r>
        <w:rPr>
          <w:rFonts w:ascii="Calibri" w:hAnsi="Calibri"/>
          <w:color w:val="1F2933"/>
          <w:sz w:val="22"/>
        </w:rPr>
        <w:t xml:space="preserve"> A completed record is not a campaign endorsement or access condition.</w:t>
      </w:r>
    </w:p>
    <w:p>
      <w:pPr>
        <w:spacing w:after="80"/>
        <w:ind w:left="504" w:hanging="317"/>
        <w:jc w:val="left"/>
      </w:pPr>
      <w:r>
        <w:rPr>
          <w:rFonts w:ascii="Calibri" w:hAnsi="Calibri"/>
          <w:color w:val="1F2933"/>
          <w:sz w:val="22"/>
        </w:rPr>
        <w:t xml:space="preserve">6. </w:t>
      </w:r>
      <w:r>
        <w:rPr>
          <w:rFonts w:ascii="Calibri" w:hAnsi="Calibri"/>
          <w:b/>
          <w:color w:val="1F2933"/>
          <w:sz w:val="22"/>
        </w:rPr>
        <w:t>Consistent criteria.</w:t>
      </w:r>
      <w:r>
        <w:rPr>
          <w:rFonts w:ascii="Calibri" w:hAnsi="Calibri"/>
          <w:color w:val="1F2933"/>
          <w:sz w:val="22"/>
        </w:rPr>
        <w:t xml:space="preserve"> DGG documents why questions and guests are selected across party and viewpoint.</w:t>
      </w:r>
    </w:p>
    <w:p>
      <w:pPr>
        <w:spacing w:after="80"/>
        <w:ind w:left="504" w:hanging="317"/>
        <w:jc w:val="left"/>
      </w:pPr>
      <w:r>
        <w:rPr>
          <w:rFonts w:ascii="Calibri" w:hAnsi="Calibri"/>
          <w:color w:val="1F2933"/>
          <w:sz w:val="22"/>
        </w:rPr>
        <w:t xml:space="preserve">7. </w:t>
      </w:r>
      <w:r>
        <w:rPr>
          <w:rFonts w:ascii="Calibri" w:hAnsi="Calibri"/>
          <w:b/>
          <w:color w:val="1F2933"/>
          <w:sz w:val="22"/>
        </w:rPr>
        <w:t>Money and services ledger.</w:t>
      </w:r>
      <w:r>
        <w:rPr>
          <w:rFonts w:ascii="Calibri" w:hAnsi="Calibri"/>
          <w:color w:val="1F2933"/>
          <w:sz w:val="22"/>
        </w:rPr>
        <w:t xml:space="preserve"> Production costs, travel, access, data, promotion, and donated services are tracked for counsel.</w:t>
      </w:r>
    </w:p>
    <w:p>
      <w:pPr>
        <w:spacing w:after="80"/>
        <w:ind w:left="504" w:hanging="317"/>
        <w:jc w:val="left"/>
      </w:pPr>
      <w:r>
        <w:rPr>
          <w:rFonts w:ascii="Calibri" w:hAnsi="Calibri"/>
          <w:color w:val="1F2933"/>
          <w:sz w:val="22"/>
        </w:rPr>
        <w:t xml:space="preserve">8. </w:t>
      </w:r>
      <w:r>
        <w:rPr>
          <w:rFonts w:ascii="Calibri" w:hAnsi="Calibri"/>
          <w:b/>
          <w:color w:val="1F2933"/>
          <w:sz w:val="22"/>
        </w:rPr>
        <w:t>Public corrections remain under DGG control.</w:t>
      </w:r>
      <w:r>
        <w:rPr>
          <w:rFonts w:ascii="Calibri" w:hAnsi="Calibri"/>
          <w:color w:val="1F2933"/>
          <w:sz w:val="22"/>
        </w:rPr>
        <w:t xml:space="preserve"> A campaign cannot silently replace the archived version.</w:t>
      </w:r>
    </w:p>
    <w:p>
      <w:pPr>
        <w:spacing w:after="80"/>
        <w:ind w:left="504" w:hanging="317"/>
        <w:jc w:val="left"/>
      </w:pPr>
      <w:r>
        <w:rPr>
          <w:rFonts w:ascii="Calibri" w:hAnsi="Calibri"/>
          <w:color w:val="1F2933"/>
          <w:sz w:val="22"/>
        </w:rPr>
        <w:t xml:space="preserve">9. </w:t>
      </w:r>
      <w:r>
        <w:rPr>
          <w:rFonts w:ascii="Calibri" w:hAnsi="Calibri"/>
          <w:b/>
          <w:color w:val="1F2933"/>
          <w:sz w:val="22"/>
        </w:rPr>
        <w:t>No claim of automatic press exemption.</w:t>
      </w:r>
      <w:r>
        <w:rPr>
          <w:rFonts w:ascii="Calibri" w:hAnsi="Calibri"/>
          <w:color w:val="1F2933"/>
          <w:sz w:val="22"/>
        </w:rPr>
        <w:t xml:space="preserve"> Counsel applies the facts to the current state and federal rules.</w:t>
      </w:r>
    </w:p>
    <w:p>
      <w:pPr>
        <w:pStyle w:val="Heading1"/>
      </w:pPr>
      <w:r>
        <w:rPr>
          <w:rFonts w:ascii="Calibri" w:hAnsi="Calibri"/>
          <w:b/>
          <w:color w:val="2E74B5"/>
          <w:sz w:val="32"/>
        </w:rPr>
        <w:t>16. What research is still needed</w:t>
      </w:r>
    </w:p>
    <w:p>
      <w:pPr>
        <w:jc w:val="both"/>
      </w:pPr>
      <w:r>
        <w:rPr>
          <w:rFonts w:ascii="Calibri" w:hAnsi="Calibri"/>
          <w:color w:val="1F2933"/>
          <w:sz w:val="22"/>
        </w:rPr>
        <w:t>The available evidence supports testing accuracy prompts, source transparency, and corrections. It does not prove that this exact political format improves truthfulness or public understanding.</w:t>
      </w:r>
    </w:p>
    <w:p>
      <w:pPr>
        <w:jc w:val="both"/>
      </w:pPr>
      <w:r>
        <w:rPr>
          <w:rFonts w:ascii="Calibri" w:hAnsi="Calibri"/>
          <w:color w:val="1F2933"/>
          <w:sz w:val="22"/>
        </w:rPr>
        <w:t>The research should ask three different questions.</w:t>
      </w:r>
    </w:p>
    <w:p>
      <w:pPr>
        <w:pStyle w:val="Heading2"/>
      </w:pPr>
      <w:r>
        <w:rPr>
          <w:rFonts w:ascii="Calibri" w:hAnsi="Calibri"/>
          <w:b/>
          <w:color w:val="2E74B5"/>
          <w:sz w:val="26"/>
        </w:rPr>
        <w:t>16.1 Does it improve the speaker’s process?</w:t>
      </w:r>
    </w:p>
    <w:p>
      <w:pPr>
        <w:jc w:val="both"/>
      </w:pPr>
      <w:r>
        <w:rPr>
          <w:rFonts w:ascii="Calibri" w:hAnsi="Calibri"/>
          <w:color w:val="1F2933"/>
          <w:sz w:val="22"/>
        </w:rPr>
        <w:t>Compare:</w:t>
      </w:r>
    </w:p>
    <w:p>
      <w:pPr>
        <w:spacing w:after="80"/>
        <w:ind w:left="504" w:hanging="317"/>
        <w:jc w:val="left"/>
      </w:pPr>
      <w:r>
        <w:rPr>
          <w:rFonts w:ascii="Calibri" w:hAnsi="Calibri"/>
          <w:color w:val="1F2933"/>
          <w:sz w:val="22"/>
        </w:rPr>
        <w:t xml:space="preserve">1. </w:t>
      </w:r>
      <w:r>
        <w:rPr>
          <w:rFonts w:ascii="Calibri" w:hAnsi="Calibri"/>
          <w:color w:val="1F2933"/>
          <w:sz w:val="22"/>
        </w:rPr>
        <w:t>an ordinary interview;</w:t>
      </w:r>
    </w:p>
    <w:p>
      <w:pPr>
        <w:spacing w:after="80"/>
        <w:ind w:left="504" w:hanging="317"/>
        <w:jc w:val="left"/>
      </w:pPr>
      <w:r>
        <w:rPr>
          <w:rFonts w:ascii="Calibri" w:hAnsi="Calibri"/>
          <w:color w:val="1F2933"/>
          <w:sz w:val="22"/>
        </w:rPr>
        <w:t xml:space="preserve">2. </w:t>
      </w:r>
      <w:r>
        <w:rPr>
          <w:rFonts w:ascii="Calibri" w:hAnsi="Calibri"/>
          <w:color w:val="1F2933"/>
          <w:sz w:val="22"/>
        </w:rPr>
        <w:t>an ordinary interview with a short accuracy reminder; and</w:t>
      </w:r>
    </w:p>
    <w:p>
      <w:pPr>
        <w:spacing w:after="80"/>
        <w:ind w:left="504" w:hanging="317"/>
        <w:jc w:val="left"/>
      </w:pPr>
      <w:r>
        <w:rPr>
          <w:rFonts w:ascii="Calibri" w:hAnsi="Calibri"/>
          <w:color w:val="1F2933"/>
          <w:sz w:val="22"/>
        </w:rPr>
        <w:t xml:space="preserve">3. </w:t>
      </w:r>
      <w:r>
        <w:rPr>
          <w:rFonts w:ascii="Calibri" w:hAnsi="Calibri"/>
          <w:color w:val="1F2933"/>
          <w:sz w:val="22"/>
        </w:rPr>
        <w:t>the full non-sworn Claim Record.</w:t>
      </w:r>
    </w:p>
    <w:p>
      <w:pPr>
        <w:jc w:val="both"/>
      </w:pPr>
      <w:r>
        <w:rPr>
          <w:rFonts w:ascii="Calibri" w:hAnsi="Calibri"/>
          <w:color w:val="1F2933"/>
          <w:sz w:val="22"/>
        </w:rPr>
        <w:t>Use fictional or controlled factual tasks first. Randomize before the answer is created. Establish the ground truth in advance. Have independent coders who do not know the condition assess:</w:t>
      </w:r>
    </w:p>
    <w:p>
      <w:pPr>
        <w:pStyle w:val="ListBullet"/>
        <w:jc w:val="left"/>
      </w:pPr>
      <w:r>
        <w:rPr>
          <w:rFonts w:ascii="Calibri" w:hAnsi="Calibri"/>
          <w:color w:val="1F2933"/>
          <w:sz w:val="22"/>
        </w:rPr>
        <w:t>factual accuracy;</w:t>
      </w:r>
    </w:p>
    <w:p>
      <w:pPr>
        <w:pStyle w:val="ListBullet"/>
        <w:jc w:val="left"/>
      </w:pPr>
      <w:r>
        <w:rPr>
          <w:rFonts w:ascii="Calibri" w:hAnsi="Calibri"/>
          <w:color w:val="1F2933"/>
          <w:sz w:val="22"/>
        </w:rPr>
        <w:t>appropriate qualification;</w:t>
      </w:r>
    </w:p>
    <w:p>
      <w:pPr>
        <w:pStyle w:val="ListBullet"/>
        <w:jc w:val="left"/>
      </w:pPr>
      <w:r>
        <w:rPr>
          <w:rFonts w:ascii="Calibri" w:hAnsi="Calibri"/>
          <w:color w:val="1F2933"/>
          <w:sz w:val="22"/>
        </w:rPr>
        <w:t>“unknown” and “cannot verify” use;</w:t>
      </w:r>
    </w:p>
    <w:p>
      <w:pPr>
        <w:pStyle w:val="ListBullet"/>
        <w:jc w:val="left"/>
      </w:pPr>
      <w:r>
        <w:rPr>
          <w:rFonts w:ascii="Calibri" w:hAnsi="Calibri"/>
          <w:color w:val="1F2933"/>
          <w:sz w:val="22"/>
        </w:rPr>
        <w:t>unsupported certainty;</w:t>
      </w:r>
    </w:p>
    <w:p>
      <w:pPr>
        <w:pStyle w:val="ListBullet"/>
        <w:jc w:val="left"/>
      </w:pPr>
      <w:r>
        <w:rPr>
          <w:rFonts w:ascii="Calibri" w:hAnsi="Calibri"/>
          <w:color w:val="1F2933"/>
          <w:sz w:val="22"/>
        </w:rPr>
        <w:t>source disclosure;</w:t>
      </w:r>
    </w:p>
    <w:p>
      <w:pPr>
        <w:pStyle w:val="ListBullet"/>
        <w:jc w:val="left"/>
      </w:pPr>
      <w:r>
        <w:rPr>
          <w:rFonts w:ascii="Calibri" w:hAnsi="Calibri"/>
          <w:color w:val="1F2933"/>
          <w:sz w:val="22"/>
        </w:rPr>
        <w:t>revision before publication;</w:t>
      </w:r>
    </w:p>
    <w:p>
      <w:pPr>
        <w:pStyle w:val="ListBullet"/>
        <w:jc w:val="left"/>
      </w:pPr>
      <w:r>
        <w:rPr>
          <w:rFonts w:ascii="Calibri" w:hAnsi="Calibri"/>
          <w:color w:val="1F2933"/>
          <w:sz w:val="22"/>
        </w:rPr>
        <w:t>willingness to correct;</w:t>
      </w:r>
    </w:p>
    <w:p>
      <w:pPr>
        <w:pStyle w:val="ListBullet"/>
        <w:jc w:val="left"/>
      </w:pPr>
      <w:r>
        <w:rPr>
          <w:rFonts w:ascii="Calibri" w:hAnsi="Calibri"/>
          <w:color w:val="1F2933"/>
          <w:sz w:val="22"/>
        </w:rPr>
        <w:t>stress, comprehension, and withdrawal; and</w:t>
      </w:r>
    </w:p>
    <w:p>
      <w:pPr>
        <w:pStyle w:val="ListBullet"/>
        <w:jc w:val="left"/>
      </w:pPr>
      <w:r>
        <w:rPr>
          <w:rFonts w:ascii="Calibri" w:hAnsi="Calibri"/>
          <w:color w:val="1F2933"/>
          <w:sz w:val="22"/>
        </w:rPr>
        <w:t>time and production burden.</w:t>
      </w:r>
    </w:p>
    <w:p>
      <w:pPr>
        <w:jc w:val="both"/>
      </w:pPr>
      <w:r>
        <w:rPr>
          <w:rFonts w:ascii="Calibri" w:hAnsi="Calibri"/>
          <w:color w:val="1F2933"/>
          <w:sz w:val="22"/>
        </w:rPr>
        <w:t>If the simple accuracy reminder performs as well as the full record, use the simpler method.</w:t>
      </w:r>
    </w:p>
    <w:p>
      <w:pPr>
        <w:pStyle w:val="Heading2"/>
      </w:pPr>
      <w:r>
        <w:rPr>
          <w:rFonts w:ascii="Calibri" w:hAnsi="Calibri"/>
          <w:b/>
          <w:color w:val="2E74B5"/>
          <w:sz w:val="26"/>
        </w:rPr>
        <w:t>16.2 Does it help the audience—or merely create a truth halo?</w:t>
      </w:r>
    </w:p>
    <w:p>
      <w:pPr>
        <w:jc w:val="both"/>
      </w:pPr>
      <w:r>
        <w:rPr>
          <w:rFonts w:ascii="Calibri" w:hAnsi="Calibri"/>
          <w:color w:val="1F2933"/>
          <w:sz w:val="22"/>
        </w:rPr>
        <w:t>Show substantively identical material in different formats and measure:</w:t>
      </w:r>
    </w:p>
    <w:p>
      <w:pPr>
        <w:pStyle w:val="ListBullet"/>
        <w:jc w:val="left"/>
      </w:pPr>
      <w:r>
        <w:rPr>
          <w:rFonts w:ascii="Calibri" w:hAnsi="Calibri"/>
          <w:color w:val="1F2933"/>
          <w:sz w:val="22"/>
        </w:rPr>
        <w:t>recall of the exact claim and its limits;</w:t>
      </w:r>
    </w:p>
    <w:p>
      <w:pPr>
        <w:pStyle w:val="ListBullet"/>
        <w:jc w:val="left"/>
      </w:pPr>
      <w:r>
        <w:rPr>
          <w:rFonts w:ascii="Calibri" w:hAnsi="Calibri"/>
          <w:color w:val="1F2933"/>
          <w:sz w:val="22"/>
        </w:rPr>
        <w:t>ability to distinguish the participant’s statement from DGG’s finding;</w:t>
      </w:r>
    </w:p>
    <w:p>
      <w:pPr>
        <w:pStyle w:val="ListBullet"/>
        <w:jc w:val="left"/>
      </w:pPr>
      <w:r>
        <w:rPr>
          <w:rFonts w:ascii="Calibri" w:hAnsi="Calibri"/>
          <w:color w:val="1F2933"/>
          <w:sz w:val="22"/>
        </w:rPr>
        <w:t>ability to reject “DGG certified this as true”;</w:t>
      </w:r>
    </w:p>
    <w:p>
      <w:pPr>
        <w:pStyle w:val="ListBullet"/>
        <w:jc w:val="left"/>
      </w:pPr>
      <w:r>
        <w:rPr>
          <w:rFonts w:ascii="Calibri" w:hAnsi="Calibri"/>
          <w:color w:val="1F2933"/>
          <w:sz w:val="22"/>
        </w:rPr>
        <w:t>ability to reject “this was sworn or under penalty of perjury”;</w:t>
      </w:r>
    </w:p>
    <w:p>
      <w:pPr>
        <w:pStyle w:val="ListBullet"/>
        <w:jc w:val="left"/>
      </w:pPr>
      <w:r>
        <w:rPr>
          <w:rFonts w:ascii="Calibri" w:hAnsi="Calibri"/>
          <w:color w:val="1F2933"/>
          <w:sz w:val="22"/>
        </w:rPr>
        <w:t>trust calibrated to objective accuracy, not raw trust alone;</w:t>
      </w:r>
    </w:p>
    <w:p>
      <w:pPr>
        <w:pStyle w:val="ListBullet"/>
        <w:jc w:val="left"/>
      </w:pPr>
      <w:r>
        <w:rPr>
          <w:rFonts w:ascii="Calibri" w:hAnsi="Calibri"/>
          <w:color w:val="1F2933"/>
          <w:sz w:val="22"/>
        </w:rPr>
        <w:t>inference that a nonparticipant is dishonest;</w:t>
      </w:r>
    </w:p>
    <w:p>
      <w:pPr>
        <w:pStyle w:val="ListBullet"/>
        <w:jc w:val="left"/>
      </w:pPr>
      <w:r>
        <w:rPr>
          <w:rFonts w:ascii="Calibri" w:hAnsi="Calibri"/>
          <w:color w:val="1F2933"/>
          <w:sz w:val="22"/>
        </w:rPr>
        <w:t>perceived coercion and criminal danger;</w:t>
      </w:r>
    </w:p>
    <w:p>
      <w:pPr>
        <w:pStyle w:val="ListBullet"/>
        <w:jc w:val="left"/>
      </w:pPr>
      <w:r>
        <w:rPr>
          <w:rFonts w:ascii="Calibri" w:hAnsi="Calibri"/>
          <w:color w:val="1F2933"/>
          <w:sz w:val="22"/>
        </w:rPr>
        <w:t>correction comprehension;</w:t>
      </w:r>
    </w:p>
    <w:p>
      <w:pPr>
        <w:pStyle w:val="ListBullet"/>
        <w:jc w:val="left"/>
      </w:pPr>
      <w:r>
        <w:rPr>
          <w:rFonts w:ascii="Calibri" w:hAnsi="Calibri"/>
          <w:color w:val="1F2933"/>
          <w:sz w:val="22"/>
        </w:rPr>
        <w:t>willingness to inspect sources; and</w:t>
      </w:r>
    </w:p>
    <w:p>
      <w:pPr>
        <w:pStyle w:val="ListBullet"/>
        <w:jc w:val="left"/>
      </w:pPr>
      <w:r>
        <w:rPr>
          <w:rFonts w:ascii="Calibri" w:hAnsi="Calibri"/>
          <w:color w:val="1F2933"/>
          <w:sz w:val="22"/>
        </w:rPr>
        <w:t>partisan or demographic differences.</w:t>
      </w:r>
    </w:p>
    <w:p>
      <w:pPr>
        <w:jc w:val="both"/>
      </w:pPr>
      <w:r>
        <w:rPr>
          <w:rFonts w:ascii="Calibri" w:hAnsi="Calibri"/>
          <w:color w:val="1F2933"/>
          <w:sz w:val="22"/>
        </w:rPr>
        <w:t>A format that raises trust without accuracy or understanding is a failure.</w:t>
      </w:r>
    </w:p>
    <w:p>
      <w:pPr>
        <w:pStyle w:val="Heading2"/>
      </w:pPr>
      <w:r>
        <w:rPr>
          <w:rFonts w:ascii="Calibri" w:hAnsi="Calibri"/>
          <w:b/>
          <w:color w:val="2E74B5"/>
          <w:sz w:val="26"/>
        </w:rPr>
        <w:t>16.3 Can DGG operate it safely and consistently?</w:t>
      </w:r>
    </w:p>
    <w:p>
      <w:pPr>
        <w:jc w:val="both"/>
      </w:pPr>
      <w:r>
        <w:rPr>
          <w:rFonts w:ascii="Calibri" w:hAnsi="Calibri"/>
          <w:color w:val="1F2933"/>
          <w:sz w:val="22"/>
        </w:rPr>
        <w:t>Tabletop exercises should test:</w:t>
      </w:r>
    </w:p>
    <w:p>
      <w:pPr>
        <w:pStyle w:val="ListBullet"/>
        <w:jc w:val="left"/>
      </w:pPr>
      <w:r>
        <w:rPr>
          <w:rFonts w:ascii="Calibri" w:hAnsi="Calibri"/>
          <w:color w:val="1F2933"/>
          <w:sz w:val="22"/>
        </w:rPr>
        <w:t>question rejection;</w:t>
      </w:r>
    </w:p>
    <w:p>
      <w:pPr>
        <w:pStyle w:val="ListBullet"/>
        <w:jc w:val="left"/>
      </w:pPr>
      <w:r>
        <w:rPr>
          <w:rFonts w:ascii="Calibri" w:hAnsi="Calibri"/>
          <w:color w:val="1F2933"/>
          <w:sz w:val="22"/>
        </w:rPr>
        <w:t>premise correction;</w:t>
      </w:r>
    </w:p>
    <w:p>
      <w:pPr>
        <w:pStyle w:val="ListBullet"/>
        <w:jc w:val="left"/>
      </w:pPr>
      <w:r>
        <w:rPr>
          <w:rFonts w:ascii="Calibri" w:hAnsi="Calibri"/>
          <w:color w:val="1F2933"/>
          <w:sz w:val="22"/>
        </w:rPr>
        <w:t>source conflict;</w:t>
      </w:r>
    </w:p>
    <w:p>
      <w:pPr>
        <w:pStyle w:val="ListBullet"/>
        <w:jc w:val="left"/>
      </w:pPr>
      <w:r>
        <w:rPr>
          <w:rFonts w:ascii="Calibri" w:hAnsi="Calibri"/>
          <w:color w:val="1F2933"/>
          <w:sz w:val="22"/>
        </w:rPr>
        <w:t>private decline and withdrawal;</w:t>
      </w:r>
    </w:p>
    <w:p>
      <w:pPr>
        <w:pStyle w:val="ListBullet"/>
        <w:jc w:val="left"/>
      </w:pPr>
      <w:r>
        <w:rPr>
          <w:rFonts w:ascii="Calibri" w:hAnsi="Calibri"/>
          <w:color w:val="1F2933"/>
          <w:sz w:val="22"/>
        </w:rPr>
        <w:t>accessibility and translation;</w:t>
      </w:r>
    </w:p>
    <w:p>
      <w:pPr>
        <w:pStyle w:val="ListBullet"/>
        <w:jc w:val="left"/>
      </w:pPr>
      <w:r>
        <w:rPr>
          <w:rFonts w:ascii="Calibri" w:hAnsi="Calibri"/>
          <w:color w:val="1F2933"/>
          <w:sz w:val="22"/>
        </w:rPr>
        <w:t>recording-consent changes;</w:t>
      </w:r>
    </w:p>
    <w:p>
      <w:pPr>
        <w:pStyle w:val="ListBullet"/>
        <w:jc w:val="left"/>
      </w:pPr>
      <w:r>
        <w:rPr>
          <w:rFonts w:ascii="Calibri" w:hAnsi="Calibri"/>
          <w:color w:val="1F2933"/>
          <w:sz w:val="22"/>
        </w:rPr>
        <w:t>identity-data minimization;</w:t>
      </w:r>
    </w:p>
    <w:p>
      <w:pPr>
        <w:pStyle w:val="ListBullet"/>
        <w:jc w:val="left"/>
      </w:pPr>
      <w:r>
        <w:rPr>
          <w:rFonts w:ascii="Calibri" w:hAnsi="Calibri"/>
          <w:color w:val="1F2933"/>
          <w:sz w:val="22"/>
        </w:rPr>
        <w:t>redaction and metadata removal;</w:t>
      </w:r>
    </w:p>
    <w:p>
      <w:pPr>
        <w:pStyle w:val="ListBullet"/>
        <w:jc w:val="left"/>
      </w:pPr>
      <w:r>
        <w:rPr>
          <w:rFonts w:ascii="Calibri" w:hAnsi="Calibri"/>
          <w:color w:val="1F2933"/>
          <w:sz w:val="22"/>
        </w:rPr>
        <w:t>a changed final proof;</w:t>
      </w:r>
    </w:p>
    <w:p>
      <w:pPr>
        <w:pStyle w:val="ListBullet"/>
        <w:jc w:val="left"/>
      </w:pPr>
      <w:r>
        <w:rPr>
          <w:rFonts w:ascii="Calibri" w:hAnsi="Calibri"/>
          <w:color w:val="1F2933"/>
          <w:sz w:val="22"/>
        </w:rPr>
        <w:t>a leaked or altered copy;</w:t>
      </w:r>
    </w:p>
    <w:p>
      <w:pPr>
        <w:pStyle w:val="ListBullet"/>
        <w:jc w:val="left"/>
      </w:pPr>
      <w:r>
        <w:rPr>
          <w:rFonts w:ascii="Calibri" w:hAnsi="Calibri"/>
          <w:color w:val="1F2933"/>
          <w:sz w:val="22"/>
        </w:rPr>
        <w:t>a correction after publication;</w:t>
      </w:r>
    </w:p>
    <w:p>
      <w:pPr>
        <w:pStyle w:val="ListBullet"/>
        <w:jc w:val="left"/>
      </w:pPr>
      <w:r>
        <w:rPr>
          <w:rFonts w:ascii="Calibri" w:hAnsi="Calibri"/>
          <w:color w:val="1F2933"/>
          <w:sz w:val="22"/>
        </w:rPr>
        <w:t>a campaign reuse request;</w:t>
      </w:r>
    </w:p>
    <w:p>
      <w:pPr>
        <w:pStyle w:val="ListBullet"/>
        <w:jc w:val="left"/>
      </w:pPr>
      <w:r>
        <w:rPr>
          <w:rFonts w:ascii="Calibri" w:hAnsi="Calibri"/>
          <w:color w:val="1F2933"/>
          <w:sz w:val="22"/>
        </w:rPr>
        <w:t>government or law-enforcement contact;</w:t>
      </w:r>
    </w:p>
    <w:p>
      <w:pPr>
        <w:pStyle w:val="ListBullet"/>
        <w:jc w:val="left"/>
      </w:pPr>
      <w:r>
        <w:rPr>
          <w:rFonts w:ascii="Calibri" w:hAnsi="Calibri"/>
          <w:color w:val="1F2933"/>
          <w:sz w:val="22"/>
        </w:rPr>
        <w:t>a subpoena, preservation request, breach, or harassment event; and</w:t>
      </w:r>
    </w:p>
    <w:p>
      <w:pPr>
        <w:pStyle w:val="ListBullet"/>
        <w:jc w:val="left"/>
      </w:pPr>
      <w:r>
        <w:rPr>
          <w:rFonts w:ascii="Calibri" w:hAnsi="Calibri"/>
          <w:color w:val="1F2933"/>
          <w:sz w:val="22"/>
        </w:rPr>
        <w:t>a producer trying to override a stop rule because of deadline pressure.</w:t>
      </w:r>
    </w:p>
    <w:p>
      <w:pPr>
        <w:pStyle w:val="Heading2"/>
      </w:pPr>
      <w:r>
        <w:rPr>
          <w:rFonts w:ascii="Calibri" w:hAnsi="Calibri"/>
          <w:b/>
          <w:color w:val="2E74B5"/>
          <w:sz w:val="26"/>
        </w:rPr>
        <w:t>16.4 Evidence and statistical rules</w:t>
      </w:r>
    </w:p>
    <w:p>
      <w:pPr>
        <w:jc w:val="both"/>
      </w:pPr>
      <w:r>
        <w:rPr>
          <w:rFonts w:ascii="Calibri" w:hAnsi="Calibri"/>
          <w:color w:val="1F2933"/>
          <w:sz w:val="22"/>
        </w:rPr>
        <w:t>Before collecting generalizable participant data, obtain the appropriate independent human-subjects/HRPP determination under the actual facts. Preregister the primary outcomes, exclusions, missing-data rules, estimands, multiplicity approach, margins, and sample-size calculation.</w:t>
      </w:r>
    </w:p>
    <w:p>
      <w:pPr>
        <w:jc w:val="both"/>
      </w:pPr>
      <w:r>
        <w:rPr>
          <w:rFonts w:ascii="Calibri" w:hAnsi="Calibri"/>
          <w:color w:val="1F2933"/>
          <w:sz w:val="22"/>
        </w:rPr>
        <w:t>If 90 percent comprehension is the safety gate, require the appropriate one-sided 95 percent lower confidence bound—not merely the observed percentage—to reach 90 percent. For harms, predefine acceptable noninferiority or equivalence margins. For incidents, report the denominator and confidence bound; zero observed incidents is not proof of zero underlying risk.</w:t>
      </w:r>
    </w:p>
    <w:p>
      <w:pPr>
        <w:pStyle w:val="Heading1"/>
      </w:pPr>
      <w:r>
        <w:rPr>
          <w:rFonts w:ascii="Calibri" w:hAnsi="Calibri"/>
          <w:b/>
          <w:color w:val="2E74B5"/>
          <w:sz w:val="32"/>
        </w:rPr>
        <w:t>17. Recommended phases</w:t>
      </w:r>
    </w:p>
    <w:p>
      <w:pPr>
        <w:pStyle w:val="Heading2"/>
      </w:pPr>
      <w:r>
        <w:rPr>
          <w:rFonts w:ascii="Calibri" w:hAnsi="Calibri"/>
          <w:b/>
          <w:color w:val="2E74B5"/>
          <w:sz w:val="26"/>
        </w:rPr>
        <w:t>Phase 0 — current authorized work</w:t>
      </w:r>
    </w:p>
    <w:p>
      <w:pPr>
        <w:pStyle w:val="ListBullet"/>
        <w:jc w:val="left"/>
      </w:pPr>
      <w:r>
        <w:rPr>
          <w:rFonts w:ascii="Calibri" w:hAnsi="Calibri"/>
          <w:color w:val="1F2933"/>
          <w:sz w:val="22"/>
        </w:rPr>
        <w:t>synthetic records only;</w:t>
      </w:r>
    </w:p>
    <w:p>
      <w:pPr>
        <w:pStyle w:val="ListBullet"/>
        <w:jc w:val="left"/>
      </w:pPr>
      <w:r>
        <w:rPr>
          <w:rFonts w:ascii="Calibri" w:hAnsi="Calibri"/>
          <w:color w:val="1F2933"/>
          <w:sz w:val="22"/>
        </w:rPr>
        <w:t>fictional questions and evidence;</w:t>
      </w:r>
    </w:p>
    <w:p>
      <w:pPr>
        <w:pStyle w:val="ListBullet"/>
        <w:jc w:val="left"/>
      </w:pPr>
      <w:r>
        <w:rPr>
          <w:rFonts w:ascii="Calibri" w:hAnsi="Calibri"/>
          <w:color w:val="1F2933"/>
          <w:sz w:val="22"/>
        </w:rPr>
        <w:t>internal role-play;</w:t>
      </w:r>
    </w:p>
    <w:p>
      <w:pPr>
        <w:pStyle w:val="ListBullet"/>
        <w:jc w:val="left"/>
      </w:pPr>
      <w:r>
        <w:rPr>
          <w:rFonts w:ascii="Calibri" w:hAnsi="Calibri"/>
          <w:color w:val="1F2933"/>
          <w:sz w:val="22"/>
        </w:rPr>
        <w:t>form, accessibility, security, and correction testing;</w:t>
      </w:r>
    </w:p>
    <w:p>
      <w:pPr>
        <w:pStyle w:val="ListBullet"/>
        <w:jc w:val="left"/>
      </w:pPr>
      <w:r>
        <w:rPr>
          <w:rFonts w:ascii="Calibri" w:hAnsi="Calibri"/>
          <w:color w:val="1F2933"/>
          <w:sz w:val="22"/>
        </w:rPr>
        <w:t>counsel, campaign, privacy, methods, and editorial review;</w:t>
      </w:r>
    </w:p>
    <w:p>
      <w:pPr>
        <w:pStyle w:val="ListBullet"/>
        <w:jc w:val="left"/>
      </w:pPr>
      <w:r>
        <w:rPr>
          <w:rFonts w:ascii="Calibri" w:hAnsi="Calibri"/>
          <w:color w:val="1F2933"/>
          <w:sz w:val="22"/>
        </w:rPr>
        <w:t>no names, real political claims, real participants, publication, or campaign reuse.</w:t>
      </w:r>
    </w:p>
    <w:p>
      <w:pPr>
        <w:pStyle w:val="Heading2"/>
      </w:pPr>
      <w:r>
        <w:rPr>
          <w:rFonts w:ascii="Calibri" w:hAnsi="Calibri"/>
          <w:b/>
          <w:color w:val="2E74B5"/>
          <w:sz w:val="26"/>
        </w:rPr>
        <w:t>Phase 1 — only after written gates close</w:t>
      </w:r>
    </w:p>
    <w:p>
      <w:pPr>
        <w:pStyle w:val="ListBullet"/>
        <w:jc w:val="left"/>
      </w:pPr>
      <w:r>
        <w:rPr>
          <w:rFonts w:ascii="Calibri" w:hAnsi="Calibri"/>
          <w:color w:val="1F2933"/>
          <w:sz w:val="22"/>
        </w:rPr>
        <w:t>trained actors or consenting nonpublic participants;</w:t>
      </w:r>
    </w:p>
    <w:p>
      <w:pPr>
        <w:pStyle w:val="ListBullet"/>
        <w:jc w:val="left"/>
      </w:pPr>
      <w:r>
        <w:rPr>
          <w:rFonts w:ascii="Calibri" w:hAnsi="Calibri"/>
          <w:color w:val="1F2933"/>
          <w:sz w:val="22"/>
        </w:rPr>
        <w:t>controlled low-risk propositions with established ground truth;</w:t>
      </w:r>
    </w:p>
    <w:p>
      <w:pPr>
        <w:pStyle w:val="ListBullet"/>
        <w:jc w:val="left"/>
      </w:pPr>
      <w:r>
        <w:rPr>
          <w:rFonts w:ascii="Calibri" w:hAnsi="Calibri"/>
          <w:color w:val="1F2933"/>
          <w:sz w:val="22"/>
        </w:rPr>
        <w:t>no candidates, officeholders, accusations, or active-election distribution;</w:t>
      </w:r>
    </w:p>
    <w:p>
      <w:pPr>
        <w:pStyle w:val="ListBullet"/>
        <w:jc w:val="left"/>
      </w:pPr>
      <w:r>
        <w:rPr>
          <w:rFonts w:ascii="Calibri" w:hAnsi="Calibri"/>
          <w:color w:val="1F2933"/>
          <w:sz w:val="22"/>
        </w:rPr>
        <w:t>no public participant identity;</w:t>
      </w:r>
    </w:p>
    <w:p>
      <w:pPr>
        <w:pStyle w:val="ListBullet"/>
        <w:jc w:val="left"/>
      </w:pPr>
      <w:r>
        <w:rPr>
          <w:rFonts w:ascii="Calibri" w:hAnsi="Calibri"/>
          <w:color w:val="1F2933"/>
          <w:sz w:val="22"/>
        </w:rPr>
        <w:t>independent safety and comprehension review.</w:t>
      </w:r>
    </w:p>
    <w:p>
      <w:pPr>
        <w:pStyle w:val="Heading2"/>
      </w:pPr>
      <w:r>
        <w:rPr>
          <w:rFonts w:ascii="Calibri" w:hAnsi="Calibri"/>
          <w:b/>
          <w:color w:val="2E74B5"/>
          <w:sz w:val="26"/>
        </w:rPr>
        <w:t>Phase 2 — audience research</w:t>
      </w:r>
    </w:p>
    <w:p>
      <w:pPr>
        <w:pStyle w:val="ListBullet"/>
        <w:jc w:val="left"/>
      </w:pPr>
      <w:r>
        <w:rPr>
          <w:rFonts w:ascii="Calibri" w:hAnsi="Calibri"/>
          <w:color w:val="1F2933"/>
          <w:sz w:val="22"/>
        </w:rPr>
        <w:t>preregistered comparison of ordinary interview, accuracy reminder, and Claim Record;</w:t>
      </w:r>
    </w:p>
    <w:p>
      <w:pPr>
        <w:pStyle w:val="ListBullet"/>
        <w:jc w:val="left"/>
      </w:pPr>
      <w:r>
        <w:rPr>
          <w:rFonts w:ascii="Calibri" w:hAnsi="Calibri"/>
          <w:color w:val="1F2933"/>
          <w:sz w:val="22"/>
        </w:rPr>
        <w:t>appropriate human-subjects determination;</w:t>
      </w:r>
    </w:p>
    <w:p>
      <w:pPr>
        <w:pStyle w:val="ListBullet"/>
        <w:jc w:val="left"/>
      </w:pPr>
      <w:r>
        <w:rPr>
          <w:rFonts w:ascii="Calibri" w:hAnsi="Calibri"/>
          <w:color w:val="1F2933"/>
          <w:sz w:val="22"/>
        </w:rPr>
        <w:t>no public refusal data;</w:t>
      </w:r>
    </w:p>
    <w:p>
      <w:pPr>
        <w:pStyle w:val="ListBullet"/>
        <w:jc w:val="left"/>
      </w:pPr>
      <w:r>
        <w:rPr>
          <w:rFonts w:ascii="Calibri" w:hAnsi="Calibri"/>
          <w:color w:val="1F2933"/>
          <w:sz w:val="22"/>
        </w:rPr>
        <w:t>publish null and adverse results as well as benefits.</w:t>
      </w:r>
    </w:p>
    <w:p>
      <w:pPr>
        <w:pStyle w:val="Heading2"/>
      </w:pPr>
      <w:r>
        <w:rPr>
          <w:rFonts w:ascii="Calibri" w:hAnsi="Calibri"/>
          <w:b/>
          <w:color w:val="2E74B5"/>
          <w:sz w:val="26"/>
        </w:rPr>
        <w:t>Phase 3 — possible limited editorial pilot</w:t>
      </w:r>
    </w:p>
    <w:p>
      <w:pPr>
        <w:jc w:val="both"/>
      </w:pPr>
      <w:r>
        <w:rPr>
          <w:rFonts w:ascii="Calibri" w:hAnsi="Calibri"/>
          <w:color w:val="1F2933"/>
          <w:sz w:val="22"/>
        </w:rPr>
        <w:t>Only if counsel and independent reviewers approve the exact final format, the audience understands its limits, the simpler method is not equally effective, campaign classification is resolved, security works, and participant harm remains within preregistered bounds.</w:t>
      </w:r>
    </w:p>
    <w:p>
      <w:pPr>
        <w:jc w:val="both"/>
      </w:pPr>
      <w:r>
        <w:rPr>
          <w:rFonts w:ascii="Calibri" w:hAnsi="Calibri"/>
          <w:color w:val="1F2933"/>
          <w:sz w:val="22"/>
        </w:rPr>
        <w:t>Even then, begin with one low-risk, willing guest and one to three non-accusatory claims. Do not livestream the drafting or approval process.</w:t>
      </w:r>
    </w:p>
    <w:p>
      <w:pPr>
        <w:pStyle w:val="Heading1"/>
      </w:pPr>
      <w:r>
        <w:rPr>
          <w:rFonts w:ascii="Calibri" w:hAnsi="Calibri"/>
          <w:b/>
          <w:color w:val="2E74B5"/>
          <w:sz w:val="32"/>
        </w:rPr>
        <w:t>18. Permanent stop rules</w:t>
      </w:r>
    </w:p>
    <w:p>
      <w:pPr>
        <w:jc w:val="both"/>
      </w:pPr>
      <w:r>
        <w:rPr>
          <w:rFonts w:ascii="Calibri" w:hAnsi="Calibri"/>
          <w:color w:val="1F2933"/>
          <w:sz w:val="22"/>
        </w:rPr>
        <w:t>Anyone on the project may stop the workflow if:</w:t>
      </w:r>
    </w:p>
    <w:p>
      <w:pPr>
        <w:pStyle w:val="ListBullet"/>
        <w:jc w:val="left"/>
      </w:pPr>
      <w:r>
        <w:rPr>
          <w:rFonts w:ascii="Calibri" w:hAnsi="Calibri"/>
          <w:color w:val="1F2933"/>
          <w:sz w:val="22"/>
        </w:rPr>
        <w:t>a participant believes the Claim Record is sworn, under penalty, official, or connected to arrest;</w:t>
      </w:r>
    </w:p>
    <w:p>
      <w:pPr>
        <w:pStyle w:val="ListBullet"/>
        <w:jc w:val="left"/>
      </w:pPr>
      <w:r>
        <w:rPr>
          <w:rFonts w:ascii="Calibri" w:hAnsi="Calibri"/>
          <w:color w:val="1F2933"/>
          <w:sz w:val="22"/>
        </w:rPr>
        <w:t>someone markets participation as proof of honesty or refusal as evidence of deception;</w:t>
      </w:r>
    </w:p>
    <w:p>
      <w:pPr>
        <w:pStyle w:val="ListBullet"/>
        <w:jc w:val="left"/>
      </w:pPr>
      <w:r>
        <w:rPr>
          <w:rFonts w:ascii="Calibri" w:hAnsi="Calibri"/>
          <w:color w:val="1F2933"/>
          <w:sz w:val="22"/>
        </w:rPr>
        <w:t>the participant appears pressured, confused, impaired, or unable to use an accessible process;</w:t>
      </w:r>
    </w:p>
    <w:p>
      <w:pPr>
        <w:pStyle w:val="ListBullet"/>
        <w:jc w:val="left"/>
      </w:pPr>
      <w:r>
        <w:rPr>
          <w:rFonts w:ascii="Calibri" w:hAnsi="Calibri"/>
          <w:color w:val="1F2933"/>
          <w:sz w:val="22"/>
        </w:rPr>
        <w:t>a question concerns criminal guilt, motive, secret third-party conduct, active litigation, or unsafe private information;</w:t>
      </w:r>
    </w:p>
    <w:p>
      <w:pPr>
        <w:pStyle w:val="ListBullet"/>
        <w:jc w:val="left"/>
      </w:pPr>
      <w:r>
        <w:rPr>
          <w:rFonts w:ascii="Calibri" w:hAnsi="Calibri"/>
          <w:color w:val="1F2933"/>
          <w:sz w:val="22"/>
        </w:rPr>
        <w:t>a participant unexpectedly begins describing possible criminal conduct, regulatory violations, privileged communications, or active investigative facts—in which case questioning stops, no follow-up is asked, the material is quarantined from publication, and counsel decides the next lawful step;</w:t>
      </w:r>
    </w:p>
    <w:p>
      <w:pPr>
        <w:pStyle w:val="ListBullet"/>
        <w:jc w:val="left"/>
      </w:pPr>
      <w:r>
        <w:rPr>
          <w:rFonts w:ascii="Calibri" w:hAnsi="Calibri"/>
          <w:color w:val="1F2933"/>
          <w:sz w:val="22"/>
        </w:rPr>
        <w:t>material definitions or evidence remain unresolved;</w:t>
      </w:r>
    </w:p>
    <w:p>
      <w:pPr>
        <w:pStyle w:val="ListBullet"/>
        <w:jc w:val="left"/>
      </w:pPr>
      <w:r>
        <w:rPr>
          <w:rFonts w:ascii="Calibri" w:hAnsi="Calibri"/>
          <w:color w:val="1F2933"/>
          <w:sz w:val="22"/>
        </w:rPr>
        <w:t>DGG or a campaign changes the participant’s exact words without approval;</w:t>
      </w:r>
    </w:p>
    <w:p>
      <w:pPr>
        <w:pStyle w:val="ListBullet"/>
        <w:jc w:val="left"/>
      </w:pPr>
      <w:r>
        <w:rPr>
          <w:rFonts w:ascii="Calibri" w:hAnsi="Calibri"/>
          <w:color w:val="1F2933"/>
          <w:sz w:val="22"/>
        </w:rPr>
        <w:t>a campaign seeks control over DGG’s finding, placement, timing, or paid distribution;</w:t>
      </w:r>
    </w:p>
    <w:p>
      <w:pPr>
        <w:pStyle w:val="ListBullet"/>
        <w:jc w:val="left"/>
      </w:pPr>
      <w:r>
        <w:rPr>
          <w:rFonts w:ascii="Calibri" w:hAnsi="Calibri"/>
          <w:color w:val="1F2933"/>
          <w:sz w:val="22"/>
        </w:rPr>
        <w:t>a government agency or law-enforcement body seeks an intake or referral pipeline;</w:t>
      </w:r>
    </w:p>
    <w:p>
      <w:pPr>
        <w:pStyle w:val="ListBullet"/>
        <w:jc w:val="left"/>
      </w:pPr>
      <w:r>
        <w:rPr>
          <w:rFonts w:ascii="Calibri" w:hAnsi="Calibri"/>
          <w:color w:val="1F2933"/>
          <w:sz w:val="22"/>
        </w:rPr>
        <w:t>recording, privacy, data security, custody, or identity controls fail;</w:t>
      </w:r>
    </w:p>
    <w:p>
      <w:pPr>
        <w:pStyle w:val="ListBullet"/>
        <w:jc w:val="left"/>
      </w:pPr>
      <w:r>
        <w:rPr>
          <w:rFonts w:ascii="Calibri" w:hAnsi="Calibri"/>
          <w:color w:val="1F2933"/>
          <w:sz w:val="22"/>
        </w:rPr>
        <w:t>a public copy exposes protected or unnecessary information;</w:t>
      </w:r>
    </w:p>
    <w:p>
      <w:pPr>
        <w:pStyle w:val="ListBullet"/>
        <w:jc w:val="left"/>
      </w:pPr>
      <w:r>
        <w:rPr>
          <w:rFonts w:ascii="Calibri" w:hAnsi="Calibri"/>
          <w:color w:val="1F2933"/>
          <w:sz w:val="22"/>
        </w:rPr>
        <w:t>audience testing shows material truth-halo, refusal stigma, coercion, or criminal-danger misunderstanding;</w:t>
      </w:r>
    </w:p>
    <w:p>
      <w:pPr>
        <w:pStyle w:val="ListBullet"/>
        <w:jc w:val="left"/>
      </w:pPr>
      <w:r>
        <w:rPr>
          <w:rFonts w:ascii="Calibri" w:hAnsi="Calibri"/>
          <w:color w:val="1F2933"/>
          <w:sz w:val="22"/>
        </w:rPr>
        <w:t>the system performs no better than a simpler accuracy reminder;</w:t>
      </w:r>
    </w:p>
    <w:p>
      <w:pPr>
        <w:pStyle w:val="ListBullet"/>
        <w:jc w:val="left"/>
      </w:pPr>
      <w:r>
        <w:rPr>
          <w:rFonts w:ascii="Calibri" w:hAnsi="Calibri"/>
          <w:color w:val="1F2933"/>
          <w:sz w:val="22"/>
        </w:rPr>
        <w:t>law, facts, ownership, funding, or project purpose materially changes; or</w:t>
      </w:r>
    </w:p>
    <w:p>
      <w:pPr>
        <w:pStyle w:val="ListBullet"/>
        <w:jc w:val="left"/>
      </w:pPr>
      <w:r>
        <w:rPr>
          <w:rFonts w:ascii="Calibri" w:hAnsi="Calibri"/>
          <w:color w:val="1F2933"/>
          <w:sz w:val="22"/>
        </w:rPr>
        <w:t>qualified counsel or an independent reviewer cannot resolve a material concern.</w:t>
      </w:r>
    </w:p>
    <w:p>
      <w:pPr>
        <w:pStyle w:val="Heading1"/>
      </w:pPr>
      <w:r>
        <w:rPr>
          <w:rFonts w:ascii="Calibri" w:hAnsi="Calibri"/>
          <w:b/>
          <w:color w:val="2E74B5"/>
          <w:sz w:val="32"/>
        </w:rPr>
        <w:t>19. What DGG would need to decide</w:t>
      </w:r>
    </w:p>
    <w:p>
      <w:pPr>
        <w:jc w:val="both"/>
      </w:pPr>
      <w:r>
        <w:rPr>
          <w:rFonts w:ascii="Calibri" w:hAnsi="Calibri"/>
          <w:color w:val="1F2933"/>
          <w:sz w:val="22"/>
        </w:rPr>
        <w:t>The first conversation does not need to decide whether to launch anything. It only needs to answer:</w:t>
      </w:r>
    </w:p>
    <w:p>
      <w:pPr>
        <w:spacing w:after="80"/>
        <w:ind w:left="504" w:hanging="317"/>
        <w:jc w:val="left"/>
      </w:pPr>
      <w:r>
        <w:rPr>
          <w:rFonts w:ascii="Calibri" w:hAnsi="Calibri"/>
          <w:color w:val="1F2933"/>
          <w:sz w:val="22"/>
        </w:rPr>
        <w:t xml:space="preserve">1. </w:t>
      </w:r>
      <w:r>
        <w:rPr>
          <w:rFonts w:ascii="Calibri" w:hAnsi="Calibri"/>
          <w:color w:val="1F2933"/>
          <w:sz w:val="22"/>
        </w:rPr>
        <w:t>Is a record-centered segment interesting to DGG editorially?</w:t>
      </w:r>
    </w:p>
    <w:p>
      <w:pPr>
        <w:spacing w:after="80"/>
        <w:ind w:left="504" w:hanging="317"/>
        <w:jc w:val="left"/>
      </w:pPr>
      <w:r>
        <w:rPr>
          <w:rFonts w:ascii="Calibri" w:hAnsi="Calibri"/>
          <w:color w:val="1F2933"/>
          <w:sz w:val="22"/>
        </w:rPr>
        <w:t xml:space="preserve">2. </w:t>
      </w:r>
      <w:r>
        <w:rPr>
          <w:rFonts w:ascii="Calibri" w:hAnsi="Calibri"/>
          <w:color w:val="1F2933"/>
          <w:sz w:val="22"/>
        </w:rPr>
        <w:t>Would DGG consider testing the method on one of its own synthetic or historical claims first?</w:t>
      </w:r>
    </w:p>
    <w:p>
      <w:pPr>
        <w:spacing w:after="80"/>
        <w:ind w:left="504" w:hanging="317"/>
        <w:jc w:val="left"/>
      </w:pPr>
      <w:r>
        <w:rPr>
          <w:rFonts w:ascii="Calibri" w:hAnsi="Calibri"/>
          <w:color w:val="1F2933"/>
          <w:sz w:val="22"/>
        </w:rPr>
        <w:t xml:space="preserve">3. </w:t>
      </w:r>
      <w:r>
        <w:rPr>
          <w:rFonts w:ascii="Calibri" w:hAnsi="Calibri"/>
          <w:color w:val="1F2933"/>
          <w:sz w:val="22"/>
        </w:rPr>
        <w:t>Does “Claim Record” describe the idea without implying truth certification?</w:t>
      </w:r>
    </w:p>
    <w:p>
      <w:pPr>
        <w:spacing w:after="80"/>
        <w:ind w:left="504" w:hanging="317"/>
        <w:jc w:val="left"/>
      </w:pPr>
      <w:r>
        <w:rPr>
          <w:rFonts w:ascii="Calibri" w:hAnsi="Calibri"/>
          <w:color w:val="1F2933"/>
          <w:sz w:val="22"/>
        </w:rPr>
        <w:t xml:space="preserve">4. </w:t>
      </w:r>
      <w:r>
        <w:rPr>
          <w:rFonts w:ascii="Calibri" w:hAnsi="Calibri"/>
          <w:color w:val="1F2933"/>
          <w:sz w:val="22"/>
        </w:rPr>
        <w:t>Which recurring political claims would benefit most from exact scope, sources, and corrections?</w:t>
      </w:r>
    </w:p>
    <w:p>
      <w:pPr>
        <w:spacing w:after="80"/>
        <w:ind w:left="504" w:hanging="317"/>
        <w:jc w:val="left"/>
      </w:pPr>
      <w:r>
        <w:rPr>
          <w:rFonts w:ascii="Calibri" w:hAnsi="Calibri"/>
          <w:color w:val="1F2933"/>
          <w:sz w:val="22"/>
        </w:rPr>
        <w:t xml:space="preserve">5. </w:t>
      </w:r>
      <w:r>
        <w:rPr>
          <w:rFonts w:ascii="Calibri" w:hAnsi="Calibri"/>
          <w:color w:val="1F2933"/>
          <w:sz w:val="22"/>
        </w:rPr>
        <w:t>What would make a guest feel respected rather than trapped?</w:t>
      </w:r>
    </w:p>
    <w:p>
      <w:pPr>
        <w:spacing w:after="80"/>
        <w:ind w:left="504" w:hanging="317"/>
        <w:jc w:val="left"/>
      </w:pPr>
      <w:r>
        <w:rPr>
          <w:rFonts w:ascii="Calibri" w:hAnsi="Calibri"/>
          <w:color w:val="1F2933"/>
          <w:sz w:val="22"/>
        </w:rPr>
        <w:t xml:space="preserve">6. </w:t>
      </w:r>
      <w:r>
        <w:rPr>
          <w:rFonts w:ascii="Calibri" w:hAnsi="Calibri"/>
          <w:color w:val="1F2933"/>
          <w:sz w:val="22"/>
        </w:rPr>
        <w:t>What would make the audience mistake the format for an honesty badge?</w:t>
      </w:r>
    </w:p>
    <w:p>
      <w:pPr>
        <w:spacing w:after="80"/>
        <w:ind w:left="504" w:hanging="317"/>
        <w:jc w:val="left"/>
      </w:pPr>
      <w:r>
        <w:rPr>
          <w:rFonts w:ascii="Calibri" w:hAnsi="Calibri"/>
          <w:color w:val="1F2933"/>
          <w:sz w:val="22"/>
        </w:rPr>
        <w:t xml:space="preserve">7. </w:t>
      </w:r>
      <w:r>
        <w:rPr>
          <w:rFonts w:ascii="Calibri" w:hAnsi="Calibri"/>
          <w:color w:val="1F2933"/>
          <w:sz w:val="22"/>
        </w:rPr>
        <w:t>Can DGG preserve independent reporting while letting a participant control exact attribution?</w:t>
      </w:r>
    </w:p>
    <w:p>
      <w:pPr>
        <w:spacing w:after="80"/>
        <w:ind w:left="504" w:hanging="317"/>
        <w:jc w:val="left"/>
      </w:pPr>
      <w:r>
        <w:rPr>
          <w:rFonts w:ascii="Calibri" w:hAnsi="Calibri"/>
          <w:color w:val="1F2933"/>
          <w:sz w:val="22"/>
        </w:rPr>
        <w:t xml:space="preserve">8. </w:t>
      </w:r>
      <w:r>
        <w:rPr>
          <w:rFonts w:ascii="Calibri" w:hAnsi="Calibri"/>
          <w:color w:val="1F2933"/>
          <w:sz w:val="22"/>
        </w:rPr>
        <w:t>Is a simple accuracy reminder likely to capture most of the benefit?</w:t>
      </w:r>
    </w:p>
    <w:p>
      <w:pPr>
        <w:spacing w:after="80"/>
        <w:ind w:left="504" w:hanging="317"/>
        <w:jc w:val="left"/>
      </w:pPr>
      <w:r>
        <w:rPr>
          <w:rFonts w:ascii="Calibri" w:hAnsi="Calibri"/>
          <w:color w:val="1F2933"/>
          <w:sz w:val="22"/>
        </w:rPr>
        <w:t xml:space="preserve">9. </w:t>
      </w:r>
      <w:r>
        <w:rPr>
          <w:rFonts w:ascii="Calibri" w:hAnsi="Calibri"/>
          <w:color w:val="1F2933"/>
          <w:sz w:val="22"/>
        </w:rPr>
        <w:t>Which lawyers, editors, methods reviewers, accessibility experts, and security owners would need to review a tabletop version?</w:t>
      </w:r>
    </w:p>
    <w:p>
      <w:pPr>
        <w:spacing w:after="80"/>
        <w:ind w:left="504" w:hanging="317"/>
        <w:jc w:val="left"/>
      </w:pPr>
      <w:r>
        <w:rPr>
          <w:rFonts w:ascii="Calibri" w:hAnsi="Calibri"/>
          <w:color w:val="1F2933"/>
          <w:sz w:val="22"/>
        </w:rPr>
        <w:t xml:space="preserve">10. </w:t>
      </w:r>
      <w:r>
        <w:rPr>
          <w:rFonts w:ascii="Calibri" w:hAnsi="Calibri"/>
          <w:color w:val="1F2933"/>
          <w:sz w:val="22"/>
        </w:rPr>
        <w:t>What evidence would DGG need before deciding the concept deserves further work?</w:t>
      </w:r>
    </w:p>
    <w:p>
      <w:pPr>
        <w:pStyle w:val="Heading1"/>
      </w:pPr>
      <w:r>
        <w:rPr>
          <w:rFonts w:ascii="Calibri" w:hAnsi="Calibri"/>
          <w:b/>
          <w:color w:val="2E74B5"/>
          <w:sz w:val="32"/>
        </w:rPr>
        <w:t>20. My honest conclusion</w:t>
      </w:r>
    </w:p>
    <w:p>
      <w:pPr>
        <w:jc w:val="both"/>
      </w:pPr>
      <w:r>
        <w:rPr>
          <w:rFonts w:ascii="Calibri" w:hAnsi="Calibri"/>
          <w:color w:val="1F2933"/>
          <w:sz w:val="22"/>
        </w:rPr>
        <w:t>I do not think the strongest version of this idea is “a politician risks arrest, therefore believe them.” That puts fear where evidence should be.</w:t>
      </w:r>
    </w:p>
    <w:p>
      <w:pPr>
        <w:jc w:val="both"/>
      </w:pPr>
      <w:r>
        <w:rPr>
          <w:rFonts w:ascii="Calibri" w:hAnsi="Calibri"/>
          <w:color w:val="1F2933"/>
          <w:sz w:val="22"/>
        </w:rPr>
        <w:t>The strongest version is calmer:</w:t>
      </w:r>
    </w:p>
    <w:p>
      <w:pPr>
        <w:pStyle w:val="ListBullet"/>
        <w:jc w:val="left"/>
      </w:pPr>
      <w:r>
        <w:rPr>
          <w:rFonts w:ascii="Calibri" w:hAnsi="Calibri"/>
          <w:color w:val="1F2933"/>
          <w:sz w:val="22"/>
        </w:rPr>
        <w:t>ask one fair question;</w:t>
      </w:r>
    </w:p>
    <w:p>
      <w:pPr>
        <w:pStyle w:val="ListBullet"/>
        <w:jc w:val="left"/>
      </w:pPr>
      <w:r>
        <w:rPr>
          <w:rFonts w:ascii="Calibri" w:hAnsi="Calibri"/>
          <w:color w:val="1F2933"/>
          <w:sz w:val="22"/>
        </w:rPr>
        <w:t>define it precisely;</w:t>
      </w:r>
    </w:p>
    <w:p>
      <w:pPr>
        <w:pStyle w:val="ListBullet"/>
        <w:jc w:val="left"/>
      </w:pPr>
      <w:r>
        <w:rPr>
          <w:rFonts w:ascii="Calibri" w:hAnsi="Calibri"/>
          <w:color w:val="1F2933"/>
          <w:sz w:val="22"/>
        </w:rPr>
        <w:t>let the person answer in their own words;</w:t>
      </w:r>
    </w:p>
    <w:p>
      <w:pPr>
        <w:pStyle w:val="ListBullet"/>
        <w:jc w:val="left"/>
      </w:pPr>
      <w:r>
        <w:rPr>
          <w:rFonts w:ascii="Calibri" w:hAnsi="Calibri"/>
          <w:color w:val="1F2933"/>
          <w:sz w:val="22"/>
        </w:rPr>
        <w:t>keep the source and the counter-source visible;</w:t>
      </w:r>
    </w:p>
    <w:p>
      <w:pPr>
        <w:pStyle w:val="ListBullet"/>
        <w:jc w:val="left"/>
      </w:pPr>
      <w:r>
        <w:rPr>
          <w:rFonts w:ascii="Calibri" w:hAnsi="Calibri"/>
          <w:color w:val="1F2933"/>
          <w:sz w:val="22"/>
        </w:rPr>
        <w:t>separate the answer from the reporter’s judgment;</w:t>
      </w:r>
    </w:p>
    <w:p>
      <w:pPr>
        <w:pStyle w:val="ListBullet"/>
        <w:jc w:val="left"/>
      </w:pPr>
      <w:r>
        <w:rPr>
          <w:rFonts w:ascii="Calibri" w:hAnsi="Calibri"/>
          <w:color w:val="1F2933"/>
          <w:sz w:val="22"/>
        </w:rPr>
        <w:t>preserve the version;</w:t>
      </w:r>
    </w:p>
    <w:p>
      <w:pPr>
        <w:pStyle w:val="ListBullet"/>
        <w:jc w:val="left"/>
      </w:pPr>
      <w:r>
        <w:rPr>
          <w:rFonts w:ascii="Calibri" w:hAnsi="Calibri"/>
          <w:color w:val="1F2933"/>
          <w:sz w:val="22"/>
        </w:rPr>
        <w:t>reward honest uncertainty;</w:t>
      </w:r>
    </w:p>
    <w:p>
      <w:pPr>
        <w:pStyle w:val="ListBullet"/>
        <w:jc w:val="left"/>
      </w:pPr>
      <w:r>
        <w:rPr>
          <w:rFonts w:ascii="Calibri" w:hAnsi="Calibri"/>
          <w:color w:val="1F2933"/>
          <w:sz w:val="22"/>
        </w:rPr>
        <w:t>make correction normal; and</w:t>
      </w:r>
    </w:p>
    <w:p>
      <w:pPr>
        <w:pStyle w:val="ListBullet"/>
        <w:jc w:val="left"/>
      </w:pPr>
      <w:r>
        <w:rPr>
          <w:rFonts w:ascii="Calibri" w:hAnsi="Calibri"/>
          <w:color w:val="1F2933"/>
          <w:sz w:val="22"/>
        </w:rPr>
        <w:t>let the audience inspect the work.</w:t>
      </w:r>
    </w:p>
    <w:p>
      <w:pPr>
        <w:jc w:val="both"/>
      </w:pPr>
      <w:r>
        <w:rPr>
          <w:rFonts w:ascii="Calibri" w:hAnsi="Calibri"/>
          <w:color w:val="1F2933"/>
          <w:sz w:val="22"/>
        </w:rPr>
        <w:t>If DGG can create that value without an oath, the absence of an oath is not a compromise. It is the design becoming honest about its own purpose.</w:t>
      </w:r>
    </w:p>
    <w:tbl>
      <w:tblPr>
        <w:tblW w:type="auto" w:w="0"/>
        <w:jc w:val="center"/>
        <w:tblLayout w:type="autofit"/>
        <w:tblLook w:firstColumn="1" w:firstRow="1" w:lastColumn="0" w:lastRow="0" w:noHBand="0" w:noVBand="1" w:val="04A0"/>
      </w:tblPr>
      <w:tblGrid>
        <w:gridCol w:w="9360"/>
      </w:tblGrid>
      <w:tr>
        <w:trPr>
          <w:cantSplit/>
        </w:trPr>
        <w:tc>
          <w:tcPr>
            <w:tcW w:type="dxa" w:w="9360"/>
            <w:shd w:fill="EAF3F8"/>
            <w:tcMar>
              <w:top w:w="140" w:type="dxa"/>
              <w:start w:w="180" w:type="dxa"/>
              <w:bottom w:w="140" w:type="dxa"/>
              <w:end w:w="180" w:type="dxa"/>
            </w:tcMar>
            <w:tcBorders>
              <w:left w:val="single" w:sz="16" w:color="2E74B5"/>
            </w:tcBorders>
          </w:tcPr>
          <w:p>
            <w:pPr>
              <w:spacing w:after="0"/>
              <w:jc w:val="left"/>
            </w:pPr>
            <w:r>
              <w:rPr>
                <w:rFonts w:ascii="Calibri" w:hAnsi="Calibri"/>
                <w:b/>
                <w:color w:val="1F2933"/>
                <w:sz w:val="23"/>
              </w:rPr>
              <w:t>We are not asking people to risk arrest to prove they mean what they say. We are asking whether they are willing to put one checkable claim into clear words and let the evidence sit beside it.</w:t>
            </w:r>
          </w:p>
        </w:tc>
      </w:tr>
    </w:tbl>
    <w:p>
      <w:pPr>
        <w:spacing w:after="40"/>
      </w:pPr>
    </w:p>
    <w:p>
      <w:pPr>
        <w:spacing w:before="160" w:after="160"/>
        <w:pBdr>
          <w:bottom w:val="single" w:sz="6" w:color="CBD5E1"/>
        </w:pBdr>
      </w:pPr>
    </w:p>
    <w:p>
      <w:pPr>
        <w:pStyle w:val="Heading1"/>
      </w:pPr>
      <w:r>
        <w:rPr>
          <w:rFonts w:ascii="Calibri" w:hAnsi="Calibri"/>
          <w:b/>
          <w:color w:val="2E74B5"/>
          <w:sz w:val="32"/>
        </w:rPr>
        <w:t>Source and review notes</w:t>
      </w:r>
    </w:p>
    <w:p>
      <w:pPr>
        <w:jc w:val="both"/>
      </w:pPr>
      <w:r>
        <w:rPr>
          <w:rFonts w:ascii="Calibri" w:hAnsi="Calibri"/>
          <w:color w:val="1F2933"/>
          <w:sz w:val="22"/>
        </w:rPr>
        <w:t>This concept is a research and design proposal, not legal advice. The exact forms, scripts, branding, campaign use, recording process, research protocol, and publication workflow require current professional review before real-person use.</w:t>
      </w:r>
    </w:p>
    <w:p>
      <w:pPr>
        <w:jc w:val="both"/>
      </w:pPr>
      <w:r>
        <w:rPr>
          <w:rFonts w:ascii="Calibri" w:hAnsi="Calibri"/>
          <w:color w:val="1F2933"/>
          <w:sz w:val="22"/>
        </w:rPr>
        <w:t>Primary legal sources consulted include:</w:t>
      </w:r>
    </w:p>
    <w:p>
      <w:pPr>
        <w:pStyle w:val="ListBullet"/>
        <w:jc w:val="left"/>
      </w:pPr>
      <w:hyperlink r:id="rId15">
        <w:r>
          <w:rPr>
            <w:color w:val="2E74B5"/>
            <w:u w:val="single"/>
            <w:rFonts w:ascii="Calibri" w:hAnsi="Calibri"/>
            <w:sz w:val="22"/>
          </w:rPr>
          <w:t>Chapter 9A.72 RCW — Perjury and false swearing</w:t>
        </w:r>
      </w:hyperlink>
      <w:r>
        <w:rPr>
          <w:rFonts w:ascii="Calibri" w:hAnsi="Calibri"/>
          <w:color w:val="1F2933"/>
          <w:sz w:val="22"/>
        </w:rPr>
        <w:t>, including RCW 9A.72.040.</w:t>
      </w:r>
    </w:p>
    <w:p>
      <w:pPr>
        <w:pStyle w:val="ListBullet"/>
        <w:jc w:val="left"/>
      </w:pPr>
      <w:hyperlink r:id="rId16">
        <w:r>
          <w:rPr>
            <w:color w:val="2E74B5"/>
            <w:u w:val="single"/>
            <w:rFonts w:ascii="Calibri" w:hAnsi="Calibri"/>
            <w:sz w:val="22"/>
          </w:rPr>
          <w:t>Chapter 42.45 RCW — Revised Uniform Law on Notarial Acts</w:t>
        </w:r>
      </w:hyperlink>
      <w:r>
        <w:rPr>
          <w:rFonts w:ascii="Calibri" w:hAnsi="Calibri"/>
          <w:color w:val="1F2933"/>
          <w:sz w:val="22"/>
        </w:rPr>
        <w:t xml:space="preserve">, including the definition of verification on oath or affirmation and </w:t>
      </w:r>
      <w:hyperlink r:id="rId17">
        <w:r>
          <w:rPr>
            <w:color w:val="2E74B5"/>
            <w:u w:val="single"/>
            <w:rFonts w:ascii="Calibri" w:hAnsi="Calibri"/>
            <w:sz w:val="22"/>
          </w:rPr>
          <w:t>RCW 42.45.140</w:t>
        </w:r>
      </w:hyperlink>
      <w:r>
        <w:rPr>
          <w:rFonts w:ascii="Calibri" w:hAnsi="Calibri"/>
          <w:color w:val="1F2933"/>
          <w:sz w:val="22"/>
        </w:rPr>
        <w:t>.</w:t>
      </w:r>
    </w:p>
    <w:p>
      <w:pPr>
        <w:pStyle w:val="ListBullet"/>
        <w:jc w:val="left"/>
      </w:pPr>
      <w:hyperlink r:id="rId18">
        <w:r>
          <w:rPr>
            <w:color w:val="2E74B5"/>
            <w:u w:val="single"/>
            <w:rFonts w:ascii="Calibri" w:hAnsi="Calibri"/>
            <w:sz w:val="22"/>
          </w:rPr>
          <w:t>RCW 9.73.030 — recording private communications and conversations</w:t>
        </w:r>
      </w:hyperlink>
      <w:r>
        <w:rPr>
          <w:rFonts w:ascii="Calibri" w:hAnsi="Calibri"/>
          <w:color w:val="1F2933"/>
          <w:sz w:val="22"/>
        </w:rPr>
        <w:t>.</w:t>
      </w:r>
    </w:p>
    <w:p>
      <w:pPr>
        <w:pStyle w:val="ListBullet"/>
        <w:jc w:val="left"/>
      </w:pPr>
      <w:hyperlink r:id="rId19">
        <w:r>
          <w:rPr>
            <w:color w:val="2E74B5"/>
            <w:u w:val="single"/>
            <w:rFonts w:ascii="Calibri" w:hAnsi="Calibri"/>
            <w:sz w:val="22"/>
          </w:rPr>
          <w:t>RCW 29B.10.160</w:t>
        </w:r>
      </w:hyperlink>
      <w:r>
        <w:rPr>
          <w:rFonts w:ascii="Calibri" w:hAnsi="Calibri"/>
          <w:color w:val="1F2933"/>
          <w:sz w:val="22"/>
        </w:rPr>
        <w:t xml:space="preserve"> and </w:t>
      </w:r>
      <w:hyperlink r:id="rId20">
        <w:r>
          <w:rPr>
            <w:color w:val="2E74B5"/>
            <w:u w:val="single"/>
            <w:rFonts w:ascii="Calibri" w:hAnsi="Calibri"/>
            <w:sz w:val="22"/>
          </w:rPr>
          <w:t>RCW 29B.10.220</w:t>
        </w:r>
      </w:hyperlink>
      <w:r>
        <w:rPr>
          <w:rFonts w:ascii="Calibri" w:hAnsi="Calibri"/>
          <w:color w:val="1F2933"/>
          <w:sz w:val="22"/>
        </w:rPr>
        <w:t xml:space="preserve"> for distinct Washington campaign classifications and media language.</w:t>
      </w:r>
    </w:p>
    <w:p>
      <w:pPr>
        <w:pStyle w:val="ListBullet"/>
        <w:jc w:val="left"/>
      </w:pPr>
      <w:hyperlink r:id="rId21">
        <w:r>
          <w:rPr>
            <w:color w:val="2E74B5"/>
            <w:u w:val="single"/>
            <w:rFonts w:ascii="Calibri" w:hAnsi="Calibri"/>
            <w:sz w:val="22"/>
          </w:rPr>
          <w:t>RCW 29B.30.070</w:t>
        </w:r>
      </w:hyperlink>
      <w:r>
        <w:rPr>
          <w:rFonts w:ascii="Calibri" w:hAnsi="Calibri"/>
          <w:color w:val="1F2933"/>
          <w:sz w:val="22"/>
        </w:rPr>
        <w:t xml:space="preserve">, </w:t>
      </w:r>
      <w:hyperlink r:id="rId22">
        <w:r>
          <w:rPr>
            <w:color w:val="2E74B5"/>
            <w:u w:val="single"/>
            <w:rFonts w:ascii="Calibri" w:hAnsi="Calibri"/>
            <w:sz w:val="22"/>
          </w:rPr>
          <w:t>RCW 29B.40.200</w:t>
        </w:r>
      </w:hyperlink>
      <w:r>
        <w:rPr>
          <w:rFonts w:ascii="Calibri" w:hAnsi="Calibri"/>
          <w:color w:val="1F2933"/>
          <w:sz w:val="22"/>
        </w:rPr>
        <w:t xml:space="preserve">, and </w:t>
      </w:r>
      <w:hyperlink r:id="rId23">
        <w:r>
          <w:rPr>
            <w:color w:val="2E74B5"/>
            <w:u w:val="single"/>
            <w:rFonts w:ascii="Calibri" w:hAnsi="Calibri"/>
            <w:sz w:val="22"/>
          </w:rPr>
          <w:t>RCW 29B.45.010</w:t>
        </w:r>
      </w:hyperlink>
      <w:r>
        <w:rPr>
          <w:rFonts w:ascii="Calibri" w:hAnsi="Calibri"/>
          <w:color w:val="1F2933"/>
          <w:sz w:val="22"/>
        </w:rPr>
        <w:t xml:space="preserve"> for political-advertising, news-media consideration, and public-resource issues that may depend on the facts.</w:t>
      </w:r>
    </w:p>
    <w:p>
      <w:pPr>
        <w:pStyle w:val="ListBullet"/>
        <w:jc w:val="left"/>
      </w:pPr>
      <w:hyperlink r:id="rId24">
        <w:r>
          <w:rPr>
            <w:color w:val="2E74B5"/>
            <w:u w:val="single"/>
            <w:rFonts w:ascii="Calibri" w:hAnsi="Calibri"/>
            <w:sz w:val="22"/>
          </w:rPr>
          <w:t>RCW 19.86.020</w:t>
        </w:r>
      </w:hyperlink>
      <w:r>
        <w:rPr>
          <w:rFonts w:ascii="Calibri" w:hAnsi="Calibri"/>
          <w:color w:val="1F2933"/>
          <w:sz w:val="22"/>
        </w:rPr>
        <w:t>, a reason not to make categorical commercial safety or truth claims.</w:t>
      </w:r>
    </w:p>
    <w:p>
      <w:pPr>
        <w:pStyle w:val="ListBullet"/>
        <w:jc w:val="left"/>
      </w:pPr>
      <w:hyperlink r:id="rId25">
        <w:r>
          <w:rPr>
            <w:color w:val="2E74B5"/>
            <w:u w:val="single"/>
            <w:rFonts w:ascii="Calibri" w:hAnsi="Calibri"/>
            <w:sz w:val="22"/>
          </w:rPr>
          <w:t>11 C.F.R. § 100.73</w:t>
        </w:r>
      </w:hyperlink>
      <w:r>
        <w:rPr>
          <w:rFonts w:ascii="Calibri" w:hAnsi="Calibri"/>
          <w:color w:val="1F2933"/>
          <w:sz w:val="22"/>
        </w:rPr>
        <w:t xml:space="preserve">, </w:t>
      </w:r>
      <w:hyperlink r:id="rId26">
        <w:r>
          <w:rPr>
            <w:color w:val="2E74B5"/>
            <w:u w:val="single"/>
            <w:rFonts w:ascii="Calibri" w:hAnsi="Calibri"/>
            <w:sz w:val="22"/>
          </w:rPr>
          <w:t>§ 100.132</w:t>
        </w:r>
      </w:hyperlink>
      <w:r>
        <w:rPr>
          <w:rFonts w:ascii="Calibri" w:hAnsi="Calibri"/>
          <w:color w:val="1F2933"/>
          <w:sz w:val="22"/>
        </w:rPr>
        <w:t xml:space="preserve">, and </w:t>
      </w:r>
      <w:hyperlink r:id="rId27">
        <w:r>
          <w:rPr>
            <w:color w:val="2E74B5"/>
            <w:u w:val="single"/>
            <w:rFonts w:ascii="Calibri" w:hAnsi="Calibri"/>
            <w:sz w:val="22"/>
          </w:rPr>
          <w:t>§ 109.21</w:t>
        </w:r>
      </w:hyperlink>
      <w:r>
        <w:rPr>
          <w:rFonts w:ascii="Calibri" w:hAnsi="Calibri"/>
          <w:color w:val="1F2933"/>
          <w:sz w:val="22"/>
        </w:rPr>
        <w:t xml:space="preserve"> for federal media and coordination analysis.</w:t>
      </w:r>
    </w:p>
    <w:p>
      <w:pPr>
        <w:pStyle w:val="ListBullet"/>
        <w:jc w:val="left"/>
      </w:pPr>
      <w:hyperlink r:id="rId28">
        <w:r>
          <w:rPr>
            <w:color w:val="2E74B5"/>
            <w:u w:val="single"/>
            <w:rFonts w:ascii="Calibri" w:hAnsi="Calibri"/>
            <w:sz w:val="22"/>
          </w:rPr>
          <w:t>FEC guidance and AO 2008-14 discussion of the press exemption</w:t>
        </w:r>
      </w:hyperlink>
      <w:r>
        <w:rPr>
          <w:rFonts w:ascii="Calibri" w:hAnsi="Calibri"/>
          <w:color w:val="1F2933"/>
          <w:sz w:val="22"/>
        </w:rPr>
        <w:t>, treated as fact-specific rather than a blanket safe harbor.</w:t>
      </w:r>
    </w:p>
    <w:p>
      <w:pPr>
        <w:jc w:val="both"/>
      </w:pPr>
      <w:r>
        <w:rPr>
          <w:rFonts w:ascii="Calibri" w:hAnsi="Calibri"/>
          <w:color w:val="1F2933"/>
          <w:sz w:val="22"/>
        </w:rPr>
        <w:t>Behavioral sources supporting careful comparative testing—not product-effect claims—include:</w:t>
      </w:r>
    </w:p>
    <w:p>
      <w:pPr>
        <w:pStyle w:val="ListBullet"/>
        <w:jc w:val="left"/>
      </w:pPr>
      <w:r>
        <w:rPr>
          <w:rFonts w:ascii="Calibri" w:hAnsi="Calibri"/>
          <w:color w:val="1F2933"/>
          <w:sz w:val="22"/>
        </w:rPr>
        <w:t xml:space="preserve">Pennycook &amp; Rand, </w:t>
      </w:r>
      <w:hyperlink r:id="rId29">
        <w:r>
          <w:rPr>
            <w:color w:val="2E74B5"/>
            <w:u w:val="single"/>
            <w:rFonts w:ascii="Calibri" w:hAnsi="Calibri"/>
            <w:sz w:val="22"/>
          </w:rPr>
          <w:t>Accuracy prompts are a replicable and generalizable approach for reducing the spread of misinformation</w:t>
        </w:r>
      </w:hyperlink>
      <w:r>
        <w:rPr>
          <w:rFonts w:ascii="Calibri" w:hAnsi="Calibri"/>
          <w:color w:val="1F2933"/>
          <w:sz w:val="22"/>
        </w:rPr>
        <w:t>, *Nature Communications* 13, 2333 (2022).</w:t>
      </w:r>
    </w:p>
    <w:p>
      <w:pPr>
        <w:pStyle w:val="ListBullet"/>
        <w:jc w:val="left"/>
      </w:pPr>
      <w:r>
        <w:rPr>
          <w:rFonts w:ascii="Calibri" w:hAnsi="Calibri"/>
          <w:color w:val="1F2933"/>
          <w:sz w:val="22"/>
        </w:rPr>
        <w:t xml:space="preserve">Walter et al., </w:t>
      </w:r>
      <w:hyperlink r:id="rId30">
        <w:r>
          <w:rPr>
            <w:color w:val="2E74B5"/>
            <w:u w:val="single"/>
            <w:rFonts w:ascii="Calibri" w:hAnsi="Calibri"/>
            <w:sz w:val="22"/>
          </w:rPr>
          <w:t>Fact-Checking: A Meta-Analysis of What Works and for Whom</w:t>
        </w:r>
      </w:hyperlink>
      <w:r>
        <w:rPr>
          <w:rFonts w:ascii="Calibri" w:hAnsi="Calibri"/>
          <w:color w:val="1F2933"/>
          <w:sz w:val="22"/>
        </w:rPr>
        <w:t>, *Political Communication* 37 (2020).</w:t>
      </w:r>
    </w:p>
    <w:p>
      <w:pPr>
        <w:pStyle w:val="ListBullet"/>
        <w:jc w:val="left"/>
      </w:pPr>
      <w:r>
        <w:rPr>
          <w:rFonts w:ascii="Calibri" w:hAnsi="Calibri"/>
          <w:color w:val="1F2933"/>
          <w:sz w:val="22"/>
        </w:rPr>
        <w:t xml:space="preserve">Zickfeld et al., </w:t>
      </w:r>
      <w:hyperlink r:id="rId31">
        <w:r>
          <w:rPr>
            <w:color w:val="2E74B5"/>
            <w:u w:val="single"/>
            <w:rFonts w:ascii="Calibri" w:hAnsi="Calibri"/>
            <w:sz w:val="22"/>
          </w:rPr>
          <w:t>Effectiveness of ex ante honesty oaths in reducing dishonesty: a megastudy</w:t>
        </w:r>
      </w:hyperlink>
      <w:r>
        <w:rPr>
          <w:rFonts w:ascii="Calibri" w:hAnsi="Calibri"/>
          <w:color w:val="1F2933"/>
          <w:sz w:val="22"/>
        </w:rPr>
        <w:t>, *Nature Human Behaviour* (2025), included as evidence that oath effects vary and do not establish efficacy for political interviews.</w:t>
      </w:r>
    </w:p>
    <w:p>
      <w:pPr>
        <w:jc w:val="both"/>
      </w:pPr>
      <w:r>
        <w:rPr>
          <w:rFonts w:ascii="Calibri" w:hAnsi="Calibri"/>
          <w:color w:val="1F2933"/>
          <w:sz w:val="22"/>
        </w:rPr>
        <w:t>Repository review posture as of August 30, 2026:</w:t>
      </w:r>
    </w:p>
    <w:p>
      <w:pPr>
        <w:pStyle w:val="ListBullet"/>
        <w:jc w:val="left"/>
      </w:pPr>
      <w:r>
        <w:rPr>
          <w:rFonts w:ascii="Calibri" w:hAnsi="Calibri"/>
          <w:color w:val="1F2933"/>
          <w:sz w:val="22"/>
        </w:rPr>
        <w:t>the earlier sworn-format candidate remains a research draft;</w:t>
      </w:r>
    </w:p>
    <w:p>
      <w:pPr>
        <w:pStyle w:val="ListBullet"/>
        <w:jc w:val="left"/>
      </w:pPr>
      <w:r>
        <w:rPr>
          <w:rFonts w:ascii="Calibri" w:hAnsi="Calibri"/>
          <w:color w:val="1F2933"/>
          <w:sz w:val="22"/>
        </w:rPr>
        <w:t>the independent judicial docket remanded it and authorized Phase 0 synthetic/tabletop work only;</w:t>
      </w:r>
    </w:p>
    <w:p>
      <w:pPr>
        <w:pStyle w:val="ListBullet"/>
        <w:jc w:val="left"/>
      </w:pPr>
      <w:r>
        <w:rPr>
          <w:rFonts w:ascii="Calibri" w:hAnsi="Calibri"/>
          <w:color w:val="1F2933"/>
          <w:sz w:val="22"/>
        </w:rPr>
        <w:t>the present Claim Record is a proposed public-product pivot, not an implementation of or launch clearance for the sworn packet; and</w:t>
      </w:r>
    </w:p>
    <w:p>
      <w:pPr>
        <w:pStyle w:val="ListBullet"/>
        <w:jc w:val="left"/>
      </w:pPr>
      <w:r>
        <w:rPr>
          <w:rFonts w:ascii="Calibri" w:hAnsi="Calibri"/>
          <w:color w:val="1F2933"/>
          <w:sz w:val="22"/>
        </w:rPr>
        <w:t>no real participant, candidate, publication, campaign reuse, government partner, or law-enforcement connection is authorized by this concept draft.</w:t>
      </w:r>
    </w:p>
    <w:sectPr>
      <w:headerReference w:type="default" r:id="rId13"/>
      <w:footerReference w:type="default" r:id="rId14"/>
      <w:pgSz w:w="12240" w:h="15840"/>
      <w:pgMar w:top="1152"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 xml:space="preserve">Research and design proposal • August 30, 2026  |  </w:t>
    </w:r>
    <w:r>
      <w:rPr>
        <w:rFonts w:ascii="Calibri" w:hAnsi="Calibri"/>
        <w:color w:val="6B7280"/>
        <w:sz w:val="18"/>
      </w:rPr>
      <w:fldChar w:fldCharType="begin"/>
      <w:instrText xml:space="preserve">PAGE</w:instrText>
      <w:fldChar w:fldCharType="end"/>
    </w:r>
    <w:r>
      <w:rPr>
        <w:rFonts w:ascii="Calibri" w:hAnsi="Calibri"/>
        <w:color w:val="6B7280"/>
        <w:sz w:val="17"/>
      </w:rPr>
      <w:t xml:space="preserve"> of </w:t>
    </w:r>
    <w:r>
      <w:rPr>
        <w:rFonts w:ascii="Calibri" w:hAnsi="Calibri"/>
        <w:color w:val="6B7280"/>
        <w:sz w:val="18"/>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 xml:space="preserve">Research and design proposal • August 30, 2026  |  </w:t>
    </w:r>
    <w:r>
      <w:rPr>
        <w:rFonts w:ascii="Calibri" w:hAnsi="Calibri"/>
        <w:color w:val="6B7280"/>
        <w:sz w:val="18"/>
      </w:rPr>
      <w:fldChar w:fldCharType="begin"/>
      <w:instrText xml:space="preserve">PAGE</w:instrText>
      <w:fldChar w:fldCharType="end"/>
    </w:r>
    <w:r>
      <w:rPr>
        <w:rFonts w:ascii="Calibri" w:hAnsi="Calibri"/>
        <w:color w:val="6B7280"/>
        <w:sz w:val="17"/>
      </w:rPr>
      <w:t xml:space="preserve"> of </w:t>
    </w:r>
    <w:r>
      <w:rPr>
        <w:rFonts w:ascii="Calibri" w:hAnsi="Calibri"/>
        <w:color w:val="6B7280"/>
        <w:sz w:val="18"/>
      </w:rP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 xml:space="preserve">Research and design proposal • August 30, 2026  |  </w:t>
    </w:r>
    <w:r>
      <w:rPr>
        <w:rFonts w:ascii="Calibri" w:hAnsi="Calibri"/>
        <w:color w:val="6B7280"/>
        <w:sz w:val="18"/>
      </w:rPr>
      <w:fldChar w:fldCharType="begin"/>
      <w:instrText xml:space="preserve">PAGE</w:instrText>
      <w:fldChar w:fldCharType="end"/>
    </w:r>
    <w:r>
      <w:rPr>
        <w:rFonts w:ascii="Calibri" w:hAnsi="Calibri"/>
        <w:color w:val="6B7280"/>
        <w:sz w:val="17"/>
      </w:rPr>
      <w:t xml:space="preserve"> of </w:t>
    </w:r>
    <w:r>
      <w:rPr>
        <w:rFonts w:ascii="Calibri" w:hAnsi="Calibri"/>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BD5E1"/>
      </w:pBdr>
    </w:pPr>
    <w:r>
      <w:rPr>
        <w:rFonts w:ascii="Calibri" w:hAnsi="Calibri"/>
        <w:b/>
        <w:color w:val="6B7280"/>
        <w:sz w:val="16"/>
      </w:rPr>
      <w:t>DGG CLAIM RECORD  •  PHASE 0  •  NON-SWORN  •  NOT LAUNCH-CLEARED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BD5E1"/>
      </w:pBdr>
    </w:pPr>
    <w:r>
      <w:rPr>
        <w:rFonts w:ascii="Calibri" w:hAnsi="Calibri"/>
        <w:b/>
        <w:color w:val="6B7280"/>
        <w:sz w:val="16"/>
      </w:rPr>
      <w:t>DGG CLAIM RECORD  •  PHASE 0  •  NON-SWORN  •  NOT LAUNCH-CLEARED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BD5E1"/>
      </w:pBdr>
    </w:pPr>
    <w:r>
      <w:rPr>
        <w:rFonts w:ascii="Calibri" w:hAnsi="Calibri"/>
        <w:b/>
        <w:color w:val="6B7280"/>
        <w:sz w:val="16"/>
      </w:rPr>
      <w:t>DGG CLAIM RECORD  •  PHASE 0  •  NON-SWORN  •  NOT LAUNCH-CLEARED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Banner">
    <w:name w:val="Status Banner"/>
    <w:pPr>
      <w:spacing w:after="0"/>
      <w:jc w:val="center"/>
    </w:pPr>
    <w:rPr>
      <w:rFonts w:ascii="Calibri" w:hAnsi="Calibri"/>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app.leg.wa.gov/rcw/default.aspx?cite=9A.72&amp;full=true" TargetMode="External"/><Relationship Id="rId16" Type="http://schemas.openxmlformats.org/officeDocument/2006/relationships/hyperlink" Target="https://app.leg.wa.gov/rcw/default.aspx?cite=42.45&amp;full=true" TargetMode="External"/><Relationship Id="rId17" Type="http://schemas.openxmlformats.org/officeDocument/2006/relationships/hyperlink" Target="https://app.leg.wa.gov/RCW/default.aspx?cite=42.45.140" TargetMode="External"/><Relationship Id="rId18" Type="http://schemas.openxmlformats.org/officeDocument/2006/relationships/hyperlink" Target="https://app.leg.wa.gov/rcw/default.aspx?cite=9.73.030" TargetMode="External"/><Relationship Id="rId19" Type="http://schemas.openxmlformats.org/officeDocument/2006/relationships/hyperlink" Target="https://app.leg.wa.gov/RCW/default.aspx?cite=29B.10.160" TargetMode="External"/><Relationship Id="rId20" Type="http://schemas.openxmlformats.org/officeDocument/2006/relationships/hyperlink" Target="https://app.leg.wa.gov/RCW/default.aspx?cite=29B.10.220" TargetMode="External"/><Relationship Id="rId21" Type="http://schemas.openxmlformats.org/officeDocument/2006/relationships/hyperlink" Target="https://app.leg.wa.gov/RCW/default.aspx?cite=29B.30.070" TargetMode="External"/><Relationship Id="rId22" Type="http://schemas.openxmlformats.org/officeDocument/2006/relationships/hyperlink" Target="https://app.leg.wa.gov/RCW/default.aspx?cite=29B.40.200" TargetMode="External"/><Relationship Id="rId23" Type="http://schemas.openxmlformats.org/officeDocument/2006/relationships/hyperlink" Target="https://app.leg.wa.gov/RCW/default.aspx?cite=29B.45.010" TargetMode="External"/><Relationship Id="rId24" Type="http://schemas.openxmlformats.org/officeDocument/2006/relationships/hyperlink" Target="https://app.leg.wa.gov/rcw/default.aspx?cite=19.86.020" TargetMode="External"/><Relationship Id="rId25" Type="http://schemas.openxmlformats.org/officeDocument/2006/relationships/hyperlink" Target="https://www.ecfr.gov/current/title-11/chapter-I/subchapter-A/part-100/subpart-C/section-100.73" TargetMode="External"/><Relationship Id="rId26" Type="http://schemas.openxmlformats.org/officeDocument/2006/relationships/hyperlink" Target="https://www.ecfr.gov/current/title-11/chapter-I/subchapter-A/part-100/subpart-E/section-100.132" TargetMode="External"/><Relationship Id="rId27" Type="http://schemas.openxmlformats.org/officeDocument/2006/relationships/hyperlink" Target="https://www.ecfr.gov/current/title-11/chapter-I/subchapter-A/part-109/subpart-C/section-109.21" TargetMode="External"/><Relationship Id="rId28" Type="http://schemas.openxmlformats.org/officeDocument/2006/relationships/hyperlink" Target="https://www.fec.gov/updates/ao-2008-14-internet-tv-station-qualifies-for-press-exemption/" TargetMode="External"/><Relationship Id="rId29" Type="http://schemas.openxmlformats.org/officeDocument/2006/relationships/hyperlink" Target="https://www.nature.com/articles/s41467-022-30073-5" TargetMode="External"/><Relationship Id="rId30" Type="http://schemas.openxmlformats.org/officeDocument/2006/relationships/hyperlink" Target="https://www.tandfonline.com/doi/abs/10.1080/10584609.2019.1668894" TargetMode="External"/><Relationship Id="rId31" Type="http://schemas.openxmlformats.org/officeDocument/2006/relationships/hyperlink" Target="https://pubmed.ncbi.nlm.nih.gov/39433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DGG Claim Record — Human Design Explainer</dc:title>
  <dc:subject>Non-sworn political reporting concept</dc:subject>
  <dc:creator/>
  <cp:keywords>DGG, Ground Game, Claim Record, political reporting, corrections, source transparency</cp:keywords>
  <dc:description/>
  <cp:lastModifiedBy/>
  <cp:revision>1</cp:revision>
  <dcterms:created xsi:type="dcterms:W3CDTF">2013-12-23T23:15:00Z</dcterms:created>
  <dcterms:modified xsi:type="dcterms:W3CDTF">2013-12-23T23:15:00Z</dcterms:modified>
  <cp:category/>
</cp:coreProperties>
</file>