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unsel-review-draft--not-for-live-use"/>
    <w:p>
      <w:pPr>
        <w:spacing w:before="320" w:after="200"/>
      </w:pPr>
      <w:r>
        <w:rPr>
          <w:rFonts w:ascii="Nimbus Sans" w:hAnsi="Nimbus Sans" w:eastAsia="Nimbus Sans" w:cs="Nimbus Sans"/>
          <w:b/>
          <w:color w:val="9B1C1C"/>
          <w:sz w:val="20"/>
        </w:rPr>
        <w:t xml:space="preserve">COUNSEL REVIEW DRAFT — NOT FOR LIVE USE</w:t>
      </w:r>
    </w:p>
    <w:bookmarkEnd w:id="20"/>
    <w:bookmarkStart w:id="27" w:name="dgg-voluntary-sworn-record-format"/>
    <w:p>
      <w:pPr>
        <w:spacing w:before="200" w:after="80"/>
      </w:pPr>
      <w:r>
        <w:rPr>
          <w:rFonts w:ascii="Nimbus Sans" w:hAnsi="Nimbus Sans" w:eastAsia="Nimbus Sans" w:cs="Nimbus Sans"/>
          <w:b/>
          <w:color w:val="0B2545"/>
          <w:sz w:val="54"/>
        </w:rPr>
        <w:t xml:space="preserve">DGG Voluntary Sworn-Record Format</w:t>
      </w:r>
    </w:p>
    <w:bookmarkStart w:id="21" w:name="X2404c195eefd0ba7ce6ed8f081dedb424c63b35"/>
    <w:p>
      <w:pPr>
        <w:spacing w:before="0" w:after="360"/>
        <w:pBdr>
          <w:bottom w:val="single" w:sz="10" w:space="4" w:color="2E74B5"/>
        </w:pBdr>
      </w:pPr>
      <w:r>
        <w:rPr>
          <w:rFonts w:ascii="Nimbus Sans" w:hAnsi="Nimbus Sans" w:eastAsia="Nimbus Sans" w:cs="Nimbus Sans"/>
          <w:color w:val="1F4D78"/>
          <w:sz w:val="28"/>
        </w:rPr>
        <w:t xml:space="preserve">Counsel Review and Questioning Packet — Washington candidate v1.0</w:t>
      </w:r>
    </w:p>
    <w:p>
      <w:pPr>
        <w:pStyle w:val="FirstParagraph"/>
        <w:spacing w:after="60"/>
      </w:pPr>
      <w:r>
        <w:rPr>
          <w:bCs/>
          <w:rFonts w:ascii="Nimbus Sans" w:hAnsi="Nimbus Sans" w:eastAsia="Nimbus Sans" w:cs="Nimbus Sans"/>
          <w:b/>
          <w:color w:val="5F6B76"/>
          <w:sz w:val="19"/>
        </w:rPr>
        <w:t xml:space="preserve">Matter:</w:t>
      </w:r>
      <w:r>
        <w:rPr>
          <w:rFonts w:ascii="Nimbus Sans" w:hAnsi="Nimbus Sans" w:eastAsia="Nimbus Sans" w:cs="Nimbus Sans"/>
          <w:color w:val="5F6B76"/>
          <w:sz w:val="19"/>
        </w:rPr>
        <w:t xml:space="preserve"> </w:t>
      </w:r>
      <w:r>
        <w:rPr>
          <w:rFonts w:ascii="Nimbus Sans" w:hAnsi="Nimbus Sans" w:eastAsia="Nimbus Sans" w:cs="Nimbus Sans"/>
          <w:color w:val="5F6B76"/>
          <w:sz w:val="19"/>
        </w:rPr>
        <w:t xml:space="preserve">Digital Ground Game (DGG) voluntary factual-record pilot</w:t>
      </w:r>
      <w:r>
        <w:rPr>
          <w:rFonts w:ascii="Nimbus Sans" w:hAnsi="Nimbus Sans" w:eastAsia="Nimbus Sans" w:cs="Nimbus Sans"/>
          <w:color w:val="5F6B76"/>
          <w:sz w:val="19"/>
        </w:rPr>
        <w:br/>
      </w:r>
      <w:r>
        <w:rPr>
          <w:bCs/>
          <w:rFonts w:ascii="Nimbus Sans" w:hAnsi="Nimbus Sans" w:eastAsia="Nimbus Sans" w:cs="Nimbus Sans"/>
          <w:b/>
          <w:color w:val="5F6B76"/>
          <w:sz w:val="19"/>
        </w:rPr>
        <w:t xml:space="preserve">Control date:</w:t>
      </w:r>
      <w:r>
        <w:rPr>
          <w:rFonts w:ascii="Nimbus Sans" w:hAnsi="Nimbus Sans" w:eastAsia="Nimbus Sans" w:cs="Nimbus Sans"/>
          <w:color w:val="5F6B76"/>
          <w:sz w:val="19"/>
        </w:rPr>
        <w:t xml:space="preserve"> </w:t>
      </w:r>
      <w:r>
        <w:rPr>
          <w:rFonts w:ascii="Nimbus Sans" w:hAnsi="Nimbus Sans" w:eastAsia="Nimbus Sans" w:cs="Nimbus Sans"/>
          <w:color w:val="5F6B76"/>
          <w:sz w:val="19"/>
        </w:rPr>
        <w:t xml:space="preserve">August 30, 2026</w:t>
      </w:r>
      <w:r>
        <w:rPr>
          <w:rFonts w:ascii="Nimbus Sans" w:hAnsi="Nimbus Sans" w:eastAsia="Nimbus Sans" w:cs="Nimbus Sans"/>
          <w:color w:val="5F6B76"/>
          <w:sz w:val="19"/>
        </w:rPr>
        <w:br/>
      </w:r>
      <w:r>
        <w:rPr>
          <w:bCs/>
          <w:rFonts w:ascii="Nimbus Sans" w:hAnsi="Nimbus Sans" w:eastAsia="Nimbus Sans" w:cs="Nimbus Sans"/>
          <w:b/>
          <w:color w:val="5F6B76"/>
          <w:sz w:val="19"/>
        </w:rPr>
        <w:t xml:space="preserve">Intended reader:</w:t>
      </w:r>
      <w:r>
        <w:rPr>
          <w:rFonts w:ascii="Nimbus Sans" w:hAnsi="Nimbus Sans" w:eastAsia="Nimbus Sans" w:cs="Nimbus Sans"/>
          <w:color w:val="5F6B76"/>
          <w:sz w:val="19"/>
        </w:rPr>
        <w:t xml:space="preserve"> </w:t>
      </w:r>
      <w:r>
        <w:rPr>
          <w:rFonts w:ascii="Nimbus Sans" w:hAnsi="Nimbus Sans" w:eastAsia="Nimbus Sans" w:cs="Nimbus Sans"/>
          <w:color w:val="5F6B76"/>
          <w:sz w:val="19"/>
        </w:rPr>
        <w:t xml:space="preserve">Washington outside counsel, commissioned notary, methods/ethics reviewer, and project decision-maker</w:t>
      </w:r>
      <w:r>
        <w:rPr>
          <w:rFonts w:ascii="Nimbus Sans" w:hAnsi="Nimbus Sans" w:eastAsia="Nimbus Sans" w:cs="Nimbus Sans"/>
          <w:color w:val="5F6B76"/>
          <w:sz w:val="19"/>
        </w:rPr>
        <w:br/>
      </w:r>
      <w:r>
        <w:rPr>
          <w:bCs/>
          <w:rFonts w:ascii="Nimbus Sans" w:hAnsi="Nimbus Sans" w:eastAsia="Nimbus Sans" w:cs="Nimbus Sans"/>
          <w:b/>
          <w:color w:val="5F6B76"/>
          <w:sz w:val="19"/>
        </w:rPr>
        <w:t xml:space="preserve">Recommended posture:</w:t>
      </w:r>
      <w:r>
        <w:rPr>
          <w:rFonts w:ascii="Nimbus Sans" w:hAnsi="Nimbus Sans" w:eastAsia="Nimbus Sans" w:cs="Nimbus Sans"/>
          <w:color w:val="5F6B76"/>
          <w:sz w:val="19"/>
        </w:rPr>
        <w:t xml:space="preserve"> </w:t>
      </w:r>
      <w:r>
        <w:rPr>
          <w:rFonts w:ascii="Nimbus Sans" w:hAnsi="Nimbus Sans" w:eastAsia="Nimbus Sans" w:cs="Nimbus Sans"/>
          <w:color w:val="5F6B76"/>
          <w:sz w:val="19"/>
        </w:rPr>
        <w:t xml:space="preserve">Private, Washington-only, in-person, tangible wet-ink, nonpublic Phase 0/1</w:t>
      </w:r>
      <w:r>
        <w:rPr>
          <w:rFonts w:ascii="Nimbus Sans" w:hAnsi="Nimbus Sans" w:eastAsia="Nimbus Sans" w:cs="Nimbus Sans"/>
          <w:color w:val="5F6B76"/>
          <w:sz w:val="19"/>
        </w:rPr>
        <w:br/>
      </w:r>
      <w:r>
        <w:rPr>
          <w:bCs/>
          <w:rFonts w:ascii="Nimbus Sans" w:hAnsi="Nimbus Sans" w:eastAsia="Nimbus Sans" w:cs="Nimbus Sans"/>
          <w:b/>
          <w:color w:val="5F6B76"/>
          <w:sz w:val="19"/>
        </w:rPr>
        <w:t xml:space="preserve">Status:</w:t>
      </w:r>
      <w:r>
        <w:rPr>
          <w:rFonts w:ascii="Nimbus Sans" w:hAnsi="Nimbus Sans" w:eastAsia="Nimbus Sans" w:cs="Nimbus Sans"/>
          <w:color w:val="5F6B76"/>
          <w:sz w:val="19"/>
        </w:rPr>
        <w:t xml:space="preserve"> </w:t>
      </w:r>
      <w:r>
        <w:rPr>
          <w:rFonts w:ascii="Nimbus Sans" w:hAnsi="Nimbus Sans" w:eastAsia="Nimbus Sans" w:cs="Nimbus Sans"/>
          <w:color w:val="5F6B76"/>
          <w:sz w:val="19"/>
        </w:rPr>
        <w:t xml:space="preserve">Public research and form-design draft; not legal advice, a legal opinion, a live participant form, or launch clearance</w:t>
      </w:r>
      <w:r>
        <w:rPr>
          <w:rFonts w:ascii="Nimbus Sans" w:hAnsi="Nimbus Sans" w:eastAsia="Nimbus Sans" w:cs="Nimbus Sans"/>
          <w:color w:val="5F6B76"/>
          <w:sz w:val="19"/>
        </w:rPr>
        <w:br/>
      </w:r>
      <w:r>
        <w:rPr>
          <w:bCs/>
          <w:rFonts w:ascii="Nimbus Sans" w:hAnsi="Nimbus Sans" w:eastAsia="Nimbus Sans" w:cs="Nimbus Sans"/>
          <w:b/>
          <w:color w:val="5F6B76"/>
          <w:sz w:val="19"/>
        </w:rPr>
        <w:t xml:space="preserve">Companion candidates:</w:t>
      </w:r>
      <w:r>
        <w:rPr>
          <w:rFonts w:ascii="Nimbus Sans" w:hAnsi="Nimbus Sans" w:eastAsia="Nimbus Sans" w:cs="Nimbus Sans"/>
          <w:color w:val="5F6B76"/>
          <w:sz w:val="19"/>
        </w:rPr>
        <w:t xml:space="preserve"> </w:t>
      </w:r>
      <w:r>
        <w:rPr>
          <w:rStyle w:val="VerbatimChar"/>
          <w:rFonts w:ascii="Nimbus Sans" w:hAnsi="Nimbus Sans" w:eastAsia="Nimbus Sans" w:cs="Nimbus Sans"/>
          <w:color w:val="5F6B76"/>
          <w:sz w:val="19"/>
        </w:rPr>
        <w:t xml:space="preserve">operations/DGG_PARTICIPANT_SWORN_STATEMENT_PROTOCOL_v1.1.md</w:t>
      </w:r>
      <w:r>
        <w:rPr>
          <w:rFonts w:ascii="Nimbus Sans" w:hAnsi="Nimbus Sans" w:eastAsia="Nimbus Sans" w:cs="Nimbus Sans"/>
          <w:color w:val="5F6B76"/>
          <w:sz w:val="19"/>
        </w:rPr>
        <w:t xml:space="preserve"> </w:t>
      </w:r>
      <w:r>
        <w:rPr>
          <w:rFonts w:ascii="Nimbus Sans" w:hAnsi="Nimbus Sans" w:eastAsia="Nimbus Sans" w:cs="Nimbus Sans"/>
          <w:color w:val="5F6B76"/>
          <w:sz w:val="19"/>
        </w:rPr>
        <w:t xml:space="preserve">and</w:t>
      </w:r>
      <w:r>
        <w:rPr>
          <w:rFonts w:ascii="Nimbus Sans" w:hAnsi="Nimbus Sans" w:eastAsia="Nimbus Sans" w:cs="Nimbus Sans"/>
          <w:color w:val="5F6B76"/>
          <w:sz w:val="19"/>
        </w:rPr>
        <w:t xml:space="preserve"> </w:t>
      </w:r>
      <w:r>
        <w:rPr>
          <w:rStyle w:val="VerbatimChar"/>
          <w:rFonts w:ascii="Nimbus Sans" w:hAnsi="Nimbus Sans" w:eastAsia="Nimbus Sans" w:cs="Nimbus Sans"/>
          <w:color w:val="5F6B76"/>
          <w:sz w:val="19"/>
        </w:rPr>
        <w:t xml:space="preserve">memorandum/WASHINGTON_VOLUNTARY_SWORN_FORMAT_LEGAL_MEMORANDUM_v1.1.md</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Decision rule.</w:t>
      </w:r>
      <w:r>
        <w:rPr>
          <w:rFonts w:ascii="Nimbus Sans" w:hAnsi="Nimbus Sans" w:eastAsia="Nimbus Sans" w:cs="Nimbus Sans"/>
        </w:rPr>
        <w:t xml:space="preserve"> </w:t>
      </w:r>
      <w:r>
        <w:rPr>
          <w:rFonts w:ascii="Nimbus Sans" w:hAnsi="Nimbus Sans" w:eastAsia="Nimbus Sans" w:cs="Nimbus Sans"/>
        </w:rPr>
        <w:t xml:space="preserve">This packet is designed to make counsel review concrete. It does not claim to be “airtight.” No responsible memorandum can eliminate unknown facts, legal change, adverse authority, or fact-specific application. The correct goal is a traceable draft that states its assumptions, separates strong law from untested theory, presents the strongest objections, and blocks use until named reviewers close the gates assigned to them.</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Controlling limitation.</w:t>
      </w:r>
      <w:r>
        <w:rPr>
          <w:rFonts w:ascii="Nimbus Sans" w:hAnsi="Nimbus Sans" w:eastAsia="Nimbus Sans" w:cs="Nimbus Sans"/>
        </w:rPr>
        <w:t xml:space="preserve"> </w:t>
      </w:r>
      <w:r>
        <w:rPr>
          <w:rFonts w:ascii="Nimbus Sans" w:hAnsi="Nimbus Sans" w:eastAsia="Nimbus Sans" w:cs="Nimbus Sans"/>
        </w:rPr>
        <w:t xml:space="preserve">A Washington notary may perform and certify a verification on oath or affirmation involving a statement in a record. The notary does not investigate or certify substantive truth, approve DGG’s questions, or convert DGG into a state program. No decision not to participate, decline, qualify, correct, state uncertainty, or consult counsel is evidence of dishonesty.</w:t>
      </w:r>
    </w:p>
    <w:bookmarkEnd w:id="21"/>
    <w:bookmarkStart w:id="26" w:name="X276a17a10fa7db269e21fa9fe072850553616e3"/>
    <w:p>
      <w:pPr>
        <w:pStyle w:val="Heading2"/>
        <w:pageBreakBefore/>
      </w:pPr>
      <w:r>
        <w:rPr>
          <w:rFonts w:ascii="Nimbus Sans" w:hAnsi="Nimbus Sans" w:eastAsia="Nimbus Sans" w:cs="Nimbus Sans"/>
        </w:rPr>
        <w:t xml:space="preserve">0. Executive decision brief</w:t>
      </w:r>
    </w:p>
    <w:bookmarkStart w:id="22" w:name="X2dd004dcd423662c4e41e9e8a17f83303fff3e4"/>
    <w:p>
      <w:pPr>
        <w:pStyle w:val="Heading3"/>
      </w:pPr>
      <w:r>
        <w:rPr>
          <w:rFonts w:ascii="Nimbus Sans" w:hAnsi="Nimbus Sans" w:eastAsia="Nimbus Sans" w:cs="Nimbus Sans"/>
        </w:rPr>
        <w:t xml:space="preserve">0.1 Proposed decision</w:t>
      </w:r>
    </w:p>
    <w:p>
      <w:pPr>
        <w:pStyle w:val="FirstParagraph"/>
      </w:pPr>
      <w:r>
        <w:rPr>
          <w:rFonts w:ascii="Nimbus Sans" w:hAnsi="Nimbus Sans" w:eastAsia="Nimbus Sans" w:cs="Nimbus Sans"/>
        </w:rPr>
        <w:t xml:space="preserve">Approve continued</w:t>
      </w:r>
      <w:r>
        <w:rPr>
          <w:rFonts w:ascii="Nimbus Sans" w:hAnsi="Nimbus Sans" w:eastAsia="Nimbus Sans" w:cs="Nimbus Sans"/>
        </w:rPr>
        <w:t xml:space="preserve"> </w:t>
      </w:r>
      <w:r>
        <w:rPr>
          <w:bCs/>
          <w:rFonts w:ascii="Nimbus Sans" w:hAnsi="Nimbus Sans" w:eastAsia="Nimbus Sans" w:cs="Nimbus Sans"/>
          <w:b/>
        </w:rPr>
        <w:t xml:space="preserve">synthetic design work and nonpublic feasibility testing only</w:t>
      </w:r>
      <w:r>
        <w:rPr>
          <w:rFonts w:ascii="Nimbus Sans" w:hAnsi="Nimbus Sans" w:eastAsia="Nimbus Sans" w:cs="Nimbus Sans"/>
        </w:rPr>
        <w:t xml:space="preserve">. Do not approve a named participant, public release, remote or electronic notarization, government partnership, official-capacity use, prosecution referral arrangement, or a claim that the format guarantees false-swearing/perjury consequences.</w:t>
      </w:r>
    </w:p>
    <w:p>
      <w:pPr>
        <w:pStyle w:val="BodyText"/>
      </w:pPr>
      <w:r>
        <w:rPr>
          <w:rFonts w:ascii="Nimbus Sans" w:hAnsi="Nimbus Sans" w:eastAsia="Nimbus Sans" w:cs="Nimbus Sans"/>
        </w:rPr>
        <w:t xml:space="preserve">The first operational objective is not to “put an interview under oath.” It is to test a narrower legal object: a short, exact, participant-authored or expressly adopted</w:t>
      </w:r>
      <w:r>
        <w:rPr>
          <w:rFonts w:ascii="Nimbus Sans" w:hAnsi="Nimbus Sans" w:eastAsia="Nimbus Sans" w:cs="Nimbus Sans"/>
        </w:rPr>
        <w:t xml:space="preserve"> </w:t>
      </w:r>
      <w:r>
        <w:rPr>
          <w:bCs/>
          <w:rFonts w:ascii="Nimbus Sans" w:hAnsi="Nimbus Sans" w:eastAsia="Nimbus Sans" w:cs="Nimbus Sans"/>
          <w:b/>
        </w:rPr>
        <w:t xml:space="preserve">Canonical Sworn Record (CSR)</w:t>
      </w:r>
      <w:r>
        <w:rPr>
          <w:rFonts w:ascii="Nimbus Sans" w:hAnsi="Nimbus Sans" w:eastAsia="Nimbus Sans" w:cs="Nimbus Sans"/>
        </w:rPr>
        <w:t xml:space="preserve"> </w:t>
      </w:r>
      <w:r>
        <w:rPr>
          <w:rFonts w:ascii="Nimbus Sans" w:hAnsi="Nimbus Sans" w:eastAsia="Nimbus Sans" w:cs="Nimbus Sans"/>
        </w:rPr>
        <w:t xml:space="preserve">containing standalone factual statements, stated bases, qualifications, a wet-ink signature, and a contemporaneous verification certificate. The ordinary interview and all DGG commentary remain in a separate, expressly unsworn</w:t>
      </w:r>
      <w:r>
        <w:rPr>
          <w:rFonts w:ascii="Nimbus Sans" w:hAnsi="Nimbus Sans" w:eastAsia="Nimbus Sans" w:cs="Nimbus Sans"/>
        </w:rPr>
        <w:t xml:space="preserve"> </w:t>
      </w:r>
      <w:r>
        <w:rPr>
          <w:bCs/>
          <w:rFonts w:ascii="Nimbus Sans" w:hAnsi="Nimbus Sans" w:eastAsia="Nimbus Sans" w:cs="Nimbus Sans"/>
          <w:b/>
        </w:rPr>
        <w:t xml:space="preserve">Public Media Record (PMR)</w:t>
      </w:r>
      <w:r>
        <w:rPr>
          <w:rFonts w:ascii="Nimbus Sans" w:hAnsi="Nimbus Sans" w:eastAsia="Nimbus Sans" w:cs="Nimbus Sans"/>
        </w:rPr>
        <w:t xml:space="preserve">.</w:t>
      </w:r>
    </w:p>
    <w:bookmarkEnd w:id="22"/>
    <w:bookmarkStart w:id="23" w:name="X29b90105c5c6098630405dee724895f43d9f921"/>
    <w:p>
      <w:pPr>
        <w:pStyle w:val="Heading3"/>
      </w:pPr>
      <w:r>
        <w:rPr>
          <w:rFonts w:ascii="Nimbus Sans" w:hAnsi="Nimbus Sans" w:eastAsia="Nimbus Sans" w:cs="Nimbus Sans"/>
        </w:rPr>
        <w:t xml:space="preserve">0.2 Current legal assessment</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2500"/>
        <w:gridCol w:w="3430"/>
        <w:gridCol w:w="3430"/>
      </w:tblGrid>
      <w:tr>
        <w:trPr>
          <w:tblHeader w:val="true"/>
          <w:cantSplit w:val="true"/>
        </w:trPr>
        <w:tc>
          <w:tcPr>
            <w:tcW w:type="dxa" w:w="25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Proposition</w:t>
            </w:r>
          </w:p>
        </w:tc>
        <w:tc>
          <w:tcPr>
            <w:tcW w:type="dxa" w:w="343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Assessment</w:t>
            </w:r>
          </w:p>
        </w:tc>
        <w:tc>
          <w:tcPr>
            <w:tcW w:type="dxa" w:w="343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Consequence</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Washington authorizes a verification on oath or affirmation of a statement in a tangible record.</w:t>
            </w:r>
          </w:p>
        </w:tc>
        <w:tc>
          <w:tcPr>
            <w:tcW w:type="dxa" w:w="343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Strong statutory support</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 narrow signed CSR is legally plausible.</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 notary certifies substantive truth or state approval.</w:t>
            </w:r>
          </w:p>
        </w:tc>
        <w:tc>
          <w:tcPr>
            <w:tcW w:type="dxa" w:w="343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Incorrect</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Repeat the limitation beside every form, clip, and publication.</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 knowingly false statement in this private format necessarily violates RCW 9A.72.040.</w:t>
            </w:r>
          </w:p>
        </w:tc>
        <w:tc>
          <w:tcPr>
            <w:tcW w:type="dxa" w:w="343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Plausible text; untested application</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Counsel-only disclosure; no promise of liability, prosecution, or conviction.</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 private DGG verification is necessarily an “official proceeding” for first-degree perjury.</w:t>
            </w:r>
          </w:p>
        </w:tc>
        <w:tc>
          <w:tcPr>
            <w:tcW w:type="dxa" w:w="343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Colorable text; unresolved and weak as a product claim</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Do not call it a perjury interview or use felony rhetoric.</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Notarization makes the CSR true, admissible, self-authenticating for all purposes, or conclusive proof.</w:t>
            </w:r>
          </w:p>
        </w:tc>
        <w:tc>
          <w:tcPr>
            <w:tcW w:type="dxa" w:w="343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Incorrect/overbroad</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Hearsay, relevance, authentication, completeness, best-evidence, and privilege issues remain.</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An independent state-commissioned notary makes all DGG editorial conduct state action.</w:t>
            </w:r>
          </w:p>
        </w:tc>
        <w:tc>
          <w:tcPr>
            <w:tcW w:type="dxa" w:w="343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Not supported categorically</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Keep the notarial act discrete and private; reanalyze any governmental direction, joint action, compulsion, or entwinement.</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 private, unfunded study automatically falls under the Common Rule.</w:t>
            </w:r>
          </w:p>
        </w:tc>
        <w:tc>
          <w:tcPr>
            <w:tcW w:type="dxa" w:w="343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Incorrect</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Obtain an HRPP/IRB determination anyway before randomized or publishable human-subject data collection.</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Government sponsorship would be a cosmetic change.</w:t>
            </w:r>
          </w:p>
        </w:tc>
        <w:tc>
          <w:tcPr>
            <w:tcW w:type="dxa" w:w="343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Incorrect</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Treat it as a new intervention and a new public-law project.</w:t>
            </w:r>
          </w:p>
        </w:tc>
      </w:tr>
    </w:tbl>
    <w:bookmarkEnd w:id="23"/>
    <w:bookmarkStart w:id="24" w:name="X207c30e5b00d2f28e6a86d45190ce6837c34557"/>
    <w:p>
      <w:pPr>
        <w:pStyle w:val="Heading3"/>
      </w:pPr>
      <w:r>
        <w:rPr>
          <w:rFonts w:ascii="Nimbus Sans" w:hAnsi="Nimbus Sans" w:eastAsia="Nimbus Sans" w:cs="Nimbus Sans"/>
        </w:rPr>
        <w:t xml:space="preserve">0.3 Why the format may still be useful</w:t>
      </w:r>
    </w:p>
    <w:p>
      <w:pPr>
        <w:pStyle w:val="FirstParagraph"/>
      </w:pPr>
      <w:r>
        <w:rPr>
          <w:rFonts w:ascii="Nimbus Sans" w:hAnsi="Nimbus Sans" w:eastAsia="Nimbus Sans" w:cs="Nimbus Sans"/>
        </w:rPr>
        <w:t xml:space="preserve">The defensible civic value does not depend on punishment. The format may create a better evidence object by making these features inspectable:</w:t>
      </w:r>
    </w:p>
    <w:p>
      <w:pPr>
        <w:numPr>
          <w:ilvl w:val="0"/>
          <w:numId w:val="1001"/>
        </w:numPr>
        <w:pStyle w:val="Compact"/>
        <w:spacing w:after="120" w:line="280" w:lineRule="auto"/>
      </w:pPr>
      <w:r>
        <w:rPr>
          <w:rFonts w:ascii="Nimbus Sans" w:hAnsi="Nimbus Sans" w:eastAsia="Nimbus Sans" w:cs="Nimbus Sans"/>
        </w:rPr>
        <w:t xml:space="preserve">one proposition at a time;</w:t>
      </w:r>
    </w:p>
    <w:p>
      <w:pPr>
        <w:numPr>
          <w:ilvl w:val="0"/>
          <w:numId w:val="1001"/>
        </w:numPr>
        <w:pStyle w:val="Compact"/>
        <w:spacing w:after="120" w:line="280" w:lineRule="auto"/>
      </w:pPr>
      <w:r>
        <w:rPr>
          <w:rFonts w:ascii="Nimbus Sans" w:hAnsi="Nimbus Sans" w:eastAsia="Nimbus Sans" w:cs="Nimbus Sans"/>
        </w:rPr>
        <w:t xml:space="preserve">the participant’s complete standalone statement rather than a bare “yes” or “no”;</w:t>
      </w:r>
    </w:p>
    <w:p>
      <w:pPr>
        <w:numPr>
          <w:ilvl w:val="0"/>
          <w:numId w:val="1001"/>
        </w:numPr>
        <w:pStyle w:val="Compact"/>
        <w:spacing w:after="120" w:line="280" w:lineRule="auto"/>
      </w:pPr>
      <w:r>
        <w:rPr>
          <w:rFonts w:ascii="Nimbus Sans" w:hAnsi="Nimbus Sans" w:eastAsia="Nimbus Sans" w:cs="Nimbus Sans"/>
        </w:rPr>
        <w:t xml:space="preserve">personal-knowledge versus record-based basis;</w:t>
      </w:r>
    </w:p>
    <w:p>
      <w:pPr>
        <w:numPr>
          <w:ilvl w:val="0"/>
          <w:numId w:val="1001"/>
        </w:numPr>
        <w:pStyle w:val="Compact"/>
        <w:spacing w:after="120" w:line="280" w:lineRule="auto"/>
      </w:pPr>
      <w:r>
        <w:rPr>
          <w:rFonts w:ascii="Nimbus Sans" w:hAnsi="Nimbus Sans" w:eastAsia="Nimbus Sans" w:cs="Nimbus Sans"/>
        </w:rPr>
        <w:t xml:space="preserve">defined scope, exceptions, and qualifications;</w:t>
      </w:r>
    </w:p>
    <w:p>
      <w:pPr>
        <w:numPr>
          <w:ilvl w:val="0"/>
          <w:numId w:val="1001"/>
        </w:numPr>
        <w:pStyle w:val="Compact"/>
        <w:spacing w:after="120" w:line="280" w:lineRule="auto"/>
      </w:pPr>
      <w:r>
        <w:rPr>
          <w:rFonts w:ascii="Nimbus Sans" w:hAnsi="Nimbus Sans" w:eastAsia="Nimbus Sans" w:cs="Nimbus Sans"/>
        </w:rPr>
        <w:t xml:space="preserve">source and strongest contrary-source disclosure;</w:t>
      </w:r>
    </w:p>
    <w:p>
      <w:pPr>
        <w:numPr>
          <w:ilvl w:val="0"/>
          <w:numId w:val="1001"/>
        </w:numPr>
        <w:pStyle w:val="Compact"/>
        <w:spacing w:after="120" w:line="280" w:lineRule="auto"/>
      </w:pPr>
      <w:r>
        <w:rPr>
          <w:rFonts w:ascii="Nimbus Sans" w:hAnsi="Nimbus Sans" w:eastAsia="Nimbus Sans" w:cs="Nimbus Sans"/>
        </w:rPr>
        <w:t xml:space="preserve">exact record ID, version, pages, and proposition index;</w:t>
      </w:r>
    </w:p>
    <w:p>
      <w:pPr>
        <w:numPr>
          <w:ilvl w:val="0"/>
          <w:numId w:val="1001"/>
        </w:numPr>
        <w:pStyle w:val="Compact"/>
        <w:spacing w:after="120" w:line="280" w:lineRule="auto"/>
      </w:pPr>
      <w:r>
        <w:rPr>
          <w:rFonts w:ascii="Nimbus Sans" w:hAnsi="Nimbus Sans" w:eastAsia="Nimbus Sans" w:cs="Nimbus Sans"/>
        </w:rPr>
        <w:t xml:space="preserve">visible uncertainty, lack of recall, inability to verify, and decline without penalty; and</w:t>
      </w:r>
    </w:p>
    <w:p>
      <w:pPr>
        <w:numPr>
          <w:ilvl w:val="0"/>
          <w:numId w:val="1001"/>
        </w:numPr>
        <w:pStyle w:val="Compact"/>
        <w:spacing w:after="120" w:line="280" w:lineRule="auto"/>
      </w:pPr>
      <w:r>
        <w:rPr>
          <w:rFonts w:ascii="Nimbus Sans" w:hAnsi="Nimbus Sans" w:eastAsia="Nimbus Sans" w:cs="Nimbus Sans"/>
        </w:rPr>
        <w:t xml:space="preserve">append-only correction and provenance.</w:t>
      </w:r>
    </w:p>
    <w:p>
      <w:pPr>
        <w:pStyle w:val="FirstParagraph"/>
      </w:pPr>
      <w:r>
        <w:rPr>
          <w:rFonts w:ascii="Nimbus Sans" w:hAnsi="Nimbus Sans" w:eastAsia="Nimbus Sans" w:cs="Nimbus Sans"/>
        </w:rPr>
        <w:t xml:space="preserve">The format fails if the notarial cue raises trust without accuracy, if refusal becomes a dishonesty label, if participants become more evasive, or if a government connection produces perceived compulsion or official endorsement.</w:t>
      </w:r>
    </w:p>
    <w:bookmarkEnd w:id="24"/>
    <w:bookmarkStart w:id="25" w:name="X95d589eb2c7b854a47403dd5b79f90864c518ea"/>
    <w:p>
      <w:pPr>
        <w:pStyle w:val="Heading3"/>
      </w:pPr>
      <w:r>
        <w:rPr>
          <w:rFonts w:ascii="Nimbus Sans" w:hAnsi="Nimbus Sans" w:eastAsia="Nimbus Sans" w:cs="Nimbus Sans"/>
        </w:rPr>
        <w:t xml:space="preserve">0.4 Counsel decision requested</w:t>
      </w:r>
    </w:p>
    <w:p>
      <w:pPr>
        <w:pStyle w:val="FirstParagraph"/>
      </w:pPr>
      <w:r>
        <w:rPr>
          <w:rFonts w:ascii="Nimbus Sans" w:hAnsi="Nimbus Sans" w:eastAsia="Nimbus Sans" w:cs="Nimbus Sans"/>
        </w:rPr>
        <w:t xml:space="preserve">Counsel should return one of four decisions for each component:</w:t>
      </w:r>
      <w:r>
        <w:rPr>
          <w:rFonts w:ascii="Nimbus Sans" w:hAnsi="Nimbus Sans" w:eastAsia="Nimbus Sans" w:cs="Nimbus Sans"/>
        </w:rPr>
        <w:t xml:space="preserve"> </w:t>
      </w:r>
      <w:r>
        <w:rPr>
          <w:bCs/>
          <w:rFonts w:ascii="Nimbus Sans" w:hAnsi="Nimbus Sans" w:eastAsia="Nimbus Sans" w:cs="Nimbus Sans"/>
          <w:b/>
        </w:rPr>
        <w:t xml:space="preserve">approve as drafted; approve with written conditions; hold for facts/research; or do not approve.</w:t>
      </w:r>
      <w:r>
        <w:rPr>
          <w:rFonts w:ascii="Nimbus Sans" w:hAnsi="Nimbus Sans" w:eastAsia="Nimbus Sans" w:cs="Nimbus Sans"/>
        </w:rPr>
        <w:t xml:space="preserve"> </w:t>
      </w:r>
      <w:r>
        <w:rPr>
          <w:rFonts w:ascii="Nimbus Sans" w:hAnsi="Nimbus Sans" w:eastAsia="Nimbus Sans" w:cs="Nimbus Sans"/>
        </w:rPr>
        <w:t xml:space="preserve">Counsel is not asked to certify that the project is risk-free. Counsel is asked to identify the lawful form, the factual assumptions, the remaining risks, and the conditions that must precede each phase.</w:t>
      </w:r>
    </w:p>
    <w:bookmarkEnd w:id="25"/>
    <w:bookmarkEnd w:id="26"/>
    <w:bookmarkEnd w:id="27"/>
    <w:bookmarkStart w:id="34" w:name="Xf6f3ffd2d60339616e4ff3792b6dd5122f9b971"/>
    <w:p>
      <w:pPr>
        <w:pStyle w:val="Heading1"/>
      </w:pPr>
      <w:r>
        <w:rPr>
          <w:rFonts w:ascii="Nimbus Sans" w:hAnsi="Nimbus Sans" w:eastAsia="Nimbus Sans" w:cs="Nimbus Sans"/>
        </w:rPr>
        <w:t xml:space="preserve">I. Project statement: what it is, how it is used, and why</w:t>
      </w:r>
    </w:p>
    <w:bookmarkStart w:id="28" w:name="Xe2857119dc7cf0bcbb74e635b43d6d88f02f6ee"/>
    <w:p>
      <w:pPr>
        <w:pStyle w:val="Heading2"/>
      </w:pPr>
      <w:r>
        <w:rPr>
          <w:rFonts w:ascii="Nimbus Sans" w:hAnsi="Nimbus Sans" w:eastAsia="Nimbus Sans" w:cs="Nimbus Sans"/>
        </w:rPr>
        <w:t xml:space="preserve">1. The project in one paragraph</w:t>
      </w:r>
    </w:p>
    <w:p>
      <w:pPr>
        <w:pStyle w:val="FirstParagraph"/>
      </w:pPr>
      <w:r>
        <w:rPr>
          <w:rFonts w:ascii="Nimbus Sans" w:hAnsi="Nimbus Sans" w:eastAsia="Nimbus Sans" w:cs="Nimbus Sans"/>
        </w:rPr>
        <w:t xml:space="preserve">DGG proposes a private, optional format in which a willing adult reviews a short set of disclosed factual propositions, authors or expressly adopts complete standalone answers, states the basis and qualifications for each answer, and—only after the exact paper record is frozen—signs the selected statements under an oath or affirmation administered by an independent Washington notary. DGG may then conduct a separate ordinary interview. The notary certifies the notarial act and required determinations, not factual truth. The first phases are nonpublic and use only synthetic or fully consented materials.</w:t>
      </w:r>
    </w:p>
    <w:bookmarkEnd w:id="28"/>
    <w:bookmarkStart w:id="31" w:name="X2853ac8571b13114c6b294362edd8a96052ff23"/>
    <w:p>
      <w:pPr>
        <w:pStyle w:val="Heading2"/>
      </w:pPr>
      <w:r>
        <w:rPr>
          <w:rFonts w:ascii="Nimbus Sans" w:hAnsi="Nimbus Sans" w:eastAsia="Nimbus Sans" w:cs="Nimbus Sans"/>
        </w:rPr>
        <w:t xml:space="preserve">2. Intended uses</w:t>
      </w:r>
    </w:p>
    <w:bookmarkStart w:id="29" w:name="X73034ad7c1395db6eb56ccc44232852851bc080"/>
    <w:p>
      <w:pPr>
        <w:pStyle w:val="Heading3"/>
      </w:pPr>
      <w:r>
        <w:rPr>
          <w:rFonts w:ascii="Nimbus Sans" w:hAnsi="Nimbus Sans" w:eastAsia="Nimbus Sans" w:cs="Nimbus Sans"/>
        </w:rPr>
        <w:t xml:space="preserve">2.1 Authorized design uses</w:t>
      </w:r>
    </w:p>
    <w:p>
      <w:pPr>
        <w:numPr>
          <w:ilvl w:val="0"/>
          <w:numId w:val="1002"/>
        </w:numPr>
        <w:pStyle w:val="Compact"/>
        <w:spacing w:after="120" w:line="280" w:lineRule="auto"/>
      </w:pPr>
      <w:r>
        <w:rPr>
          <w:bCs/>
          <w:rFonts w:ascii="Nimbus Sans" w:hAnsi="Nimbus Sans" w:eastAsia="Nimbus Sans" w:cs="Nimbus Sans"/>
          <w:b/>
        </w:rPr>
        <w:t xml:space="preserve">Memorandum building.</w:t>
      </w:r>
      <w:r>
        <w:rPr>
          <w:rFonts w:ascii="Nimbus Sans" w:hAnsi="Nimbus Sans" w:eastAsia="Nimbus Sans" w:cs="Nimbus Sans"/>
        </w:rPr>
        <w:t xml:space="preserve"> </w:t>
      </w:r>
      <w:r>
        <w:rPr>
          <w:rFonts w:ascii="Nimbus Sans" w:hAnsi="Nimbus Sans" w:eastAsia="Nimbus Sans" w:cs="Nimbus Sans"/>
        </w:rPr>
        <w:t xml:space="preserve">Analysts can connect a factual proposition to supporting and contrary sources, authorities, qualifications, and corrections.</w:t>
      </w:r>
    </w:p>
    <w:p>
      <w:pPr>
        <w:numPr>
          <w:ilvl w:val="0"/>
          <w:numId w:val="1002"/>
        </w:numPr>
        <w:pStyle w:val="Compact"/>
        <w:spacing w:after="120" w:line="280" w:lineRule="auto"/>
      </w:pPr>
      <w:r>
        <w:rPr>
          <w:bCs/>
          <w:rFonts w:ascii="Nimbus Sans" w:hAnsi="Nimbus Sans" w:eastAsia="Nimbus Sans" w:cs="Nimbus Sans"/>
          <w:b/>
        </w:rPr>
        <w:t xml:space="preserve">Question discipline.</w:t>
      </w:r>
      <w:r>
        <w:rPr>
          <w:rFonts w:ascii="Nimbus Sans" w:hAnsi="Nimbus Sans" w:eastAsia="Nimbus Sans" w:cs="Nimbus Sans"/>
        </w:rPr>
        <w:t xml:space="preserve"> </w:t>
      </w:r>
      <w:r>
        <w:rPr>
          <w:rFonts w:ascii="Nimbus Sans" w:hAnsi="Nimbus Sans" w:eastAsia="Nimbus Sans" w:cs="Nimbus Sans"/>
        </w:rPr>
        <w:t xml:space="preserve">Interviewers must define actor, conduct, date, scope, unit, and knowledge route before asking.</w:t>
      </w:r>
    </w:p>
    <w:p>
      <w:pPr>
        <w:numPr>
          <w:ilvl w:val="0"/>
          <w:numId w:val="1002"/>
        </w:numPr>
        <w:pStyle w:val="Compact"/>
        <w:spacing w:after="120" w:line="280" w:lineRule="auto"/>
      </w:pPr>
      <w:r>
        <w:rPr>
          <w:bCs/>
          <w:rFonts w:ascii="Nimbus Sans" w:hAnsi="Nimbus Sans" w:eastAsia="Nimbus Sans" w:cs="Nimbus Sans"/>
          <w:b/>
        </w:rPr>
        <w:t xml:space="preserve">Evidence literacy.</w:t>
      </w:r>
      <w:r>
        <w:rPr>
          <w:rFonts w:ascii="Nimbus Sans" w:hAnsi="Nimbus Sans" w:eastAsia="Nimbus Sans" w:cs="Nimbus Sans"/>
        </w:rPr>
        <w:t xml:space="preserve"> </w:t>
      </w:r>
      <w:r>
        <w:rPr>
          <w:rFonts w:ascii="Nimbus Sans" w:hAnsi="Nimbus Sans" w:eastAsia="Nimbus Sans" w:cs="Nimbus Sans"/>
        </w:rPr>
        <w:t xml:space="preserve">Viewers can distinguish a claim about an underlying event from a claim that a record says something.</w:t>
      </w:r>
    </w:p>
    <w:p>
      <w:pPr>
        <w:numPr>
          <w:ilvl w:val="0"/>
          <w:numId w:val="1002"/>
        </w:numPr>
        <w:pStyle w:val="Compact"/>
        <w:spacing w:after="120" w:line="280" w:lineRule="auto"/>
      </w:pPr>
      <w:r>
        <w:rPr>
          <w:bCs/>
          <w:rFonts w:ascii="Nimbus Sans" w:hAnsi="Nimbus Sans" w:eastAsia="Nimbus Sans" w:cs="Nimbus Sans"/>
          <w:b/>
        </w:rPr>
        <w:t xml:space="preserve">Calibration research.</w:t>
      </w:r>
      <w:r>
        <w:rPr>
          <w:rFonts w:ascii="Nimbus Sans" w:hAnsi="Nimbus Sans" w:eastAsia="Nimbus Sans" w:cs="Nimbus Sans"/>
        </w:rPr>
        <w:t xml:space="preserve"> </w:t>
      </w:r>
      <w:r>
        <w:rPr>
          <w:rFonts w:ascii="Nimbus Sans" w:hAnsi="Nimbus Sans" w:eastAsia="Nimbus Sans" w:cs="Nimbus Sans"/>
        </w:rPr>
        <w:t xml:space="preserve">Researchers can test accuracy, uncertainty, source inspection, correction, coercion, and audience overtrust.</w:t>
      </w:r>
    </w:p>
    <w:p>
      <w:pPr>
        <w:numPr>
          <w:ilvl w:val="0"/>
          <w:numId w:val="1002"/>
        </w:numPr>
        <w:pStyle w:val="Compact"/>
        <w:spacing w:after="120" w:line="280" w:lineRule="auto"/>
      </w:pPr>
      <w:r>
        <w:rPr>
          <w:bCs/>
          <w:rFonts w:ascii="Nimbus Sans" w:hAnsi="Nimbus Sans" w:eastAsia="Nimbus Sans" w:cs="Nimbus Sans"/>
          <w:b/>
        </w:rPr>
        <w:t xml:space="preserve">Detective practice.</w:t>
      </w:r>
      <w:r>
        <w:rPr>
          <w:rFonts w:ascii="Nimbus Sans" w:hAnsi="Nimbus Sans" w:eastAsia="Nimbus Sans" w:cs="Nimbus Sans"/>
        </w:rPr>
        <w:t xml:space="preserve"> </w:t>
      </w:r>
      <w:r>
        <w:rPr>
          <w:rFonts w:ascii="Nimbus Sans" w:hAnsi="Nimbus Sans" w:eastAsia="Nimbus Sans" w:cs="Nimbus Sans"/>
        </w:rPr>
        <w:t xml:space="preserve">A reviewer can reproduce the reasoning chain instead of accepting a commentator’s confidence.</w:t>
      </w:r>
    </w:p>
    <w:bookmarkEnd w:id="29"/>
    <w:bookmarkStart w:id="30" w:name="Xbd739c8e2589c3bc6a88a5135f022613de227bc"/>
    <w:p>
      <w:pPr>
        <w:pStyle w:val="Heading3"/>
      </w:pPr>
      <w:r>
        <w:rPr>
          <w:rFonts w:ascii="Nimbus Sans" w:hAnsi="Nimbus Sans" w:eastAsia="Nimbus Sans" w:cs="Nimbus Sans"/>
        </w:rPr>
        <w:t xml:space="preserve">2.2 Uses that are not authorized</w:t>
      </w:r>
    </w:p>
    <w:p>
      <w:pPr>
        <w:numPr>
          <w:ilvl w:val="0"/>
          <w:numId w:val="1003"/>
        </w:numPr>
        <w:pStyle w:val="Compact"/>
        <w:spacing w:after="120" w:line="280" w:lineRule="auto"/>
      </w:pPr>
      <w:r>
        <w:rPr>
          <w:rFonts w:ascii="Nimbus Sans" w:hAnsi="Nimbus Sans" w:eastAsia="Nimbus Sans" w:cs="Nimbus Sans"/>
        </w:rPr>
        <w:t xml:space="preserve">a truth-certification service, honesty score, red/green credibility badge, or public blacklist;</w:t>
      </w:r>
    </w:p>
    <w:p>
      <w:pPr>
        <w:numPr>
          <w:ilvl w:val="0"/>
          <w:numId w:val="1003"/>
        </w:numPr>
        <w:pStyle w:val="Compact"/>
        <w:spacing w:after="120" w:line="280" w:lineRule="auto"/>
      </w:pPr>
      <w:r>
        <w:rPr>
          <w:rFonts w:ascii="Nimbus Sans" w:hAnsi="Nimbus Sans" w:eastAsia="Nimbus Sans" w:cs="Nimbus Sans"/>
        </w:rPr>
        <w:t xml:space="preserve">a free-form “interview under oath”;</w:t>
      </w:r>
    </w:p>
    <w:p>
      <w:pPr>
        <w:numPr>
          <w:ilvl w:val="0"/>
          <w:numId w:val="1003"/>
        </w:numPr>
        <w:pStyle w:val="Compact"/>
        <w:spacing w:after="120" w:line="280" w:lineRule="auto"/>
      </w:pPr>
      <w:r>
        <w:rPr>
          <w:rFonts w:ascii="Nimbus Sans" w:hAnsi="Nimbus Sans" w:eastAsia="Nimbus Sans" w:cs="Nimbus Sans"/>
        </w:rPr>
        <w:t xml:space="preserve">a government hearing, official investigation, ballot/debate qualification, employment screen, licensing condition, benefit condition, or law-enforcement intake;</w:t>
      </w:r>
    </w:p>
    <w:p>
      <w:pPr>
        <w:numPr>
          <w:ilvl w:val="0"/>
          <w:numId w:val="1003"/>
        </w:numPr>
        <w:pStyle w:val="Compact"/>
        <w:spacing w:after="120" w:line="280" w:lineRule="auto"/>
      </w:pPr>
      <w:r>
        <w:rPr>
          <w:rFonts w:ascii="Nimbus Sans" w:hAnsi="Nimbus Sans" w:eastAsia="Nimbus Sans" w:cs="Nimbus Sans"/>
        </w:rPr>
        <w:t xml:space="preserve">a device for threatening a participant with prosecution or reputational punishment;</w:t>
      </w:r>
    </w:p>
    <w:p>
      <w:pPr>
        <w:numPr>
          <w:ilvl w:val="0"/>
          <w:numId w:val="1003"/>
        </w:numPr>
        <w:pStyle w:val="Compact"/>
        <w:spacing w:after="120" w:line="280" w:lineRule="auto"/>
      </w:pPr>
      <w:r>
        <w:rPr>
          <w:rFonts w:ascii="Nimbus Sans" w:hAnsi="Nimbus Sans" w:eastAsia="Nimbus Sans" w:cs="Nimbus Sans"/>
        </w:rPr>
        <w:t xml:space="preserve">an automatic evidentiary shortcut;</w:t>
      </w:r>
    </w:p>
    <w:p>
      <w:pPr>
        <w:numPr>
          <w:ilvl w:val="0"/>
          <w:numId w:val="1003"/>
        </w:numPr>
        <w:pStyle w:val="Compact"/>
        <w:spacing w:after="120" w:line="280" w:lineRule="auto"/>
      </w:pPr>
      <w:r>
        <w:rPr>
          <w:rFonts w:ascii="Nimbus Sans" w:hAnsi="Nimbus Sans" w:eastAsia="Nimbus Sans" w:cs="Nimbus Sans"/>
        </w:rPr>
        <w:t xml:space="preserve">a substitute for fact-checking, discovery, cross-examination, source verification, or counsel; or</w:t>
      </w:r>
    </w:p>
    <w:p>
      <w:pPr>
        <w:numPr>
          <w:ilvl w:val="0"/>
          <w:numId w:val="1003"/>
        </w:numPr>
        <w:pStyle w:val="Compact"/>
        <w:spacing w:after="120" w:line="280" w:lineRule="auto"/>
      </w:pPr>
      <w:r>
        <w:rPr>
          <w:rFonts w:ascii="Nimbus Sans" w:hAnsi="Nimbus Sans" w:eastAsia="Nimbus Sans" w:cs="Nimbus Sans"/>
        </w:rPr>
        <w:t xml:space="preserve">a national or remote protocol inferred from Washington’s current in-person paper design.</w:t>
      </w:r>
    </w:p>
    <w:bookmarkEnd w:id="30"/>
    <w:bookmarkEnd w:id="31"/>
    <w:bookmarkStart w:id="32" w:name="X1ef2c5b4eb39224a53346ea624f60b559706cac"/>
    <w:p>
      <w:pPr>
        <w:pStyle w:val="Heading2"/>
      </w:pPr>
      <w:r>
        <w:rPr>
          <w:rFonts w:ascii="Nimbus Sans" w:hAnsi="Nimbus Sans" w:eastAsia="Nimbus Sans" w:cs="Nimbus Sans"/>
        </w:rPr>
        <w:t xml:space="preserve">3. Why advance disclosure and voluntary participation are core controls</w:t>
      </w:r>
    </w:p>
    <w:p>
      <w:pPr>
        <w:pStyle w:val="FirstParagraph"/>
      </w:pPr>
      <w:r>
        <w:rPr>
          <w:rFonts w:ascii="Nimbus Sans" w:hAnsi="Nimbus Sans" w:eastAsia="Nimbus Sans" w:cs="Nimbus Sans"/>
        </w:rPr>
        <w:t xml:space="preserve">Advance disclosure is designed to reduce accidental falsity and coercion. It permits the participant to inspect records, correct premises, identify privilege or confidentiality concerns, distinguish personal knowledge from staff reporting, consult independent counsel, and decide that an item belongs in the unsworn lane. The process is not a memory contest or surprise examination.</w:t>
      </w:r>
    </w:p>
    <w:p>
      <w:pPr>
        <w:pStyle w:val="BodyText"/>
      </w:pPr>
      <w:r>
        <w:rPr>
          <w:rFonts w:ascii="Nimbus Sans" w:hAnsi="Nimbus Sans" w:eastAsia="Nimbus Sans" w:cs="Nimbus Sans"/>
        </w:rPr>
        <w:t xml:space="preserve">Voluntariness applies at four levels: the entire format, each question, the precise wording of each adopted statement, and publication. A participant may stop, qualify, state uncertainty, decline, or request counsel. DGG must not attach a dishonesty inference or a practical penalty to any choice.</w:t>
      </w:r>
    </w:p>
    <w:bookmarkEnd w:id="32"/>
    <w:bookmarkStart w:id="33" w:name="X18b1035fe54fffdbb0c6fed6df6b8d7e90b6b82"/>
    <w:p>
      <w:pPr>
        <w:pStyle w:val="Heading2"/>
      </w:pPr>
      <w:r>
        <w:rPr>
          <w:rFonts w:ascii="Nimbus Sans" w:hAnsi="Nimbus Sans" w:eastAsia="Nimbus Sans" w:cs="Nimbus Sans"/>
        </w:rPr>
        <w:t xml:space="preserve">4. Record architecture</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1900"/>
        <w:gridCol w:w="2580"/>
        <w:gridCol w:w="2700"/>
        <w:gridCol w:w="2180"/>
      </w:tblGrid>
      <w:tr>
        <w:trPr>
          <w:tblHeader w:val="true"/>
          <w:cantSplit w:val="true"/>
        </w:trPr>
        <w:tc>
          <w:tcPr>
            <w:tcW w:type="dxa" w:w="19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Record</w:t>
            </w:r>
          </w:p>
        </w:tc>
        <w:tc>
          <w:tcPr>
            <w:tcW w:type="dxa" w:w="25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Contents</w:t>
            </w:r>
          </w:p>
        </w:tc>
        <w:tc>
          <w:tcPr>
            <w:tcW w:type="dxa" w:w="27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Sworn status</w:t>
            </w:r>
          </w:p>
        </w:tc>
        <w:tc>
          <w:tcPr>
            <w:tcW w:type="dxa" w:w="21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Controller</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Canonical Sworn Record (CSR)</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Exact adopted statements, basis, qualifications, proposition index, signature, jurat</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Only identified adopted content is sworn</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Participant authors/adopts; custodian preserves; notary controls act/certificate</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Public Media Record (PMR)</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Interview, video, audio, transcript, commentary, source analysis, clips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Unsworn</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DGG editorial team, subject to release and publication controls</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Source packet</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Supporting and materially contrary sources, search record, source limits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Unsworn unless exact text is deliberately incorporated</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Fact editor</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Administration packet</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Invitation, consents, manifest, custody, incident and correction logs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Unsworn</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Assigned controllers</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Notary records</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Journal and any legally required notarial records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Separate; not part of CSR/PMR</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Notary under applicable law</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Counsel file</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Legal advice, sign-offs, assumptions, issue list</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Not part of public CSR; privilege is not guaranteed</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Counsel/client under engagement terms</w:t>
            </w:r>
          </w:p>
        </w:tc>
      </w:tr>
    </w:tbl>
    <w:p>
      <w:pPr>
        <w:pStyle w:val="BodyText"/>
      </w:pPr>
      <w:r>
        <w:rPr>
          <w:rFonts w:ascii="Nimbus Sans" w:hAnsi="Nimbus Sans" w:eastAsia="Nimbus Sans" w:cs="Nimbus Sans"/>
        </w:rPr>
        <w:t xml:space="preserve">The CSR must never incorporate the PMR or source packet by blanket reference. A later clip, caption, edit, or host statement cannot expand the oath.</w:t>
      </w:r>
    </w:p>
    <w:bookmarkEnd w:id="33"/>
    <w:bookmarkEnd w:id="34"/>
    <w:bookmarkStart w:id="59" w:name="X9c26b5e1cd5194d66437a2efd9c6533df9c29d6"/>
    <w:p>
      <w:pPr>
        <w:pStyle w:val="Heading1"/>
      </w:pPr>
      <w:r>
        <w:rPr>
          <w:rFonts w:ascii="Nimbus Sans" w:hAnsi="Nimbus Sans" w:eastAsia="Nimbus Sans" w:cs="Nimbus Sans"/>
        </w:rPr>
        <w:t xml:space="preserve">II. Government relationship and state-action boundary</w:t>
      </w:r>
    </w:p>
    <w:bookmarkStart w:id="40" w:name="X546c1f76fbfcb288ec5726c23fb1f2746d791a6"/>
    <w:p>
      <w:pPr>
        <w:pStyle w:val="Heading2"/>
      </w:pPr>
      <w:r>
        <w:rPr>
          <w:rFonts w:ascii="Nimbus Sans" w:hAnsi="Nimbus Sans" w:eastAsia="Nimbus Sans" w:cs="Nimbus Sans"/>
        </w:rPr>
        <w:t xml:space="preserve">5. Recommended Phase 1 position</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DGG is a private, voluntary media/research project with one regulated legal interface: an independent Washington-commissioned notary performs a discrete notarial act. The commission authorizes the notary; it does not make DGG state-sponsored, state-approved, or a government truth tribunal.</w:t>
      </w:r>
    </w:p>
    <w:p>
      <w:pPr>
        <w:pStyle w:val="FirstParagraph"/>
      </w:pPr>
      <w:r>
        <w:rPr>
          <w:rFonts w:ascii="Nimbus Sans" w:hAnsi="Nimbus Sans" w:eastAsia="Nimbus Sans" w:cs="Nimbus Sans"/>
        </w:rPr>
        <w:t xml:space="preserve">This is a fact-specific position, not a categorical immunity. State-action analysis focuses on the challenged conduct. The Supreme Court identifies limited routes such as performance of a traditional exclusive public function, government compulsion, and joint action. Licensing, public-interest purpose, regulation, and even a contract do not alone answer the question. Government coercion, significant encouragement, joint participation, or pervasive entwinement can change the result. See</w:t>
      </w:r>
      <w:r>
        <w:rPr>
          <w:rFonts w:ascii="Nimbus Sans" w:hAnsi="Nimbus Sans" w:eastAsia="Nimbus Sans" w:cs="Nimbus Sans"/>
        </w:rPr>
        <w:t xml:space="preserve"> </w:t>
      </w:r>
      <w:hyperlink r:id="rId35">
        <w:r>
          <w:rPr>
            <w:rStyle w:val="Hyperlink"/>
            <w:iCs/>
            <w:i/>
          </w:rPr>
          <w:t xml:space="preserve">Manhattan Community Access Corp. v. Halleck</w:t>
        </w:r>
      </w:hyperlink>
      <w:r>
        <w:rPr>
          <w:rFonts w:ascii="Nimbus Sans" w:hAnsi="Nimbus Sans" w:eastAsia="Nimbus Sans" w:cs="Nimbus Sans"/>
        </w:rPr>
        <w:t xml:space="preserve">,</w:t>
      </w:r>
      <w:r>
        <w:rPr>
          <w:rFonts w:ascii="Nimbus Sans" w:hAnsi="Nimbus Sans" w:eastAsia="Nimbus Sans" w:cs="Nimbus Sans"/>
        </w:rPr>
        <w:t xml:space="preserve"> </w:t>
      </w:r>
      <w:hyperlink r:id="rId36">
        <w:r>
          <w:rPr>
            <w:rStyle w:val="Hyperlink"/>
            <w:iCs/>
            <w:i/>
          </w:rPr>
          <w:t xml:space="preserve">Lugar v. Edmondson Oil Co.</w:t>
        </w:r>
      </w:hyperlink>
      <w:r>
        <w:rPr>
          <w:rFonts w:ascii="Nimbus Sans" w:hAnsi="Nimbus Sans" w:eastAsia="Nimbus Sans" w:cs="Nimbus Sans"/>
        </w:rPr>
        <w:t xml:space="preserve">,</w:t>
      </w:r>
      <w:r>
        <w:rPr>
          <w:rFonts w:ascii="Nimbus Sans" w:hAnsi="Nimbus Sans" w:eastAsia="Nimbus Sans" w:cs="Nimbus Sans"/>
        </w:rPr>
        <w:t xml:space="preserve"> </w:t>
      </w:r>
      <w:hyperlink r:id="rId37">
        <w:r>
          <w:rPr>
            <w:rStyle w:val="Hyperlink"/>
            <w:iCs/>
            <w:i/>
          </w:rPr>
          <w:t xml:space="preserve">Blum v. Yaretsky</w:t>
        </w:r>
      </w:hyperlink>
      <w:r>
        <w:rPr>
          <w:rFonts w:ascii="Nimbus Sans" w:hAnsi="Nimbus Sans" w:eastAsia="Nimbus Sans" w:cs="Nimbus Sans"/>
        </w:rPr>
        <w:t xml:space="preserve">,</w:t>
      </w:r>
      <w:r>
        <w:rPr>
          <w:rFonts w:ascii="Nimbus Sans" w:hAnsi="Nimbus Sans" w:eastAsia="Nimbus Sans" w:cs="Nimbus Sans"/>
        </w:rPr>
        <w:t xml:space="preserve"> </w:t>
      </w:r>
      <w:hyperlink r:id="rId38">
        <w:r>
          <w:rPr>
            <w:rStyle w:val="Hyperlink"/>
            <w:iCs/>
            <w:i/>
          </w:rPr>
          <w:t xml:space="preserve">Rendell-Baker v. Kohn</w:t>
        </w:r>
      </w:hyperlink>
      <w:r>
        <w:rPr>
          <w:rFonts w:ascii="Nimbus Sans" w:hAnsi="Nimbus Sans" w:eastAsia="Nimbus Sans" w:cs="Nimbus Sans"/>
        </w:rPr>
        <w:t xml:space="preserve">, and</w:t>
      </w:r>
      <w:r>
        <w:rPr>
          <w:rFonts w:ascii="Nimbus Sans" w:hAnsi="Nimbus Sans" w:eastAsia="Nimbus Sans" w:cs="Nimbus Sans"/>
        </w:rPr>
        <w:t xml:space="preserve"> </w:t>
      </w:r>
      <w:hyperlink r:id="rId39">
        <w:r>
          <w:rPr>
            <w:rStyle w:val="Hyperlink"/>
            <w:iCs/>
            <w:i/>
          </w:rPr>
          <w:t xml:space="preserve">Brentwood Academy v. Tennessee Secondary School Athletic Ass’n</w:t>
        </w:r>
      </w:hyperlink>
      <w:r>
        <w:rPr>
          <w:rFonts w:ascii="Nimbus Sans" w:hAnsi="Nimbus Sans" w:eastAsia="Nimbus Sans" w:cs="Nimbus Sans"/>
        </w:rPr>
        <w:t xml:space="preserve">.</w:t>
      </w:r>
    </w:p>
    <w:bookmarkEnd w:id="40"/>
    <w:bookmarkStart w:id="41" w:name="X894dad395e4461d8cd1a3938472c81e5dd1af73"/>
    <w:p>
      <w:pPr>
        <w:pStyle w:val="Heading2"/>
      </w:pPr>
      <w:r>
        <w:rPr>
          <w:rFonts w:ascii="Nimbus Sans" w:hAnsi="Nimbus Sans" w:eastAsia="Nimbus Sans" w:cs="Nimbus Sans"/>
        </w:rPr>
        <w:t xml:space="preserve">6. Government-connection matrix</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1900"/>
        <w:gridCol w:w="2580"/>
        <w:gridCol w:w="2700"/>
        <w:gridCol w:w="2180"/>
      </w:tblGrid>
      <w:tr>
        <w:trPr>
          <w:tblHeader w:val="true"/>
          <w:cantSplit w:val="true"/>
        </w:trPr>
        <w:tc>
          <w:tcPr>
            <w:tcW w:type="dxa" w:w="19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Configuration</w:t>
            </w:r>
          </w:p>
        </w:tc>
        <w:tc>
          <w:tcPr>
            <w:tcW w:type="dxa" w:w="25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Federal constitutional risk</w:t>
            </w:r>
          </w:p>
        </w:tc>
        <w:tc>
          <w:tcPr>
            <w:tcW w:type="dxa" w:w="27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Public-records/ethics risk</w:t>
            </w:r>
          </w:p>
        </w:tc>
        <w:tc>
          <w:tcPr>
            <w:tcW w:type="dxa" w:w="21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Disposition</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Independent notary; private DGG questions, custody, funding, and publication</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Low for DGG editorial conduct on present assumptions; notarial conduct remains state-authorized</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Low if no agency prepares, owns, uses, or retains records</w:t>
            </w:r>
          </w:p>
        </w:tc>
        <w:tc>
          <w:tcPr>
            <w:tcW w:type="dxa" w:w="218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Recommended private posture</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Public official participates solely in personal or campaign capacity</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Capacity and campaign facts may create disputes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Medium if public staff, devices, records, or official business are involved</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Written capacity statement and separate ethics/campaign advice</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Public venue, staff, logo, equipment, official promotion, or in-kind support</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Joint-action/endorsement appearance rises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Medium to high</w:t>
            </w:r>
          </w:p>
        </w:tc>
        <w:tc>
          <w:tcPr>
            <w:tcW w:type="dxa" w:w="218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Prohibited in Phase 1</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Government grant or service contract</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Contract alone not dispositive; direction and deliverables matter</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Procurement, audit, retention, disclosure, and functional-equivalency risk</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New memorandum before acceptance</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Agency selects participants, questions, sources, labels, or release timing</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High joint-action/compulsion risk</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High</w:t>
            </w:r>
          </w:p>
        </w:tc>
        <w:tc>
          <w:tcPr>
            <w:tcW w:type="dxa" w:w="218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Prohibited absent redesigned public program</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Participation or answer affects employment, benefit, license, contract, access, candidacy, or investigation</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Very high speech, unconstitutional-conditions, due-process, equal-protection, and section 1983 risk</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High</w:t>
            </w:r>
          </w:p>
        </w:tc>
        <w:tc>
          <w:tcPr>
            <w:tcW w:type="dxa" w:w="2180"/>
            <w:tcMar>
              <w:top w:w="80" w:type="dxa"/>
              <w:start w:w="120" w:type="dxa"/>
              <w:bottom w:w="80" w:type="dxa"/>
              <w:end w:w="120" w:type="dxa"/>
            </w:tcMar>
            <w:vAlign w:val="center"/>
          </w:tcPr>
          <w:p>
            <w:pPr>
              <w:pStyle w:val="Compact"/>
              <w:spacing w:before="0" w:after="50" w:line="252" w:lineRule="auto"/>
              <w:jc w:val="left"/>
            </w:pPr>
            <w:r>
              <w:rPr>
                <w:bCs/>
                <w:rFonts w:ascii="Nimbus Sans" w:hAnsi="Nimbus Sans" w:eastAsia="Nimbus Sans" w:cs="Nimbus Sans"/>
                <w:b/>
                <w:color w:val="111111"/>
                <w:sz w:val="18"/>
              </w:rPr>
              <w:t xml:space="preserve">Absolute prohibition for this design</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Standing law-enforcement referral, live feed, raw-data access, or targeted collection request</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High joint-action and privacy/search risk</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High</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No arrangement; valid legal process only under counsel</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Government-created or government-dominated entity/advisory board</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High entwinement risk</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High functional-equivalency/OPMA risk</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New entity-wide memorandum</w:t>
            </w:r>
          </w:p>
        </w:tc>
      </w:tr>
    </w:tbl>
    <w:bookmarkEnd w:id="41"/>
    <w:bookmarkStart w:id="51" w:name="X6ab8aa62e9e58e8abdd33adaa9577564bb49bf0"/>
    <w:p>
      <w:pPr>
        <w:pStyle w:val="Heading2"/>
      </w:pPr>
      <w:r>
        <w:rPr>
          <w:rFonts w:ascii="Nimbus Sans" w:hAnsi="Nimbus Sans" w:eastAsia="Nimbus Sans" w:cs="Nimbus Sans"/>
        </w:rPr>
        <w:t xml:space="preserve">7. Washington public-records and public-resource consequences</w:t>
      </w:r>
    </w:p>
    <w:p>
      <w:pPr>
        <w:pStyle w:val="FirstParagraph"/>
      </w:pPr>
      <w:r>
        <w:rPr>
          <w:rFonts w:ascii="Nimbus Sans" w:hAnsi="Nimbus Sans" w:eastAsia="Nimbus Sans" w:cs="Nimbus Sans"/>
        </w:rPr>
        <w:t xml:space="preserve">DGG is not an agency merely because it uses a commissioned notary. But the Washington Public Records Act covers writings relating to government conduct that an agency prepares, owns, uses, or retains. Official-capacity messages can be public records even on a private device.</w:t>
      </w:r>
      <w:r>
        <w:rPr>
          <w:rFonts w:ascii="Nimbus Sans" w:hAnsi="Nimbus Sans" w:eastAsia="Nimbus Sans" w:cs="Nimbus Sans"/>
        </w:rPr>
        <w:t xml:space="preserve"> </w:t>
      </w:r>
      <w:hyperlink r:id="rId42">
        <w:r>
          <w:rPr>
            <w:rStyle w:val="Hyperlink"/>
          </w:rPr>
          <w:t xml:space="preserve">Chapter 42.56 RCW</w:t>
        </w:r>
      </w:hyperlink>
      <w:r>
        <w:rPr>
          <w:rFonts w:ascii="Nimbus Sans" w:hAnsi="Nimbus Sans" w:eastAsia="Nimbus Sans" w:cs="Nimbus Sans"/>
        </w:rPr>
        <w:t xml:space="preserve">;</w:t>
      </w:r>
      <w:r>
        <w:rPr>
          <w:rFonts w:ascii="Nimbus Sans" w:hAnsi="Nimbus Sans" w:eastAsia="Nimbus Sans" w:cs="Nimbus Sans"/>
        </w:rPr>
        <w:t xml:space="preserve"> </w:t>
      </w:r>
      <w:hyperlink r:id="rId43">
        <w:r>
          <w:rPr>
            <w:rStyle w:val="Hyperlink"/>
            <w:iCs/>
            <w:i/>
          </w:rPr>
          <w:t xml:space="preserve">Nissen v. Pierce County</w:t>
        </w:r>
      </w:hyperlink>
      <w:r>
        <w:rPr>
          <w:rFonts w:ascii="Nimbus Sans" w:hAnsi="Nimbus Sans" w:eastAsia="Nimbus Sans" w:cs="Nimbus Sans"/>
        </w:rPr>
        <w:t xml:space="preserve">.</w:t>
      </w:r>
    </w:p>
    <w:p>
      <w:pPr>
        <w:pStyle w:val="BodyText"/>
      </w:pPr>
      <w:r>
        <w:rPr>
          <w:rFonts w:ascii="Nimbus Sans" w:hAnsi="Nimbus Sans" w:eastAsia="Nimbus Sans" w:cs="Nimbus Sans"/>
        </w:rPr>
        <w:t xml:space="preserve">A private entity may also become the functional equivalent of an agency for disclosure purposes. The Washington Supreme Court’s 2025</w:t>
      </w:r>
      <w:r>
        <w:rPr>
          <w:rFonts w:ascii="Nimbus Sans" w:hAnsi="Nimbus Sans" w:eastAsia="Nimbus Sans" w:cs="Nimbus Sans"/>
        </w:rPr>
        <w:t xml:space="preserve"> </w:t>
      </w:r>
      <w:r>
        <w:rPr>
          <w:iCs/>
          <w:rFonts w:ascii="Nimbus Sans" w:hAnsi="Nimbus Sans" w:eastAsia="Nimbus Sans" w:cs="Nimbus Sans"/>
          <w:i/>
        </w:rPr>
        <w:t xml:space="preserve">Horvath</w:t>
      </w:r>
      <w:r>
        <w:rPr>
          <w:rFonts w:ascii="Nimbus Sans" w:hAnsi="Nimbus Sans" w:eastAsia="Nimbus Sans" w:cs="Nimbus Sans"/>
        </w:rPr>
        <w:t xml:space="preserve"> </w:t>
      </w:r>
      <w:r>
        <w:rPr>
          <w:rFonts w:ascii="Nimbus Sans" w:hAnsi="Nimbus Sans" w:eastAsia="Nimbus Sans" w:cs="Nimbus Sans"/>
        </w:rPr>
        <w:t xml:space="preserve">opinion applies the nonexclusive</w:t>
      </w:r>
      <w:r>
        <w:rPr>
          <w:rFonts w:ascii="Nimbus Sans" w:hAnsi="Nimbus Sans" w:eastAsia="Nimbus Sans" w:cs="Nimbus Sans"/>
        </w:rPr>
        <w:t xml:space="preserve"> </w:t>
      </w:r>
      <w:r>
        <w:rPr>
          <w:iCs/>
          <w:rFonts w:ascii="Nimbus Sans" w:hAnsi="Nimbus Sans" w:eastAsia="Nimbus Sans" w:cs="Nimbus Sans"/>
          <w:i/>
        </w:rPr>
        <w:t xml:space="preserve">Telford</w:t>
      </w:r>
      <w:r>
        <w:rPr>
          <w:rFonts w:ascii="Nimbus Sans" w:hAnsi="Nimbus Sans" w:eastAsia="Nimbus Sans" w:cs="Nimbus Sans"/>
        </w:rPr>
        <w:t xml:space="preserve"> </w:t>
      </w:r>
      <w:r>
        <w:rPr>
          <w:rFonts w:ascii="Nimbus Sans" w:hAnsi="Nimbus Sans" w:eastAsia="Nimbus Sans" w:cs="Nimbus Sans"/>
        </w:rPr>
        <w:t xml:space="preserve">factors—governmental function, public funding, government involvement, and government creation—along with the PRA’s transparency purpose.</w:t>
      </w:r>
      <w:r>
        <w:rPr>
          <w:rFonts w:ascii="Nimbus Sans" w:hAnsi="Nimbus Sans" w:eastAsia="Nimbus Sans" w:cs="Nimbus Sans"/>
        </w:rPr>
        <w:t xml:space="preserve"> </w:t>
      </w:r>
      <w:hyperlink r:id="rId44">
        <w:r>
          <w:rPr>
            <w:rStyle w:val="Hyperlink"/>
            <w:iCs/>
            <w:i/>
          </w:rPr>
          <w:t xml:space="preserve">Horvath v. DBIA Services</w:t>
        </w:r>
      </w:hyperlink>
      <w:r>
        <w:rPr>
          <w:rFonts w:ascii="Nimbus Sans" w:hAnsi="Nimbus Sans" w:eastAsia="Nimbus Sans" w:cs="Nimbus Sans"/>
        </w:rPr>
        <w:t xml:space="preserve">. Federal state action and Washington functional-equivalency are different tests; failure of one does not decide the other.</w:t>
      </w:r>
    </w:p>
    <w:p>
      <w:pPr>
        <w:pStyle w:val="BodyText"/>
      </w:pPr>
      <w:r>
        <w:rPr>
          <w:rFonts w:ascii="Nimbus Sans" w:hAnsi="Nimbus Sans" w:eastAsia="Nimbus Sans" w:cs="Nimbus Sans"/>
        </w:rPr>
        <w:t xml:space="preserve">Official participation may also implicate:</w:t>
      </w:r>
    </w:p>
    <w:p>
      <w:pPr>
        <w:numPr>
          <w:ilvl w:val="0"/>
          <w:numId w:val="1004"/>
        </w:numPr>
        <w:pStyle w:val="Compact"/>
        <w:spacing w:after="120" w:line="280" w:lineRule="auto"/>
      </w:pPr>
      <w:r>
        <w:rPr>
          <w:rFonts w:ascii="Nimbus Sans" w:hAnsi="Nimbus Sans" w:eastAsia="Nimbus Sans" w:cs="Nimbus Sans"/>
        </w:rPr>
        <w:t xml:space="preserve">state ethics and use of public resources under</w:t>
      </w:r>
      <w:r>
        <w:rPr>
          <w:rFonts w:ascii="Nimbus Sans" w:hAnsi="Nimbus Sans" w:eastAsia="Nimbus Sans" w:cs="Nimbus Sans"/>
        </w:rPr>
        <w:t xml:space="preserve"> </w:t>
      </w:r>
      <w:hyperlink r:id="rId45">
        <w:r>
          <w:rPr>
            <w:rStyle w:val="Hyperlink"/>
          </w:rPr>
          <w:t xml:space="preserve">chapter 42.52 RCW</w:t>
        </w:r>
      </w:hyperlink>
      <w:r>
        <w:rPr>
          <w:rFonts w:ascii="Nimbus Sans" w:hAnsi="Nimbus Sans" w:eastAsia="Nimbus Sans" w:cs="Nimbus Sans"/>
        </w:rPr>
        <w:t xml:space="preserve">;</w:t>
      </w:r>
    </w:p>
    <w:p>
      <w:pPr>
        <w:numPr>
          <w:ilvl w:val="0"/>
          <w:numId w:val="1004"/>
        </w:numPr>
        <w:pStyle w:val="Compact"/>
        <w:spacing w:after="120" w:line="280" w:lineRule="auto"/>
      </w:pPr>
      <w:r>
        <w:rPr>
          <w:rFonts w:ascii="Nimbus Sans" w:hAnsi="Nimbus Sans" w:eastAsia="Nimbus Sans" w:cs="Nimbus Sans"/>
        </w:rPr>
        <w:t xml:space="preserve">municipal conflicts and special privileges under</w:t>
      </w:r>
      <w:r>
        <w:rPr>
          <w:rFonts w:ascii="Nimbus Sans" w:hAnsi="Nimbus Sans" w:eastAsia="Nimbus Sans" w:cs="Nimbus Sans"/>
        </w:rPr>
        <w:t xml:space="preserve"> </w:t>
      </w:r>
      <w:hyperlink r:id="rId46">
        <w:r>
          <w:rPr>
            <w:rStyle w:val="Hyperlink"/>
          </w:rPr>
          <w:t xml:space="preserve">chapter 42.23 RCW</w:t>
        </w:r>
      </w:hyperlink>
      <w:r>
        <w:rPr>
          <w:rFonts w:ascii="Nimbus Sans" w:hAnsi="Nimbus Sans" w:eastAsia="Nimbus Sans" w:cs="Nimbus Sans"/>
        </w:rPr>
        <w:t xml:space="preserve">;</w:t>
      </w:r>
    </w:p>
    <w:p>
      <w:pPr>
        <w:numPr>
          <w:ilvl w:val="0"/>
          <w:numId w:val="1004"/>
        </w:numPr>
        <w:pStyle w:val="Compact"/>
        <w:spacing w:after="120" w:line="280" w:lineRule="auto"/>
      </w:pPr>
      <w:r>
        <w:rPr>
          <w:rFonts w:ascii="Nimbus Sans" w:hAnsi="Nimbus Sans" w:eastAsia="Nimbus Sans" w:cs="Nimbus Sans"/>
        </w:rPr>
        <w:t xml:space="preserve">state procurement and contracting under</w:t>
      </w:r>
      <w:r>
        <w:rPr>
          <w:rFonts w:ascii="Nimbus Sans" w:hAnsi="Nimbus Sans" w:eastAsia="Nimbus Sans" w:cs="Nimbus Sans"/>
        </w:rPr>
        <w:t xml:space="preserve"> </w:t>
      </w:r>
      <w:hyperlink r:id="rId47">
        <w:r>
          <w:rPr>
            <w:rStyle w:val="Hyperlink"/>
          </w:rPr>
          <w:t xml:space="preserve">chapter 39.26 RCW</w:t>
        </w:r>
      </w:hyperlink>
      <w:r>
        <w:rPr>
          <w:rFonts w:ascii="Nimbus Sans" w:hAnsi="Nimbus Sans" w:eastAsia="Nimbus Sans" w:cs="Nimbus Sans"/>
        </w:rPr>
        <w:t xml:space="preserve">;</w:t>
      </w:r>
    </w:p>
    <w:p>
      <w:pPr>
        <w:numPr>
          <w:ilvl w:val="0"/>
          <w:numId w:val="1004"/>
        </w:numPr>
        <w:pStyle w:val="Compact"/>
        <w:spacing w:after="120" w:line="280" w:lineRule="auto"/>
      </w:pPr>
      <w:r>
        <w:rPr>
          <w:rFonts w:ascii="Nimbus Sans" w:hAnsi="Nimbus Sans" w:eastAsia="Nimbus Sans" w:cs="Nimbus Sans"/>
        </w:rPr>
        <w:t xml:space="preserve">data-sharing agreements, security classification, and audit rights, including</w:t>
      </w:r>
      <w:r>
        <w:rPr>
          <w:rFonts w:ascii="Nimbus Sans" w:hAnsi="Nimbus Sans" w:eastAsia="Nimbus Sans" w:cs="Nimbus Sans"/>
        </w:rPr>
        <w:t xml:space="preserve"> </w:t>
      </w:r>
      <w:hyperlink r:id="rId48">
        <w:r>
          <w:rPr>
            <w:rStyle w:val="Hyperlink"/>
          </w:rPr>
          <w:t xml:space="preserve">RCW 39.26.340</w:t>
        </w:r>
      </w:hyperlink>
      <w:r>
        <w:rPr>
          <w:rFonts w:ascii="Nimbus Sans" w:hAnsi="Nimbus Sans" w:eastAsia="Nimbus Sans" w:cs="Nimbus Sans"/>
        </w:rPr>
        <w:t xml:space="preserve">;</w:t>
      </w:r>
    </w:p>
    <w:p>
      <w:pPr>
        <w:numPr>
          <w:ilvl w:val="0"/>
          <w:numId w:val="1004"/>
        </w:numPr>
        <w:pStyle w:val="Compact"/>
        <w:spacing w:after="120" w:line="280" w:lineRule="auto"/>
      </w:pPr>
      <w:r>
        <w:rPr>
          <w:rFonts w:ascii="Nimbus Sans" w:hAnsi="Nimbus Sans" w:eastAsia="Nimbus Sans" w:cs="Nimbus Sans"/>
        </w:rPr>
        <w:t xml:space="preserve">public retention under</w:t>
      </w:r>
      <w:r>
        <w:rPr>
          <w:rFonts w:ascii="Nimbus Sans" w:hAnsi="Nimbus Sans" w:eastAsia="Nimbus Sans" w:cs="Nimbus Sans"/>
        </w:rPr>
        <w:t xml:space="preserve"> </w:t>
      </w:r>
      <w:hyperlink r:id="rId49">
        <w:r>
          <w:rPr>
            <w:rStyle w:val="Hyperlink"/>
          </w:rPr>
          <w:t xml:space="preserve">chapter 40.14 RCW</w:t>
        </w:r>
      </w:hyperlink>
      <w:r>
        <w:rPr>
          <w:rFonts w:ascii="Nimbus Sans" w:hAnsi="Nimbus Sans" w:eastAsia="Nimbus Sans" w:cs="Nimbus Sans"/>
        </w:rPr>
        <w:t xml:space="preserve">; and</w:t>
      </w:r>
    </w:p>
    <w:p>
      <w:pPr>
        <w:numPr>
          <w:ilvl w:val="0"/>
          <w:numId w:val="1004"/>
        </w:numPr>
        <w:pStyle w:val="Compact"/>
        <w:spacing w:after="120" w:line="280" w:lineRule="auto"/>
      </w:pPr>
      <w:r>
        <w:rPr>
          <w:rFonts w:ascii="Nimbus Sans" w:hAnsi="Nimbus Sans" w:eastAsia="Nimbus Sans" w:cs="Nimbus Sans"/>
        </w:rPr>
        <w:t xml:space="preserve">open meetings if a public body is created or performs delegated public work under</w:t>
      </w:r>
      <w:r>
        <w:rPr>
          <w:rFonts w:ascii="Nimbus Sans" w:hAnsi="Nimbus Sans" w:eastAsia="Nimbus Sans" w:cs="Nimbus Sans"/>
        </w:rPr>
        <w:t xml:space="preserve"> </w:t>
      </w:r>
      <w:hyperlink r:id="rId50">
        <w:r>
          <w:rPr>
            <w:rStyle w:val="Hyperlink"/>
          </w:rPr>
          <w:t xml:space="preserve">chapter 42.30 RCW</w:t>
        </w:r>
      </w:hyperlink>
      <w:r>
        <w:rPr>
          <w:rFonts w:ascii="Nimbus Sans" w:hAnsi="Nimbus Sans" w:eastAsia="Nimbus Sans" w:cs="Nimbus Sans"/>
        </w:rPr>
        <w:t xml:space="preserve">.</w:t>
      </w:r>
    </w:p>
    <w:bookmarkEnd w:id="51"/>
    <w:bookmarkStart w:id="52" w:name="X93c5dcea55b6de6b9ed5f35cec3d49c6882170b"/>
    <w:p>
      <w:pPr>
        <w:pStyle w:val="Heading2"/>
      </w:pPr>
      <w:r>
        <w:rPr>
          <w:rFonts w:ascii="Nimbus Sans" w:hAnsi="Nimbus Sans" w:eastAsia="Nimbus Sans" w:cs="Nimbus Sans"/>
        </w:rPr>
        <w:t xml:space="preserve">8. Phase 1 government-separation rules</w:t>
      </w:r>
    </w:p>
    <w:p>
      <w:pPr>
        <w:numPr>
          <w:ilvl w:val="0"/>
          <w:numId w:val="1005"/>
        </w:numPr>
        <w:pStyle w:val="Compact"/>
        <w:spacing w:after="120" w:line="280" w:lineRule="auto"/>
      </w:pPr>
      <w:r>
        <w:rPr>
          <w:rFonts w:ascii="Nimbus Sans" w:hAnsi="Nimbus Sans" w:eastAsia="Nimbus Sans" w:cs="Nimbus Sans"/>
        </w:rPr>
        <w:t xml:space="preserve">Use this exact statement on forms and publications:</w:t>
      </w:r>
      <w:r>
        <w:rPr>
          <w:rFonts w:ascii="Nimbus Sans" w:hAnsi="Nimbus Sans" w:eastAsia="Nimbus Sans" w:cs="Nimbus Sans"/>
        </w:rPr>
        <w:t xml:space="preserve"> </w:t>
      </w:r>
      <w:r>
        <w:rPr>
          <w:bCs/>
          <w:rFonts w:ascii="Nimbus Sans" w:hAnsi="Nimbus Sans" w:eastAsia="Nimbus Sans" w:cs="Nimbus Sans"/>
          <w:b/>
        </w:rPr>
        <w:t xml:space="preserve">“DGG is a private project. No government agency sponsors, approves, or verifies this content.”</w:t>
      </w:r>
    </w:p>
    <w:p>
      <w:pPr>
        <w:numPr>
          <w:ilvl w:val="0"/>
          <w:numId w:val="1005"/>
        </w:numPr>
        <w:pStyle w:val="Compact"/>
        <w:spacing w:after="120" w:line="280" w:lineRule="auto"/>
      </w:pPr>
      <w:r>
        <w:rPr>
          <w:rFonts w:ascii="Nimbus Sans" w:hAnsi="Nimbus Sans" w:eastAsia="Nimbus Sans" w:cs="Nimbus Sans"/>
        </w:rPr>
        <w:t xml:space="preserve">Describe the officer only as an</w:t>
      </w:r>
      <w:r>
        <w:rPr>
          <w:rFonts w:ascii="Nimbus Sans" w:hAnsi="Nimbus Sans" w:eastAsia="Nimbus Sans" w:cs="Nimbus Sans"/>
        </w:rPr>
        <w:t xml:space="preserve"> </w:t>
      </w:r>
      <w:r>
        <w:rPr>
          <w:bCs/>
          <w:rFonts w:ascii="Nimbus Sans" w:hAnsi="Nimbus Sans" w:eastAsia="Nimbus Sans" w:cs="Nimbus Sans"/>
          <w:b/>
        </w:rPr>
        <w:t xml:space="preserve">independent Washington-commissioned notary</w:t>
      </w:r>
      <w:r>
        <w:rPr>
          <w:rFonts w:ascii="Nimbus Sans" w:hAnsi="Nimbus Sans" w:eastAsia="Nimbus Sans" w:cs="Nimbus Sans"/>
        </w:rPr>
        <w:t xml:space="preserve">.</w:t>
      </w:r>
    </w:p>
    <w:p>
      <w:pPr>
        <w:numPr>
          <w:ilvl w:val="0"/>
          <w:numId w:val="1005"/>
        </w:numPr>
        <w:pStyle w:val="Compact"/>
        <w:spacing w:after="120" w:line="280" w:lineRule="auto"/>
      </w:pPr>
      <w:r>
        <w:rPr>
          <w:rFonts w:ascii="Nimbus Sans" w:hAnsi="Nimbus Sans" w:eastAsia="Nimbus Sans" w:cs="Nimbus Sans"/>
        </w:rPr>
        <w:t xml:space="preserve">Keep the notary outside question selection, source assessment, editorial scoring, participant ranking, and publication.</w:t>
      </w:r>
    </w:p>
    <w:p>
      <w:pPr>
        <w:numPr>
          <w:ilvl w:val="0"/>
          <w:numId w:val="1005"/>
        </w:numPr>
        <w:pStyle w:val="Compact"/>
        <w:spacing w:after="120" w:line="280" w:lineRule="auto"/>
      </w:pPr>
      <w:r>
        <w:rPr>
          <w:rFonts w:ascii="Nimbus Sans" w:hAnsi="Nimbus Sans" w:eastAsia="Nimbus Sans" w:cs="Nimbus Sans"/>
        </w:rPr>
        <w:t xml:space="preserve">Use no government seal, agency logo, official account, government venue, public staff, or public equipment.</w:t>
      </w:r>
    </w:p>
    <w:p>
      <w:pPr>
        <w:numPr>
          <w:ilvl w:val="0"/>
          <w:numId w:val="1005"/>
        </w:numPr>
        <w:pStyle w:val="Compact"/>
        <w:spacing w:after="120" w:line="280" w:lineRule="auto"/>
      </w:pPr>
      <w:r>
        <w:rPr>
          <w:rFonts w:ascii="Nimbus Sans" w:hAnsi="Nimbus Sans" w:eastAsia="Nimbus Sans" w:cs="Nimbus Sans"/>
        </w:rPr>
        <w:t xml:space="preserve">Accept no public grant, contract, in-kind support, data feed, or referral arrangement in Phase 1.</w:t>
      </w:r>
    </w:p>
    <w:p>
      <w:pPr>
        <w:numPr>
          <w:ilvl w:val="0"/>
          <w:numId w:val="1005"/>
        </w:numPr>
        <w:pStyle w:val="Compact"/>
        <w:spacing w:after="120" w:line="280" w:lineRule="auto"/>
      </w:pPr>
      <w:r>
        <w:rPr>
          <w:rFonts w:ascii="Nimbus Sans" w:hAnsi="Nimbus Sans" w:eastAsia="Nimbus Sans" w:cs="Nimbus Sans"/>
        </w:rPr>
        <w:t xml:space="preserve">Permit no agency to choose participants, propositions, sources, labels, or release timing.</w:t>
      </w:r>
    </w:p>
    <w:p>
      <w:pPr>
        <w:numPr>
          <w:ilvl w:val="0"/>
          <w:numId w:val="1005"/>
        </w:numPr>
        <w:pStyle w:val="Compact"/>
        <w:spacing w:after="120" w:line="280" w:lineRule="auto"/>
      </w:pPr>
      <w:r>
        <w:rPr>
          <w:rFonts w:ascii="Nimbus Sans" w:hAnsi="Nimbus Sans" w:eastAsia="Nimbus Sans" w:cs="Nimbus Sans"/>
        </w:rPr>
        <w:t xml:space="preserve">Create no consequence for refusal, qualification, correction, withdrawal, or uncertainty.</w:t>
      </w:r>
    </w:p>
    <w:p>
      <w:pPr>
        <w:numPr>
          <w:ilvl w:val="0"/>
          <w:numId w:val="1005"/>
        </w:numPr>
        <w:pStyle w:val="Compact"/>
        <w:spacing w:after="120" w:line="280" w:lineRule="auto"/>
      </w:pPr>
      <w:r>
        <w:rPr>
          <w:rFonts w:ascii="Nimbus Sans" w:hAnsi="Nimbus Sans" w:eastAsia="Nimbus Sans" w:cs="Nimbus Sans"/>
        </w:rPr>
        <w:t xml:space="preserve">Maintain separate DGG, participant, counsel, and notary records.</w:t>
      </w:r>
    </w:p>
    <w:p>
      <w:pPr>
        <w:numPr>
          <w:ilvl w:val="0"/>
          <w:numId w:val="1005"/>
        </w:numPr>
        <w:pStyle w:val="Compact"/>
        <w:spacing w:after="120" w:line="280" w:lineRule="auto"/>
      </w:pPr>
      <w:r>
        <w:rPr>
          <w:rFonts w:ascii="Nimbus Sans" w:hAnsi="Nimbus Sans" w:eastAsia="Nimbus Sans" w:cs="Nimbus Sans"/>
        </w:rPr>
        <w:t xml:space="preserve">Promise no absolute confidentiality against subpoena, warrant, court order, discovery, or later public-record status.</w:t>
      </w:r>
    </w:p>
    <w:p>
      <w:pPr>
        <w:numPr>
          <w:ilvl w:val="0"/>
          <w:numId w:val="1005"/>
        </w:numPr>
        <w:pStyle w:val="Compact"/>
        <w:spacing w:after="120" w:line="280" w:lineRule="auto"/>
      </w:pPr>
      <w:r>
        <w:rPr>
          <w:rFonts w:ascii="Nimbus Sans" w:hAnsi="Nimbus Sans" w:eastAsia="Nimbus Sans" w:cs="Nimbus Sans"/>
        </w:rPr>
        <w:t xml:space="preserve">Allow government access only through valid legal process or a separately approved agreement after a new memorandum.</w:t>
      </w:r>
    </w:p>
    <w:bookmarkEnd w:id="52"/>
    <w:bookmarkStart w:id="58" w:name="Xb714b6104b802192871ffdac6e444abd1eebb53"/>
    <w:p>
      <w:pPr>
        <w:pStyle w:val="Heading2"/>
      </w:pPr>
      <w:r>
        <w:rPr>
          <w:rFonts w:ascii="Nimbus Sans" w:hAnsi="Nimbus Sans" w:eastAsia="Nimbus Sans" w:cs="Nimbus Sans"/>
        </w:rPr>
        <w:t xml:space="preserve">9. Automatic new-memorandum triggers</w:t>
      </w:r>
    </w:p>
    <w:p>
      <w:pPr>
        <w:pStyle w:val="FirstParagraph"/>
      </w:pPr>
      <w:r>
        <w:rPr>
          <w:rFonts w:ascii="Nimbus Sans" w:hAnsi="Nimbus Sans" w:eastAsia="Nimbus Sans" w:cs="Nimbus Sans"/>
        </w:rPr>
        <w:t xml:space="preserve">A fresh signed legal review is required before accepting public money; contracting with an agency or public university; transferring identifiable records to government; involving a public employee in official capacity; co-branding with government; forming a public-official advisory board; allowing an agency to direct content; connecting participation to any government consequence; creating a referral/data-access arrangement; or claiming official status, evidentiary effect, endorsement, or government verification.</w:t>
      </w:r>
    </w:p>
    <w:p>
      <w:pPr>
        <w:pStyle w:val="BodyText"/>
      </w:pPr>
      <w:r>
        <w:rPr>
          <w:rFonts w:ascii="Nimbus Sans" w:hAnsi="Nimbus Sans" w:eastAsia="Nimbus Sans" w:cs="Nimbus Sans"/>
        </w:rPr>
        <w:t xml:space="preserve">If government becomes involved, counsel must separately analyze the First Amendment, unconstitutional conditions, due process, equal protection, privacy, procurement, records, ethics, disability access, and remedies. A government “truth” or refusal label would be especially vulnerable. See</w:t>
      </w:r>
      <w:r>
        <w:rPr>
          <w:rFonts w:ascii="Nimbus Sans" w:hAnsi="Nimbus Sans" w:eastAsia="Nimbus Sans" w:cs="Nimbus Sans"/>
        </w:rPr>
        <w:t xml:space="preserve"> </w:t>
      </w:r>
      <w:hyperlink r:id="rId53">
        <w:r>
          <w:rPr>
            <w:rStyle w:val="Hyperlink"/>
            <w:iCs/>
            <w:i/>
          </w:rPr>
          <w:t xml:space="preserve">United States v. Alvarez</w:t>
        </w:r>
      </w:hyperlink>
      <w:r>
        <w:rPr>
          <w:rFonts w:ascii="Nimbus Sans" w:hAnsi="Nimbus Sans" w:eastAsia="Nimbus Sans" w:cs="Nimbus Sans"/>
        </w:rPr>
        <w:t xml:space="preserve">,</w:t>
      </w:r>
      <w:r>
        <w:rPr>
          <w:rFonts w:ascii="Nimbus Sans" w:hAnsi="Nimbus Sans" w:eastAsia="Nimbus Sans" w:cs="Nimbus Sans"/>
        </w:rPr>
        <w:t xml:space="preserve"> </w:t>
      </w:r>
      <w:hyperlink r:id="rId54">
        <w:r>
          <w:rPr>
            <w:rStyle w:val="Hyperlink"/>
            <w:iCs/>
            <w:i/>
          </w:rPr>
          <w:t xml:space="preserve">Agency for International Development v. Alliance for Open Society International</w:t>
        </w:r>
      </w:hyperlink>
      <w:r>
        <w:rPr>
          <w:rFonts w:ascii="Nimbus Sans" w:hAnsi="Nimbus Sans" w:eastAsia="Nimbus Sans" w:cs="Nimbus Sans"/>
        </w:rPr>
        <w:t xml:space="preserve">,</w:t>
      </w:r>
      <w:r>
        <w:rPr>
          <w:rFonts w:ascii="Nimbus Sans" w:hAnsi="Nimbus Sans" w:eastAsia="Nimbus Sans" w:cs="Nimbus Sans"/>
        </w:rPr>
        <w:t xml:space="preserve"> </w:t>
      </w:r>
      <w:hyperlink r:id="rId55">
        <w:r>
          <w:rPr>
            <w:rStyle w:val="Hyperlink"/>
            <w:iCs/>
            <w:i/>
          </w:rPr>
          <w:t xml:space="preserve">Paul v. Davis</w:t>
        </w:r>
      </w:hyperlink>
      <w:r>
        <w:rPr>
          <w:rFonts w:ascii="Nimbus Sans" w:hAnsi="Nimbus Sans" w:eastAsia="Nimbus Sans" w:cs="Nimbus Sans"/>
        </w:rPr>
        <w:t xml:space="preserve">,</w:t>
      </w:r>
      <w:r>
        <w:rPr>
          <w:rFonts w:ascii="Nimbus Sans" w:hAnsi="Nimbus Sans" w:eastAsia="Nimbus Sans" w:cs="Nimbus Sans"/>
        </w:rPr>
        <w:t xml:space="preserve"> </w:t>
      </w:r>
      <w:hyperlink r:id="rId56">
        <w:r>
          <w:rPr>
            <w:rStyle w:val="Hyperlink"/>
            <w:iCs/>
            <w:i/>
          </w:rPr>
          <w:t xml:space="preserve">Board of Regents v. Roth</w:t>
        </w:r>
      </w:hyperlink>
      <w:r>
        <w:rPr>
          <w:rFonts w:ascii="Nimbus Sans" w:hAnsi="Nimbus Sans" w:eastAsia="Nimbus Sans" w:cs="Nimbus Sans"/>
        </w:rPr>
        <w:t xml:space="preserve">, and</w:t>
      </w:r>
      <w:r>
        <w:rPr>
          <w:rFonts w:ascii="Nimbus Sans" w:hAnsi="Nimbus Sans" w:eastAsia="Nimbus Sans" w:cs="Nimbus Sans"/>
        </w:rPr>
        <w:t xml:space="preserve"> </w:t>
      </w:r>
      <w:hyperlink r:id="rId57">
        <w:r>
          <w:rPr>
            <w:rStyle w:val="Hyperlink"/>
            <w:iCs/>
            <w:i/>
          </w:rPr>
          <w:t xml:space="preserve">Mathews v. Eldridge</w:t>
        </w:r>
      </w:hyperlink>
      <w:r>
        <w:rPr>
          <w:rFonts w:ascii="Nimbus Sans" w:hAnsi="Nimbus Sans" w:eastAsia="Nimbus Sans" w:cs="Nimbus Sans"/>
        </w:rPr>
        <w:t xml:space="preserve">.</w:t>
      </w:r>
    </w:p>
    <w:bookmarkEnd w:id="58"/>
    <w:bookmarkEnd w:id="59"/>
    <w:bookmarkStart w:id="69" w:name="iii-professional-questioning-standard"/>
    <w:p>
      <w:pPr>
        <w:pStyle w:val="Heading1"/>
      </w:pPr>
      <w:r>
        <w:rPr>
          <w:rFonts w:ascii="Nimbus Sans" w:hAnsi="Nimbus Sans" w:eastAsia="Nimbus Sans" w:cs="Nimbus Sans"/>
        </w:rPr>
        <w:t xml:space="preserve">III. Professional questioning standard</w:t>
      </w:r>
    </w:p>
    <w:bookmarkStart w:id="60" w:name="X0690f0fbd5c647670d53a97a6c03afc3d3a46d0"/>
    <w:p>
      <w:pPr>
        <w:pStyle w:val="Heading2"/>
      </w:pPr>
      <w:r>
        <w:rPr>
          <w:rFonts w:ascii="Nimbus Sans" w:hAnsi="Nimbus Sans" w:eastAsia="Nimbus Sans" w:cs="Nimbus Sans"/>
        </w:rPr>
        <w:t xml:space="preserve">10. Design rule</w:t>
      </w:r>
    </w:p>
    <w:p>
      <w:pPr>
        <w:pStyle w:val="FirstParagraph"/>
      </w:pPr>
      <w:r>
        <w:rPr>
          <w:rFonts w:ascii="Nimbus Sans" w:hAnsi="Nimbus Sans" w:eastAsia="Nimbus Sans" w:cs="Nimbus Sans"/>
        </w:rPr>
        <w:t xml:space="preserve">The interviewer’s question is not itself sworn. The participant’s</w:t>
      </w:r>
      <w:r>
        <w:rPr>
          <w:rFonts w:ascii="Nimbus Sans" w:hAnsi="Nimbus Sans" w:eastAsia="Nimbus Sans" w:cs="Nimbus Sans"/>
        </w:rPr>
        <w:t xml:space="preserve"> </w:t>
      </w:r>
      <w:r>
        <w:rPr>
          <w:bCs/>
          <w:rFonts w:ascii="Nimbus Sans" w:hAnsi="Nimbus Sans" w:eastAsia="Nimbus Sans" w:cs="Nimbus Sans"/>
          <w:b/>
        </w:rPr>
        <w:t xml:space="preserve">complete standalone adopted statement</w:t>
      </w:r>
      <w:r>
        <w:rPr>
          <w:rFonts w:ascii="Nimbus Sans" w:hAnsi="Nimbus Sans" w:eastAsia="Nimbus Sans" w:cs="Nimbus Sans"/>
        </w:rPr>
        <w:t xml:space="preserve">, stated basis, and printed qualification are the only substantive sworn content. A bare “yes” or “no” is prohibited because it can silently import disputed premises from DGG-authored wording.</w:t>
      </w:r>
    </w:p>
    <w:p>
      <w:pPr>
        <w:pStyle w:val="BodyText"/>
      </w:pPr>
      <w:r>
        <w:rPr>
          <w:rFonts w:ascii="Nimbus Sans" w:hAnsi="Nimbus Sans" w:eastAsia="Nimbus Sans" w:cs="Nimbus Sans"/>
        </w:rPr>
        <w:t xml:space="preserve">The question, supporting and contrary sources, DGG analysis, interviewer commentary, decline status, and counsel approvals remain expressly unsworn unless exact text is deliberately incorporated in a standalone adopted statement.</w:t>
      </w:r>
    </w:p>
    <w:bookmarkEnd w:id="60"/>
    <w:bookmarkStart w:id="61" w:name="X9736aac6a07ec4f5573cbc1da99ba55f116dd57"/>
    <w:p>
      <w:pPr>
        <w:pStyle w:val="Heading2"/>
      </w:pPr>
      <w:r>
        <w:rPr>
          <w:rFonts w:ascii="Nimbus Sans" w:hAnsi="Nimbus Sans" w:eastAsia="Nimbus Sans" w:cs="Nimbus Sans"/>
        </w:rPr>
        <w:t xml:space="preserve">11. Question-admission test</w:t>
      </w:r>
    </w:p>
    <w:p>
      <w:pPr>
        <w:pStyle w:val="FirstParagraph"/>
      </w:pPr>
      <w:r>
        <w:rPr>
          <w:rFonts w:ascii="Nimbus Sans" w:hAnsi="Nimbus Sans" w:eastAsia="Nimbus Sans" w:cs="Nimbus Sans"/>
        </w:rPr>
        <w:t xml:space="preserve">A proposed item may enter the drafting schedule only if every applicable box is checked:</w:t>
      </w:r>
    </w:p>
    <w:p>
      <w:pPr>
        <w:numPr>
          <w:ilvl w:val="0"/>
          <w:numId w:val="1006"/>
        </w:numPr>
        <w:pStyle w:val="Compact"/>
        <w:spacing w:after="120" w:line="280" w:lineRule="auto"/>
      </w:pPr>
      <w:r>
        <w:rPr>
          <w:rFonts w:ascii="Nimbus Sans" w:hAnsi="Nimbus Sans" w:eastAsia="Nimbus Sans" w:cs="Nimbus Sans"/>
        </w:rPr>
        <w:t xml:space="preserve">☐ It asks about a verifiable past or present fact, not opinion, advocacy, prediction, motive, character, or moral judgment.</w:t>
      </w:r>
    </w:p>
    <w:p>
      <w:pPr>
        <w:numPr>
          <w:ilvl w:val="0"/>
          <w:numId w:val="1006"/>
        </w:numPr>
        <w:pStyle w:val="Compact"/>
        <w:spacing w:after="120" w:line="280" w:lineRule="auto"/>
      </w:pPr>
      <w:r>
        <w:rPr>
          <w:rFonts w:ascii="Nimbus Sans" w:hAnsi="Nimbus Sans" w:eastAsia="Nimbus Sans" w:cs="Nimbus Sans"/>
        </w:rPr>
        <w:t xml:space="preserve">☐ It contains one proposition; a single answer cannot be true in one respect and false in another.</w:t>
      </w:r>
    </w:p>
    <w:p>
      <w:pPr>
        <w:numPr>
          <w:ilvl w:val="0"/>
          <w:numId w:val="1006"/>
        </w:numPr>
        <w:pStyle w:val="Compact"/>
        <w:spacing w:after="120" w:line="280" w:lineRule="auto"/>
      </w:pPr>
      <w:r>
        <w:rPr>
          <w:rFonts w:ascii="Nimbus Sans" w:hAnsi="Nimbus Sans" w:eastAsia="Nimbus Sans" w:cs="Nimbus Sans"/>
        </w:rPr>
        <w:t xml:space="preserve">☐ It identifies the actor, act/event/condition, relevant date or period, and place when material.</w:t>
      </w:r>
    </w:p>
    <w:p>
      <w:pPr>
        <w:numPr>
          <w:ilvl w:val="0"/>
          <w:numId w:val="1006"/>
        </w:numPr>
        <w:pStyle w:val="Compact"/>
        <w:spacing w:after="120" w:line="280" w:lineRule="auto"/>
      </w:pPr>
      <w:r>
        <w:rPr>
          <w:rFonts w:ascii="Nimbus Sans" w:hAnsi="Nimbus Sans" w:eastAsia="Nimbus Sans" w:cs="Nimbus Sans"/>
        </w:rPr>
        <w:t xml:space="preserve">☐ Material terms, units, thresholds, exceptions, and comparison sets are defined neutrally.</w:t>
      </w:r>
    </w:p>
    <w:p>
      <w:pPr>
        <w:numPr>
          <w:ilvl w:val="0"/>
          <w:numId w:val="1006"/>
        </w:numPr>
        <w:pStyle w:val="Compact"/>
        <w:spacing w:after="120" w:line="280" w:lineRule="auto"/>
      </w:pPr>
      <w:r>
        <w:rPr>
          <w:rFonts w:ascii="Nimbus Sans" w:hAnsi="Nimbus Sans" w:eastAsia="Nimbus Sans" w:cs="Nimbus Sans"/>
        </w:rPr>
        <w:t xml:space="preserve">☐ It avoids an unbounded “always,” “never,” or universal negative unless the search universe is defined.</w:t>
      </w:r>
    </w:p>
    <w:p>
      <w:pPr>
        <w:numPr>
          <w:ilvl w:val="0"/>
          <w:numId w:val="1006"/>
        </w:numPr>
        <w:pStyle w:val="Compact"/>
        <w:spacing w:after="120" w:line="280" w:lineRule="auto"/>
      </w:pPr>
      <w:r>
        <w:rPr>
          <w:rFonts w:ascii="Nimbus Sans" w:hAnsi="Nimbus Sans" w:eastAsia="Nimbus Sans" w:cs="Nimbus Sans"/>
        </w:rPr>
        <w:t xml:space="preserve">☐ It does not presume misconduct or embed a disputed accusation.</w:t>
      </w:r>
    </w:p>
    <w:p>
      <w:pPr>
        <w:numPr>
          <w:ilvl w:val="0"/>
          <w:numId w:val="1006"/>
        </w:numPr>
        <w:pStyle w:val="Compact"/>
        <w:spacing w:after="120" w:line="280" w:lineRule="auto"/>
      </w:pPr>
      <w:r>
        <w:rPr>
          <w:rFonts w:ascii="Nimbus Sans" w:hAnsi="Nimbus Sans" w:eastAsia="Nimbus Sans" w:cs="Nimbus Sans"/>
        </w:rPr>
        <w:t xml:space="preserve">☐ It can be answered from personal knowledge, identified records, or a precisely limited combination.</w:t>
      </w:r>
    </w:p>
    <w:p>
      <w:pPr>
        <w:numPr>
          <w:ilvl w:val="0"/>
          <w:numId w:val="1006"/>
        </w:numPr>
        <w:pStyle w:val="Compact"/>
        <w:spacing w:after="120" w:line="280" w:lineRule="auto"/>
      </w:pPr>
      <w:r>
        <w:rPr>
          <w:rFonts w:ascii="Nimbus Sans" w:hAnsi="Nimbus Sans" w:eastAsia="Nimbus Sans" w:cs="Nimbus Sans"/>
        </w:rPr>
        <w:t xml:space="preserve">☐ The participant received the exact wording, definitions, and source/counter-source packet in advance.</w:t>
      </w:r>
    </w:p>
    <w:p>
      <w:pPr>
        <w:numPr>
          <w:ilvl w:val="0"/>
          <w:numId w:val="1006"/>
        </w:numPr>
        <w:pStyle w:val="Compact"/>
        <w:spacing w:after="120" w:line="280" w:lineRule="auto"/>
      </w:pPr>
      <w:r>
        <w:rPr>
          <w:rFonts w:ascii="Nimbus Sans" w:hAnsi="Nimbus Sans" w:eastAsia="Nimbus Sans" w:cs="Nimbus Sans"/>
        </w:rPr>
        <w:t xml:space="preserve">☐ A similarly situated person with different politics would receive materially the same formulation.</w:t>
      </w:r>
    </w:p>
    <w:p>
      <w:pPr>
        <w:numPr>
          <w:ilvl w:val="0"/>
          <w:numId w:val="1006"/>
        </w:numPr>
        <w:pStyle w:val="Compact"/>
        <w:spacing w:after="120" w:line="280" w:lineRule="auto"/>
      </w:pPr>
      <w:r>
        <w:rPr>
          <w:rFonts w:ascii="Nimbus Sans" w:hAnsi="Nimbus Sans" w:eastAsia="Nimbus Sans" w:cs="Nimbus Sans"/>
        </w:rPr>
        <w:t xml:space="preserve">☐ DGG has stated what each response would and would not establish.</w:t>
      </w:r>
    </w:p>
    <w:p>
      <w:pPr>
        <w:numPr>
          <w:ilvl w:val="0"/>
          <w:numId w:val="1006"/>
        </w:numPr>
        <w:pStyle w:val="Compact"/>
        <w:spacing w:after="120" w:line="280" w:lineRule="auto"/>
      </w:pPr>
      <w:r>
        <w:rPr>
          <w:rFonts w:ascii="Nimbus Sans" w:hAnsi="Nimbus Sans" w:eastAsia="Nimbus Sans" w:cs="Nimbus Sans"/>
        </w:rPr>
        <w:t xml:space="preserve">☐ No located evidence makes the proposed response known or probably false or materially misleading.</w:t>
      </w:r>
    </w:p>
    <w:p>
      <w:pPr>
        <w:numPr>
          <w:ilvl w:val="0"/>
          <w:numId w:val="1006"/>
        </w:numPr>
        <w:pStyle w:val="Compact"/>
        <w:spacing w:after="120" w:line="280" w:lineRule="auto"/>
      </w:pPr>
      <w:r>
        <w:rPr>
          <w:rFonts w:ascii="Nimbus Sans" w:hAnsi="Nimbus Sans" w:eastAsia="Nimbus Sans" w:cs="Nimbus Sans"/>
        </w:rPr>
        <w:t xml:space="preserve">☐ Legal/media review has considered defamation, false light, privilege, privacy, campaign, and recording issues.</w:t>
      </w:r>
    </w:p>
    <w:p>
      <w:pPr>
        <w:numPr>
          <w:ilvl w:val="0"/>
          <w:numId w:val="1006"/>
        </w:numPr>
        <w:pStyle w:val="Compact"/>
        <w:spacing w:after="120" w:line="280" w:lineRule="auto"/>
      </w:pPr>
      <w:r>
        <w:rPr>
          <w:rFonts w:ascii="Nimbus Sans" w:hAnsi="Nimbus Sans" w:eastAsia="Nimbus Sans" w:cs="Nimbus Sans"/>
        </w:rPr>
        <w:t xml:space="preserve">☐ The sworn format adds a reasoned value beyond ordinary reporting.</w:t>
      </w:r>
    </w:p>
    <w:p>
      <w:pPr>
        <w:pStyle w:val="FirstParagraph"/>
      </w:pPr>
      <w:r>
        <w:rPr>
          <w:rFonts w:ascii="Nimbus Sans" w:hAnsi="Nimbus Sans" w:eastAsia="Nimbus Sans" w:cs="Nimbus Sans"/>
        </w:rPr>
        <w:t xml:space="preserve">Any unchecked item moves to the unsworn lane, returns for revision, or is rejected.</w:t>
      </w:r>
    </w:p>
    <w:bookmarkEnd w:id="61"/>
    <w:bookmarkStart w:id="62" w:name="X2f0bf1807ed5655a7daca8fcc870f5b7fddd645"/>
    <w:p>
      <w:pPr>
        <w:pStyle w:val="Heading2"/>
      </w:pPr>
      <w:r>
        <w:rPr>
          <w:rFonts w:ascii="Nimbus Sans" w:hAnsi="Nimbus Sans" w:eastAsia="Nimbus Sans" w:cs="Nimbus Sans"/>
        </w:rPr>
        <w:t xml:space="preserve">12. Response taxonomy</w:t>
      </w:r>
    </w:p>
    <w:p>
      <w:pPr>
        <w:pStyle w:val="FirstParagraph"/>
      </w:pPr>
      <w:r>
        <w:rPr>
          <w:rFonts w:ascii="Nimbus Sans" w:hAnsi="Nimbus Sans" w:eastAsia="Nimbus Sans" w:cs="Nimbus Sans"/>
        </w:rPr>
        <w:t xml:space="preserve">The exact adopted statement controls if any response code conflicts with its text.</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2500"/>
        <w:gridCol w:w="3430"/>
        <w:gridCol w:w="3430"/>
      </w:tblGrid>
      <w:tr>
        <w:trPr>
          <w:tblHeader w:val="true"/>
          <w:cantSplit w:val="true"/>
        </w:trPr>
        <w:tc>
          <w:tcPr>
            <w:tcW w:type="dxa" w:w="25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Code</w:t>
            </w:r>
          </w:p>
        </w:tc>
        <w:tc>
          <w:tcPr>
            <w:tcW w:type="dxa" w:w="343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Response path</w:t>
            </w:r>
          </w:p>
        </w:tc>
        <w:tc>
          <w:tcPr>
            <w:tcW w:type="dxa" w:w="343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What may be adopted</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T-PK</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True — personal knowledge</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 complete factual statement within stated personal knowledge</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F-PK</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False — personal knowledge</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 complete factual denial within stated personal knowledge</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T-R</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True — identified records</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Prefer “the identified record states X” unless the records and capacity support the underlying event</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F-R</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False — identified records</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State the defined record universe and search/verification limit</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Q</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Qualified</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Complete proposition with every material limit and exception on the same page</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U</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Unknown</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“As of [time], I do not know whether [defined proposition] is true.”</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Not recalled</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“As of [time], I do not presently recall facts sufficient to answer [defined proposition].”</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V</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Cannot verify</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“After reviewing [identified materials], I cannot verify whether [defined proposition] is true.”</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Decline</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No underlying proposition or knowledge-state assertion is sworn; omit from the Adopted Proposition Index</w:t>
            </w:r>
          </w:p>
        </w:tc>
      </w:tr>
    </w:tbl>
    <w:p>
      <w:pPr>
        <w:pStyle w:val="BodyText"/>
      </w:pPr>
      <w:r>
        <w:rPr>
          <w:rFonts w:ascii="Nimbus Sans" w:hAnsi="Nimbus Sans" w:eastAsia="Nimbus Sans" w:cs="Nimbus Sans"/>
        </w:rPr>
        <w:t xml:space="preserve">Counsel must decide whether U, R, and V are sworn statements about present knowledge, recall, or verification ability, or merely administrative responses. The form below permits inclusion only through the Adopted Proposition Index. A decline is never included.</w:t>
      </w:r>
    </w:p>
    <w:bookmarkEnd w:id="62"/>
    <w:bookmarkStart w:id="67" w:name="Xdf5e5cd43909f430f33531a58efe970c5559d97"/>
    <w:p>
      <w:pPr>
        <w:pStyle w:val="Heading2"/>
      </w:pPr>
      <w:r>
        <w:rPr>
          <w:rFonts w:ascii="Nimbus Sans" w:hAnsi="Nimbus Sans" w:eastAsia="Nimbus Sans" w:cs="Nimbus Sans"/>
        </w:rPr>
        <w:t xml:space="preserve">13. Questioning sequence</w:t>
      </w:r>
    </w:p>
    <w:bookmarkStart w:id="63" w:name="Xb68d915cee3eb57de2521b5d76a8beb757e6e08"/>
    <w:p>
      <w:pPr>
        <w:pStyle w:val="Heading3"/>
      </w:pPr>
      <w:r>
        <w:rPr>
          <w:rFonts w:ascii="Nimbus Sans" w:hAnsi="Nimbus Sans" w:eastAsia="Nimbus Sans" w:cs="Nimbus Sans"/>
        </w:rPr>
        <w:t xml:space="preserve">13.1 Green zone — unsworn review</w:t>
      </w:r>
    </w:p>
    <w:p>
      <w:pPr>
        <w:numPr>
          <w:ilvl w:val="0"/>
          <w:numId w:val="1007"/>
        </w:numPr>
        <w:pStyle w:val="Compact"/>
        <w:spacing w:after="120" w:line="280" w:lineRule="auto"/>
      </w:pPr>
      <w:r>
        <w:rPr>
          <w:rFonts w:ascii="Nimbus Sans" w:hAnsi="Nimbus Sans" w:eastAsia="Nimbus Sans" w:cs="Nimbus Sans"/>
        </w:rPr>
        <w:t xml:space="preserve">Confirm written consent and that no recording/transcription system is active before the approved consent condition.</w:t>
      </w:r>
    </w:p>
    <w:p>
      <w:pPr>
        <w:numPr>
          <w:ilvl w:val="0"/>
          <w:numId w:val="1007"/>
        </w:numPr>
        <w:pStyle w:val="Compact"/>
        <w:spacing w:after="120" w:line="280" w:lineRule="auto"/>
      </w:pPr>
      <w:r>
        <w:rPr>
          <w:rFonts w:ascii="Nimbus Sans" w:hAnsi="Nimbus Sans" w:eastAsia="Nimbus Sans" w:cs="Nimbus Sans"/>
        </w:rPr>
        <w:t xml:space="preserve">Explain the sworn/unsworn boundary, right to counsel, response taxonomy, no-inference rule, and correction process.</w:t>
      </w:r>
    </w:p>
    <w:p>
      <w:pPr>
        <w:numPr>
          <w:ilvl w:val="0"/>
          <w:numId w:val="1007"/>
        </w:numPr>
        <w:pStyle w:val="Compact"/>
        <w:spacing w:after="120" w:line="280" w:lineRule="auto"/>
      </w:pPr>
      <w:r>
        <w:rPr>
          <w:rFonts w:ascii="Nimbus Sans" w:hAnsi="Nimbus Sans" w:eastAsia="Nimbus Sans" w:cs="Nimbus Sans"/>
        </w:rPr>
        <w:t xml:space="preserve">Present the exact question, definitions, support, and strongest contrary material.</w:t>
      </w:r>
    </w:p>
    <w:p>
      <w:pPr>
        <w:numPr>
          <w:ilvl w:val="0"/>
          <w:numId w:val="1007"/>
        </w:numPr>
        <w:pStyle w:val="Compact"/>
        <w:spacing w:after="120" w:line="280" w:lineRule="auto"/>
      </w:pPr>
      <w:r>
        <w:rPr>
          <w:rFonts w:ascii="Nimbus Sans" w:hAnsi="Nimbus Sans" w:eastAsia="Nimbus Sans" w:cs="Nimbus Sans"/>
        </w:rPr>
        <w:t xml:space="preserve">Ask the participant to identify the proposition they are actually prepared to state—not merely answer “yes” or “no.”</w:t>
      </w:r>
    </w:p>
    <w:p>
      <w:pPr>
        <w:numPr>
          <w:ilvl w:val="0"/>
          <w:numId w:val="1007"/>
        </w:numPr>
        <w:pStyle w:val="Compact"/>
        <w:spacing w:after="120" w:line="280" w:lineRule="auto"/>
      </w:pPr>
      <w:r>
        <w:rPr>
          <w:rFonts w:ascii="Nimbus Sans" w:hAnsi="Nimbus Sans" w:eastAsia="Nimbus Sans" w:cs="Nimbus Sans"/>
        </w:rPr>
        <w:t xml:space="preserve">Ask for the basis: personal observation/action, communication, identified record, combination, or present knowledge state.</w:t>
      </w:r>
    </w:p>
    <w:p>
      <w:pPr>
        <w:numPr>
          <w:ilvl w:val="0"/>
          <w:numId w:val="1007"/>
        </w:numPr>
        <w:pStyle w:val="Compact"/>
        <w:spacing w:after="120" w:line="280" w:lineRule="auto"/>
      </w:pPr>
      <w:r>
        <w:rPr>
          <w:rFonts w:ascii="Nimbus Sans" w:hAnsi="Nimbus Sans" w:eastAsia="Nimbus Sans" w:cs="Nimbus Sans"/>
        </w:rPr>
        <w:t xml:space="preserve">Ask for every limit, exception, date qualification, capacity qualification, and contrary fact.</w:t>
      </w:r>
    </w:p>
    <w:p>
      <w:pPr>
        <w:numPr>
          <w:ilvl w:val="0"/>
          <w:numId w:val="1007"/>
        </w:numPr>
        <w:pStyle w:val="Compact"/>
        <w:spacing w:after="120" w:line="280" w:lineRule="auto"/>
      </w:pPr>
      <w:r>
        <w:rPr>
          <w:rFonts w:ascii="Nimbus Sans" w:hAnsi="Nimbus Sans" w:eastAsia="Nimbus Sans" w:cs="Nimbus Sans"/>
        </w:rPr>
        <w:t xml:space="preserve">Read the complete standalone proposed statement back. The participant or participant’s counsel authors or expressly adopts it.</w:t>
      </w:r>
    </w:p>
    <w:p>
      <w:pPr>
        <w:numPr>
          <w:ilvl w:val="0"/>
          <w:numId w:val="1007"/>
        </w:numPr>
        <w:pStyle w:val="Compact"/>
        <w:spacing w:after="120" w:line="280" w:lineRule="auto"/>
      </w:pPr>
      <w:r>
        <w:rPr>
          <w:rFonts w:ascii="Nimbus Sans" w:hAnsi="Nimbus Sans" w:eastAsia="Nimbus Sans" w:cs="Nimbus Sans"/>
        </w:rPr>
        <w:t xml:space="preserve">If a follow-up changes substance, create a new draft; do not treat oral clarification as part of the future oath.</w:t>
      </w:r>
    </w:p>
    <w:p>
      <w:pPr>
        <w:pStyle w:val="FirstParagraph"/>
      </w:pPr>
      <w:r>
        <w:rPr>
          <w:rFonts w:ascii="Nimbus Sans" w:hAnsi="Nimbus Sans" w:eastAsia="Nimbus Sans" w:cs="Nimbus Sans"/>
        </w:rPr>
        <w:t xml:space="preserve">Permitted neutral prompts include: “What exact date range can you support?”; “Are you stating what the record says, or that the underlying event occurred?”; “What exception should appear in the sentence?”; and “What facts are outside your personal knowledge?”</w:t>
      </w:r>
    </w:p>
    <w:p>
      <w:pPr>
        <w:pStyle w:val="BodyText"/>
      </w:pPr>
      <w:r>
        <w:rPr>
          <w:rFonts w:ascii="Nimbus Sans" w:hAnsi="Nimbus Sans" w:eastAsia="Nimbus Sans" w:cs="Nimbus Sans"/>
        </w:rPr>
        <w:t xml:space="preserve">Prohibited prompts include: “Are you sure you want to risk perjury?”; “Why won’t you tell the truth?”; “A decline will look bad”; “Just answer yes or no”; and any threat, promised benefit, preferred-answer coaching, or publicity leverage.</w:t>
      </w:r>
    </w:p>
    <w:bookmarkEnd w:id="63"/>
    <w:bookmarkStart w:id="64" w:name="X899430ef6c2102ac5289e91ea17bfa8eccbc370"/>
    <w:p>
      <w:pPr>
        <w:pStyle w:val="Heading3"/>
      </w:pPr>
      <w:r>
        <w:rPr>
          <w:rFonts w:ascii="Nimbus Sans" w:hAnsi="Nimbus Sans" w:eastAsia="Nimbus Sans" w:cs="Nimbus Sans"/>
        </w:rPr>
        <w:t xml:space="preserve">13.2 Amber zone — freeze</w:t>
      </w:r>
    </w:p>
    <w:p>
      <w:pPr>
        <w:pStyle w:val="FirstParagraph"/>
      </w:pPr>
      <w:r>
        <w:rPr>
          <w:rFonts w:ascii="Nimbus Sans" w:hAnsi="Nimbus Sans" w:eastAsia="Nimbus Sans" w:cs="Nimbus Sans"/>
        </w:rPr>
        <w:t xml:space="preserve">Generate the final paper record and external pre-sign manifest. Reconcile ID, version, page count, proposition index, all answer fields, qualifications, and certificate attachment. Remove or strike unused blank answer space. The participant initials each sworn-payload page. Any substantive change returns the process to Green and creates a new version.</w:t>
      </w:r>
    </w:p>
    <w:bookmarkEnd w:id="64"/>
    <w:bookmarkStart w:id="65" w:name="X6edffd5adb6758070b7899a4df7192532196977"/>
    <w:p>
      <w:pPr>
        <w:pStyle w:val="Heading3"/>
      </w:pPr>
      <w:r>
        <w:rPr>
          <w:rFonts w:ascii="Nimbus Sans" w:hAnsi="Nimbus Sans" w:eastAsia="Nimbus Sans" w:cs="Nimbus Sans"/>
        </w:rPr>
        <w:t xml:space="preserve">13.3 Red zone — notarial act</w:t>
      </w:r>
    </w:p>
    <w:p>
      <w:pPr>
        <w:pStyle w:val="FirstParagraph"/>
      </w:pPr>
      <w:r>
        <w:rPr>
          <w:rFonts w:ascii="Nimbus Sans" w:hAnsi="Nimbus Sans" w:eastAsia="Nimbus Sans" w:cs="Nimbus Sans"/>
        </w:rPr>
        <w:t xml:space="preserve">The session lead yields control to the independent notary. The notary—not DGG—decides whether to proceed, determines identity/signature and other required matters, administers the approved oath or affirmation, witnesses the signature, completes the certificate and journal contemporaneously, and may refuse. The notary does</w:t>
      </w:r>
      <w:r>
        <w:rPr>
          <w:rFonts w:ascii="Nimbus Sans" w:hAnsi="Nimbus Sans" w:eastAsia="Nimbus Sans" w:cs="Nimbus Sans"/>
        </w:rPr>
        <w:t xml:space="preserve"> </w:t>
      </w:r>
      <w:r>
        <w:rPr>
          <w:bCs/>
          <w:rFonts w:ascii="Nimbus Sans" w:hAnsi="Nimbus Sans" w:eastAsia="Nimbus Sans" w:cs="Nimbus Sans"/>
          <w:b/>
        </w:rPr>
        <w:t xml:space="preserve">not</w:t>
      </w:r>
      <w:r>
        <w:rPr>
          <w:rFonts w:ascii="Nimbus Sans" w:hAnsi="Nimbus Sans" w:eastAsia="Nimbus Sans" w:cs="Nimbus Sans"/>
        </w:rPr>
        <w:t xml:space="preserve"> </w:t>
      </w:r>
      <w:r>
        <w:rPr>
          <w:rFonts w:ascii="Nimbus Sans" w:hAnsi="Nimbus Sans" w:eastAsia="Nimbus Sans" w:cs="Nimbus Sans"/>
        </w:rPr>
        <w:t xml:space="preserve">approve the proposition content, source sufficiency, legal theory, editorial fairness, or criminal consequences.</w:t>
      </w:r>
    </w:p>
    <w:bookmarkEnd w:id="65"/>
    <w:bookmarkStart w:id="66" w:name="Xe7ebac16682dff494e2d4e12f96d74bb4743e0e"/>
    <w:p>
      <w:pPr>
        <w:pStyle w:val="Heading3"/>
      </w:pPr>
      <w:r>
        <w:rPr>
          <w:rFonts w:ascii="Nimbus Sans" w:hAnsi="Nimbus Sans" w:eastAsia="Nimbus Sans" w:cs="Nimbus Sans"/>
        </w:rPr>
        <w:t xml:space="preserve">13.4 Green zone — close</w:t>
      </w:r>
    </w:p>
    <w:p>
      <w:pPr>
        <w:pStyle w:val="FirstParagraph"/>
      </w:pPr>
      <w:r>
        <w:rPr>
          <w:rFonts w:ascii="Nimbus Sans" w:hAnsi="Nimbus Sans" w:eastAsia="Nimbus Sans" w:cs="Nimbus Sans"/>
        </w:rPr>
        <w:t xml:space="preserve">The notarial act is formally closed. Every later statement is unsworn unless a new complete CSR and notarial act occur. Transfer the original under custody receipt, create the executed-scan digest, perform privacy/redaction review, and hold the record nonpublic in Phases 0 and 1.</w:t>
      </w:r>
    </w:p>
    <w:bookmarkEnd w:id="66"/>
    <w:bookmarkEnd w:id="67"/>
    <w:bookmarkStart w:id="68" w:name="Xa0e4072cd1c969c8b77234f4e7fbff319e3b231"/>
    <w:p>
      <w:pPr>
        <w:pStyle w:val="Heading2"/>
      </w:pPr>
      <w:r>
        <w:rPr>
          <w:rFonts w:ascii="Nimbus Sans" w:hAnsi="Nimbus Sans" w:eastAsia="Nimbus Sans" w:cs="Nimbus Sans"/>
        </w:rPr>
        <w:t xml:space="preserve">14. Drafting examples</w:t>
      </w:r>
    </w:p>
    <w:p>
      <w:pPr>
        <w:pStyle w:val="FirstParagraph"/>
      </w:pPr>
      <w:r>
        <w:rPr>
          <w:bCs/>
          <w:rFonts w:ascii="Nimbus Sans" w:hAnsi="Nimbus Sans" w:eastAsia="Nimbus Sans" w:cs="Nimbus Sans"/>
          <w:b/>
        </w:rPr>
        <w:t xml:space="preserve">Prefer:</w:t>
      </w:r>
      <w:r>
        <w:rPr>
          <w:rFonts w:ascii="Nimbus Sans" w:hAnsi="Nimbus Sans" w:eastAsia="Nimbus Sans" w:cs="Nimbus Sans"/>
        </w:rPr>
        <w:t xml:space="preserve"> </w:t>
      </w:r>
      <w:r>
        <w:rPr>
          <w:rFonts w:ascii="Nimbus Sans" w:hAnsi="Nimbus Sans" w:eastAsia="Nimbus Sans" w:cs="Nimbus Sans"/>
        </w:rPr>
        <w:t xml:space="preserve">“Between January 1 and June 30, 2026, did you personally authorize transaction T-014?”</w:t>
      </w:r>
      <w:r>
        <w:rPr>
          <w:rFonts w:ascii="Nimbus Sans" w:hAnsi="Nimbus Sans" w:eastAsia="Nimbus Sans" w:cs="Nimbus Sans"/>
        </w:rPr>
        <w:br/>
      </w:r>
      <w:r>
        <w:rPr>
          <w:bCs/>
          <w:rFonts w:ascii="Nimbus Sans" w:hAnsi="Nimbus Sans" w:eastAsia="Nimbus Sans" w:cs="Nimbus Sans"/>
          <w:b/>
        </w:rPr>
        <w:t xml:space="preserve">Avoid:</w:t>
      </w:r>
      <w:r>
        <w:rPr>
          <w:rFonts w:ascii="Nimbus Sans" w:hAnsi="Nimbus Sans" w:eastAsia="Nimbus Sans" w:cs="Nimbus Sans"/>
        </w:rPr>
        <w:t xml:space="preserve"> </w:t>
      </w:r>
      <w:r>
        <w:rPr>
          <w:rFonts w:ascii="Nimbus Sans" w:hAnsi="Nimbus Sans" w:eastAsia="Nimbus Sans" w:cs="Nimbus Sans"/>
        </w:rPr>
        <w:t xml:space="preserve">“Can you swear you were never bought by special interests?”</w:t>
      </w:r>
    </w:p>
    <w:p>
      <w:pPr>
        <w:pStyle w:val="BodyText"/>
      </w:pPr>
      <w:r>
        <w:rPr>
          <w:bCs/>
          <w:rFonts w:ascii="Nimbus Sans" w:hAnsi="Nimbus Sans" w:eastAsia="Nimbus Sans" w:cs="Nimbus Sans"/>
          <w:b/>
        </w:rPr>
        <w:t xml:space="preserve">Prefer:</w:t>
      </w:r>
      <w:r>
        <w:rPr>
          <w:rFonts w:ascii="Nimbus Sans" w:hAnsi="Nimbus Sans" w:eastAsia="Nimbus Sans" w:cs="Nimbus Sans"/>
        </w:rPr>
        <w:t xml:space="preserve"> </w:t>
      </w:r>
      <w:r>
        <w:rPr>
          <w:rFonts w:ascii="Nimbus Sans" w:hAnsi="Nimbus Sans" w:eastAsia="Nimbus Sans" w:cs="Nimbus Sans"/>
        </w:rPr>
        <w:t xml:space="preserve">“As of August 20, 2026, did filed report S-004 list a $5,000 contribution from Entity X?”</w:t>
      </w:r>
      <w:r>
        <w:rPr>
          <w:rFonts w:ascii="Nimbus Sans" w:hAnsi="Nimbus Sans" w:eastAsia="Nimbus Sans" w:cs="Nimbus Sans"/>
        </w:rPr>
        <w:br/>
      </w:r>
      <w:r>
        <w:rPr>
          <w:bCs/>
          <w:rFonts w:ascii="Nimbus Sans" w:hAnsi="Nimbus Sans" w:eastAsia="Nimbus Sans" w:cs="Nimbus Sans"/>
          <w:b/>
        </w:rPr>
        <w:t xml:space="preserve">Avoid:</w:t>
      </w:r>
      <w:r>
        <w:rPr>
          <w:rFonts w:ascii="Nimbus Sans" w:hAnsi="Nimbus Sans" w:eastAsia="Nimbus Sans" w:cs="Nimbus Sans"/>
        </w:rPr>
        <w:t xml:space="preserve"> </w:t>
      </w:r>
      <w:r>
        <w:rPr>
          <w:rFonts w:ascii="Nimbus Sans" w:hAnsi="Nimbus Sans" w:eastAsia="Nimbus Sans" w:cs="Nimbus Sans"/>
        </w:rPr>
        <w:t xml:space="preserve">“Did Entity X secretly give you money?”</w:t>
      </w:r>
    </w:p>
    <w:p>
      <w:pPr>
        <w:pStyle w:val="BodyText"/>
      </w:pPr>
      <w:r>
        <w:rPr>
          <w:bCs/>
          <w:rFonts w:ascii="Nimbus Sans" w:hAnsi="Nimbus Sans" w:eastAsia="Nimbus Sans" w:cs="Nimbus Sans"/>
          <w:b/>
        </w:rPr>
        <w:t xml:space="preserve">Prefer:</w:t>
      </w:r>
      <w:r>
        <w:rPr>
          <w:rFonts w:ascii="Nimbus Sans" w:hAnsi="Nimbus Sans" w:eastAsia="Nimbus Sans" w:cs="Nimbus Sans"/>
        </w:rPr>
        <w:t xml:space="preserve"> </w:t>
      </w:r>
      <w:r>
        <w:rPr>
          <w:rFonts w:ascii="Nimbus Sans" w:hAnsi="Nimbus Sans" w:eastAsia="Nimbus Sans" w:cs="Nimbus Sans"/>
        </w:rPr>
        <w:t xml:space="preserve">“Before making the quoted statement on July 10, 2026, had you personally reviewed document S-009?”</w:t>
      </w:r>
      <w:r>
        <w:rPr>
          <w:rFonts w:ascii="Nimbus Sans" w:hAnsi="Nimbus Sans" w:eastAsia="Nimbus Sans" w:cs="Nimbus Sans"/>
        </w:rPr>
        <w:br/>
      </w:r>
      <w:r>
        <w:rPr>
          <w:bCs/>
          <w:rFonts w:ascii="Nimbus Sans" w:hAnsi="Nimbus Sans" w:eastAsia="Nimbus Sans" w:cs="Nimbus Sans"/>
          <w:b/>
        </w:rPr>
        <w:t xml:space="preserve">Avoid:</w:t>
      </w:r>
      <w:r>
        <w:rPr>
          <w:rFonts w:ascii="Nimbus Sans" w:hAnsi="Nimbus Sans" w:eastAsia="Nimbus Sans" w:cs="Nimbus Sans"/>
        </w:rPr>
        <w:t xml:space="preserve"> </w:t>
      </w:r>
      <w:r>
        <w:rPr>
          <w:rFonts w:ascii="Nimbus Sans" w:hAnsi="Nimbus Sans" w:eastAsia="Nimbus Sans" w:cs="Nimbus Sans"/>
        </w:rPr>
        <w:t xml:space="preserve">“Did you knowingly spread misinformation?”</w:t>
      </w:r>
    </w:p>
    <w:p>
      <w:pPr>
        <w:pStyle w:val="BodyText"/>
      </w:pPr>
      <w:r>
        <w:rPr>
          <w:rFonts w:ascii="Nimbus Sans" w:hAnsi="Nimbus Sans" w:eastAsia="Nimbus Sans" w:cs="Nimbus Sans"/>
        </w:rPr>
        <w:t xml:space="preserve">Even the preferred forms require neutral definitions, source/counter-source disclosure, a material-meaning check, and counsel review.</w:t>
      </w:r>
    </w:p>
    <w:bookmarkEnd w:id="68"/>
    <w:bookmarkEnd w:id="69"/>
    <w:bookmarkStart w:id="97" w:name="X204b3c06f14a8bcea551fe4965434f6bd0684e5"/>
    <w:p>
      <w:pPr>
        <w:pStyle w:val="Heading1"/>
      </w:pPr>
      <w:r>
        <w:rPr>
          <w:rFonts w:ascii="Nimbus Sans" w:hAnsi="Nimbus Sans" w:eastAsia="Nimbus Sans" w:cs="Nimbus Sans"/>
        </w:rPr>
        <w:t xml:space="preserve">IV. Detachable question-admission worksheet and CSR form</w:t>
      </w:r>
    </w:p>
    <w:p>
      <w:pPr>
        <w:pStyle w:val="BlockText"/>
        <w:shd w:fill="F4F6F9" w:val="clear"/>
        <w:pBdr>
          <w:left w:val="single" w:sz="18" w:space="8" w:color="9B1C1C"/>
        </w:pBdr>
        <w:spacing w:before="100" w:after="120"/>
        <w:ind w:left="317" w:right="115"/>
      </w:pPr>
      <w:r>
        <w:rPr>
          <w:bCs/>
          <w:rFonts w:ascii="Nimbus Sans" w:hAnsi="Nimbus Sans" w:eastAsia="Nimbus Sans" w:cs="Nimbus Sans"/>
          <w:b/>
          <w:color w:val="9B1C1C"/>
          <w:sz w:val="19"/>
        </w:rPr>
        <w:t xml:space="preserve">COUNSEL-REVIEW DRAFT — NOT FOR LIVE USE.</w:t>
      </w:r>
      <w:r>
        <w:rPr>
          <w:rFonts w:ascii="Nimbus Sans" w:hAnsi="Nimbus Sans" w:eastAsia="Nimbus Sans" w:cs="Nimbus Sans"/>
          <w:b/>
          <w:color w:val="9B1C1C"/>
          <w:sz w:val="19"/>
        </w:rPr>
        <w:t xml:space="preserve"> </w:t>
      </w:r>
      <w:r>
        <w:rPr>
          <w:rFonts w:ascii="Nimbus Sans" w:hAnsi="Nimbus Sans" w:eastAsia="Nimbus Sans" w:cs="Nimbus Sans"/>
          <w:b/>
          <w:color w:val="9B1C1C"/>
          <w:sz w:val="19"/>
        </w:rPr>
        <w:t xml:space="preserve">The following form is designed only for an in-person, tangible, wet-ink Washington pilot. Washington counsel must approve the declaration, oath or affirmation, certificate selection, participant notice, publication use, and each question set. The commissioned notary must remain free to use a lawful equivalent procedure or refuse the act.</w:t>
      </w:r>
    </w:p>
    <w:bookmarkStart w:id="76" w:name="X113f3f1a2b0b7941137cf4944fee49a3375e0b8"/>
    <w:p>
      <w:pPr>
        <w:pStyle w:val="Heading2"/>
      </w:pPr>
      <w:r>
        <w:rPr>
          <w:rFonts w:ascii="Nimbus Sans" w:hAnsi="Nimbus Sans" w:eastAsia="Nimbus Sans" w:cs="Nimbus Sans"/>
        </w:rPr>
        <w:t xml:space="preserve">15. Internal question-admission worksheet</w:t>
      </w:r>
    </w:p>
    <w:p>
      <w:pPr>
        <w:pStyle w:val="BlockText"/>
        <w:shd w:fill="F4F6F9" w:val="clear"/>
        <w:pBdr>
          <w:left w:val="single" w:sz="18" w:space="8" w:color="2E74B5"/>
        </w:pBdr>
        <w:spacing w:before="100" w:after="120"/>
        <w:ind w:left="317" w:right="115"/>
      </w:pPr>
      <w:r>
        <w:rPr>
          <w:bCs/>
          <w:rFonts w:ascii="Nimbus Sans" w:hAnsi="Nimbus Sans" w:eastAsia="Nimbus Sans" w:cs="Nimbus Sans"/>
          <w:b/>
          <w:color w:val="9B1C1C"/>
          <w:sz w:val="19"/>
        </w:rPr>
        <w:t xml:space="preserve">INTERNAL / UNSWORN / NOT PART OF THE CSR.</w:t>
      </w:r>
      <w:r>
        <w:rPr>
          <w:rFonts w:ascii="Nimbus Sans" w:hAnsi="Nimbus Sans" w:eastAsia="Nimbus Sans" w:cs="Nimbus Sans"/>
          <w:b/>
          <w:color w:val="9B1C1C"/>
          <w:sz w:val="19"/>
        </w:rPr>
        <w:t xml:space="preserve"> </w:t>
      </w:r>
      <w:r>
        <w:rPr>
          <w:rFonts w:ascii="Nimbus Sans" w:hAnsi="Nimbus Sans" w:eastAsia="Nimbus Sans" w:cs="Nimbus Sans"/>
          <w:b/>
          <w:color w:val="9B1C1C"/>
          <w:sz w:val="19"/>
        </w:rPr>
        <w:t xml:space="preserve">Treat legal analysis as potentially privileged and keep it separate from any public CSR. Privilege depends on client, purpose, audience, and confidentiality; this label does not create privilege.</w:t>
      </w:r>
    </w:p>
    <w:p>
      <w:pPr>
        <w:pStyle w:val="FirstParagraph"/>
      </w:pPr>
      <w:r>
        <w:rPr>
          <w:bCs/>
          <w:rFonts w:ascii="Nimbus Sans" w:hAnsi="Nimbus Sans" w:eastAsia="Nimbus Sans" w:cs="Nimbus Sans"/>
          <w:b/>
        </w:rPr>
        <w:t xml:space="preserve">Question ID:</w:t>
      </w:r>
      <w:r>
        <w:rPr>
          <w:rFonts w:ascii="Nimbus Sans" w:hAnsi="Nimbus Sans" w:eastAsia="Nimbus Sans" w:cs="Nimbus Sans"/>
        </w:rPr>
        <w:t xml:space="preserve"> </w:t>
      </w:r>
      <w:r>
        <w:rPr>
          <w:rFonts w:ascii="Nimbus Sans" w:hAnsi="Nimbus Sans" w:eastAsia="Nimbus Sans" w:cs="Nimbus Sans"/>
        </w:rPr>
        <w:t xml:space="preserve">Q-_____</w:t>
      </w:r>
      <w:r>
        <w:rPr>
          <w:rFonts w:ascii="Nimbus Sans" w:hAnsi="Nimbus Sans" w:eastAsia="Nimbus Sans" w:cs="Nimbus Sans"/>
        </w:rPr>
        <w:br/>
      </w:r>
      <w:r>
        <w:rPr>
          <w:bCs/>
          <w:rFonts w:ascii="Nimbus Sans" w:hAnsi="Nimbus Sans" w:eastAsia="Nimbus Sans" w:cs="Nimbus Sans"/>
          <w:b/>
        </w:rPr>
        <w:t xml:space="preserve">Proposed Proposition ID:</w:t>
      </w:r>
      <w:r>
        <w:rPr>
          <w:rFonts w:ascii="Nimbus Sans" w:hAnsi="Nimbus Sans" w:eastAsia="Nimbus Sans" w:cs="Nimbus Sans"/>
        </w:rPr>
        <w:t xml:space="preserve"> </w:t>
      </w:r>
      <w:r>
        <w:rPr>
          <w:rFonts w:ascii="Nimbus Sans" w:hAnsi="Nimbus Sans" w:eastAsia="Nimbus Sans" w:cs="Nimbus Sans"/>
        </w:rPr>
        <w:t xml:space="preserve">P-_____</w:t>
      </w:r>
      <w:r>
        <w:rPr>
          <w:rFonts w:ascii="Nimbus Sans" w:hAnsi="Nimbus Sans" w:eastAsia="Nimbus Sans" w:cs="Nimbus Sans"/>
        </w:rPr>
        <w:br/>
      </w:r>
      <w:r>
        <w:rPr>
          <w:bCs/>
          <w:rFonts w:ascii="Nimbus Sans" w:hAnsi="Nimbus Sans" w:eastAsia="Nimbus Sans" w:cs="Nimbus Sans"/>
          <w:b/>
        </w:rPr>
        <w:t xml:space="preserve">Participant/capacity:</w:t>
      </w:r>
      <w:r>
        <w:rPr>
          <w:rFonts w:ascii="Nimbus Sans" w:hAnsi="Nimbus Sans" w:eastAsia="Nimbus Sans" w:cs="Nimbus Sans"/>
        </w:rPr>
        <w:t xml:space="preserve"> </w:t>
      </w:r>
      <w:r>
        <w:rPr>
          <w:rFonts w:ascii="Nimbus Sans" w:hAnsi="Nimbus Sans" w:eastAsia="Nimbus Sans" w:cs="Nimbus Sans"/>
        </w:rPr>
        <w:t xml:space="preserve">______________________________________________</w:t>
      </w:r>
      <w:r>
        <w:rPr>
          <w:rFonts w:ascii="Nimbus Sans" w:hAnsi="Nimbus Sans" w:eastAsia="Nimbus Sans" w:cs="Nimbus Sans"/>
        </w:rPr>
        <w:br/>
      </w:r>
      <w:r>
        <w:rPr>
          <w:bCs/>
          <w:rFonts w:ascii="Nimbus Sans" w:hAnsi="Nimbus Sans" w:eastAsia="Nimbus Sans" w:cs="Nimbus Sans"/>
          <w:b/>
        </w:rPr>
        <w:t xml:space="preserve">Drafter:</w:t>
      </w:r>
      <w:r>
        <w:rPr>
          <w:rFonts w:ascii="Nimbus Sans" w:hAnsi="Nimbus Sans" w:eastAsia="Nimbus Sans" w:cs="Nimbus Sans"/>
        </w:rPr>
        <w:t xml:space="preserve"> </w:t>
      </w:r>
      <w:r>
        <w:rPr>
          <w:rFonts w:ascii="Nimbus Sans" w:hAnsi="Nimbus Sans" w:eastAsia="Nimbus Sans" w:cs="Nimbus Sans"/>
        </w:rPr>
        <w:t xml:space="preserve">__________________</w:t>
      </w:r>
      <w:r>
        <w:rPr>
          <w:rFonts w:ascii="Nimbus Sans" w:hAnsi="Nimbus Sans" w:eastAsia="Nimbus Sans" w:cs="Nimbus Sans"/>
        </w:rPr>
        <w:t xml:space="preserve"> </w:t>
      </w:r>
      <w:r>
        <w:rPr>
          <w:bCs/>
          <w:rFonts w:ascii="Nimbus Sans" w:hAnsi="Nimbus Sans" w:eastAsia="Nimbus Sans" w:cs="Nimbus Sans"/>
          <w:b/>
        </w:rPr>
        <w:t xml:space="preserve">Independent reviewer:</w:t>
      </w:r>
      <w:r>
        <w:rPr>
          <w:rFonts w:ascii="Nimbus Sans" w:hAnsi="Nimbus Sans" w:eastAsia="Nimbus Sans" w:cs="Nimbus Sans"/>
        </w:rPr>
        <w:t xml:space="preserve"> </w:t>
      </w:r>
      <w:r>
        <w:rPr>
          <w:rFonts w:ascii="Nimbus Sans" w:hAnsi="Nimbus Sans" w:eastAsia="Nimbus Sans" w:cs="Nimbus Sans"/>
        </w:rPr>
        <w:t xml:space="preserve">__________________</w:t>
      </w:r>
      <w:r>
        <w:rPr>
          <w:rFonts w:ascii="Nimbus Sans" w:hAnsi="Nimbus Sans" w:eastAsia="Nimbus Sans" w:cs="Nimbus Sans"/>
        </w:rPr>
        <w:br/>
      </w:r>
      <w:r>
        <w:rPr>
          <w:bCs/>
          <w:rFonts w:ascii="Nimbus Sans" w:hAnsi="Nimbus Sans" w:eastAsia="Nimbus Sans" w:cs="Nimbus Sans"/>
          <w:b/>
        </w:rPr>
        <w:t xml:space="preserve">Draft date:</w:t>
      </w:r>
      <w:r>
        <w:rPr>
          <w:rFonts w:ascii="Nimbus Sans" w:hAnsi="Nimbus Sans" w:eastAsia="Nimbus Sans" w:cs="Nimbus Sans"/>
        </w:rPr>
        <w:t xml:space="preserve"> </w:t>
      </w:r>
      <w:r>
        <w:rPr>
          <w:rFonts w:ascii="Nimbus Sans" w:hAnsi="Nimbus Sans" w:eastAsia="Nimbus Sans" w:cs="Nimbus Sans"/>
        </w:rPr>
        <w:t xml:space="preserve">__________</w:t>
      </w:r>
      <w:r>
        <w:rPr>
          <w:rFonts w:ascii="Nimbus Sans" w:hAnsi="Nimbus Sans" w:eastAsia="Nimbus Sans" w:cs="Nimbus Sans"/>
        </w:rPr>
        <w:t xml:space="preserve"> </w:t>
      </w:r>
      <w:r>
        <w:rPr>
          <w:bCs/>
          <w:rFonts w:ascii="Nimbus Sans" w:hAnsi="Nimbus Sans" w:eastAsia="Nimbus Sans" w:cs="Nimbus Sans"/>
          <w:b/>
        </w:rPr>
        <w:t xml:space="preserve">Advance-disclosure date:</w:t>
      </w:r>
      <w:r>
        <w:rPr>
          <w:rFonts w:ascii="Nimbus Sans" w:hAnsi="Nimbus Sans" w:eastAsia="Nimbus Sans" w:cs="Nimbus Sans"/>
        </w:rPr>
        <w:t xml:space="preserve"> </w:t>
      </w:r>
      <w:r>
        <w:rPr>
          <w:rFonts w:ascii="Nimbus Sans" w:hAnsi="Nimbus Sans" w:eastAsia="Nimbus Sans" w:cs="Nimbus Sans"/>
        </w:rPr>
        <w:t xml:space="preserve">__________</w:t>
      </w:r>
    </w:p>
    <w:bookmarkStart w:id="70" w:name="Xa33eff91787d7d6ae60ffb659a9cb35e9c7f9a0"/>
    <w:p>
      <w:pPr>
        <w:pStyle w:val="Heading3"/>
      </w:pPr>
      <w:r>
        <w:rPr>
          <w:rFonts w:ascii="Nimbus Sans" w:hAnsi="Nimbus Sans" w:eastAsia="Nimbus Sans" w:cs="Nimbus Sans"/>
        </w:rPr>
        <w:t xml:space="preserve">15.1 Exact proposed question</w:t>
      </w:r>
    </w:p>
    <w:p>
      <w:r>
        <w:rPr>
          <w:rFonts w:ascii="Nimbus Sans" w:hAnsi="Nimbus Sans" w:eastAsia="Nimbus Sans" w:cs="Nimbus Sans"/>
        </w:rPr>
        <w:pict>
          <v:rect style="width:0;height:1.5pt" o:hralign="center" o:hrstd="t" o:hr="t"/>
        </w:pict>
      </w:r>
    </w:p>
    <w:p>
      <w:r>
        <w:rPr>
          <w:rFonts w:ascii="Nimbus Sans" w:hAnsi="Nimbus Sans" w:eastAsia="Nimbus Sans" w:cs="Nimbus Sans"/>
        </w:rPr>
        <w:pict>
          <v:rect style="width:0;height:1.5pt" o:hralign="center" o:hrstd="t" o:hr="t"/>
        </w:pict>
      </w:r>
    </w:p>
    <w:bookmarkEnd w:id="70"/>
    <w:bookmarkStart w:id="71" w:name="X85086ee964e67b14add6d4fbc73235d3606b692"/>
    <w:p>
      <w:pPr>
        <w:pStyle w:val="Heading3"/>
      </w:pPr>
      <w:r>
        <w:rPr>
          <w:rFonts w:ascii="Nimbus Sans" w:hAnsi="Nimbus Sans" w:eastAsia="Nimbus Sans" w:cs="Nimbus Sans"/>
        </w:rPr>
        <w:t xml:space="preserve">15.2 Precision fields</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2400"/>
        <w:gridCol w:w="6960"/>
      </w:tblGrid>
      <w:tr>
        <w:trPr>
          <w:tblHeader w:val="true"/>
          <w:cantSplit w:val="true"/>
        </w:trPr>
        <w:tc>
          <w:tcPr>
            <w:tcW w:type="dxa" w:w="24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Field</w:t>
            </w:r>
          </w:p>
        </w:tc>
        <w:tc>
          <w:tcPr>
            <w:tcW w:type="dxa" w:w="696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Entry</w:t>
            </w: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Actor</w:t>
            </w:r>
          </w:p>
        </w:tc>
        <w:tc>
          <w:tcPr>
            <w:tcW w:type="dxa" w:w="6960"/>
            <w:tcMar>
              <w:top w:w="80" w:type="dxa"/>
              <w:start w:w="120" w:type="dxa"/>
              <w:bottom w:w="80" w:type="dxa"/>
              <w:end w:w="120" w:type="dxa"/>
            </w:tcMar>
            <w:vAlign w:val="center"/>
          </w:tcPr>
          <w:p>
            <w:pPr>
              <w:pStyle w:val="Compact"/>
              <w:spacing w:before="0" w:after="50" w:line="252" w:lineRule="auto"/>
            </w:pP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Act, event, condition, or record state</w:t>
            </w:r>
          </w:p>
        </w:tc>
        <w:tc>
          <w:tcPr>
            <w:tcW w:type="dxa" w:w="6960"/>
            <w:tcMar>
              <w:top w:w="80" w:type="dxa"/>
              <w:start w:w="120" w:type="dxa"/>
              <w:bottom w:w="80" w:type="dxa"/>
              <w:end w:w="120" w:type="dxa"/>
            </w:tcMar>
            <w:vAlign w:val="center"/>
          </w:tcPr>
          <w:p>
            <w:pPr>
              <w:pStyle w:val="Compact"/>
              <w:spacing w:before="0" w:after="50" w:line="252" w:lineRule="auto"/>
            </w:pP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Beginning date/time</w:t>
            </w:r>
          </w:p>
        </w:tc>
        <w:tc>
          <w:tcPr>
            <w:tcW w:type="dxa" w:w="6960"/>
            <w:tcMar>
              <w:top w:w="80" w:type="dxa"/>
              <w:start w:w="120" w:type="dxa"/>
              <w:bottom w:w="80" w:type="dxa"/>
              <w:end w:w="120" w:type="dxa"/>
            </w:tcMar>
            <w:vAlign w:val="center"/>
          </w:tcPr>
          <w:p>
            <w:pPr>
              <w:pStyle w:val="Compact"/>
              <w:spacing w:before="0" w:after="50" w:line="252" w:lineRule="auto"/>
            </w:pP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Ending date/time or “as of” date</w:t>
            </w:r>
          </w:p>
        </w:tc>
        <w:tc>
          <w:tcPr>
            <w:tcW w:type="dxa" w:w="6960"/>
            <w:tcMar>
              <w:top w:w="80" w:type="dxa"/>
              <w:start w:w="120" w:type="dxa"/>
              <w:bottom w:w="80" w:type="dxa"/>
              <w:end w:w="120" w:type="dxa"/>
            </w:tcMar>
            <w:vAlign w:val="center"/>
          </w:tcPr>
          <w:p>
            <w:pPr>
              <w:pStyle w:val="Compact"/>
              <w:spacing w:before="0" w:after="50" w:line="252" w:lineRule="auto"/>
            </w:pP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Place/jurisdiction if material</w:t>
            </w:r>
          </w:p>
        </w:tc>
        <w:tc>
          <w:tcPr>
            <w:tcW w:type="dxa" w:w="6960"/>
            <w:tcMar>
              <w:top w:w="80" w:type="dxa"/>
              <w:start w:w="120" w:type="dxa"/>
              <w:bottom w:w="80" w:type="dxa"/>
              <w:end w:w="120" w:type="dxa"/>
            </w:tcMar>
            <w:vAlign w:val="center"/>
          </w:tcPr>
          <w:p>
            <w:pPr>
              <w:pStyle w:val="Compact"/>
              <w:spacing w:before="0" w:after="50" w:line="252" w:lineRule="auto"/>
            </w:pP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Amount, unit, threshold, or comparison set</w:t>
            </w:r>
          </w:p>
        </w:tc>
        <w:tc>
          <w:tcPr>
            <w:tcW w:type="dxa" w:w="6960"/>
            <w:tcMar>
              <w:top w:w="80" w:type="dxa"/>
              <w:start w:w="120" w:type="dxa"/>
              <w:bottom w:w="80" w:type="dxa"/>
              <w:end w:w="120" w:type="dxa"/>
            </w:tcMar>
            <w:vAlign w:val="center"/>
          </w:tcPr>
          <w:p>
            <w:pPr>
              <w:pStyle w:val="Compact"/>
              <w:spacing w:before="0" w:after="50" w:line="252" w:lineRule="auto"/>
            </w:pP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Defined terms</w:t>
            </w:r>
          </w:p>
        </w:tc>
        <w:tc>
          <w:tcPr>
            <w:tcW w:type="dxa" w:w="6960"/>
            <w:tcMar>
              <w:top w:w="80" w:type="dxa"/>
              <w:start w:w="120" w:type="dxa"/>
              <w:bottom w:w="80" w:type="dxa"/>
              <w:end w:w="120" w:type="dxa"/>
            </w:tcMar>
            <w:vAlign w:val="center"/>
          </w:tcPr>
          <w:p>
            <w:pPr>
              <w:pStyle w:val="Compact"/>
              <w:spacing w:before="0" w:after="50" w:line="252" w:lineRule="auto"/>
            </w:pP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Express exclusions/exceptions</w:t>
            </w:r>
          </w:p>
        </w:tc>
        <w:tc>
          <w:tcPr>
            <w:tcW w:type="dxa" w:w="6960"/>
            <w:tcMar>
              <w:top w:w="80" w:type="dxa"/>
              <w:start w:w="120" w:type="dxa"/>
              <w:bottom w:w="80" w:type="dxa"/>
              <w:end w:w="120" w:type="dxa"/>
            </w:tcMar>
            <w:vAlign w:val="center"/>
          </w:tcPr>
          <w:p>
            <w:pPr>
              <w:pStyle w:val="Compact"/>
              <w:spacing w:before="0" w:after="50" w:line="252" w:lineRule="auto"/>
            </w:pP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Participant capacity and knowledge boundary</w:t>
            </w:r>
          </w:p>
        </w:tc>
        <w:tc>
          <w:tcPr>
            <w:tcW w:type="dxa" w:w="6960"/>
            <w:tcMar>
              <w:top w:w="80" w:type="dxa"/>
              <w:start w:w="120" w:type="dxa"/>
              <w:bottom w:w="80" w:type="dxa"/>
              <w:end w:w="120" w:type="dxa"/>
            </w:tcMar>
            <w:vAlign w:val="center"/>
          </w:tcPr>
          <w:p>
            <w:pPr>
              <w:pStyle w:val="Compact"/>
              <w:spacing w:before="0" w:after="50" w:line="252" w:lineRule="auto"/>
            </w:pPr>
          </w:p>
        </w:tc>
      </w:tr>
    </w:tbl>
    <w:bookmarkEnd w:id="71"/>
    <w:bookmarkStart w:id="72" w:name="X4132d7d60a2e0008c88a0f0f22b7fd81e5f03a1"/>
    <w:p>
      <w:pPr>
        <w:pStyle w:val="Heading3"/>
      </w:pPr>
      <w:r>
        <w:rPr>
          <w:rFonts w:ascii="Nimbus Sans" w:hAnsi="Nimbus Sans" w:eastAsia="Nimbus Sans" w:cs="Nimbus Sans"/>
        </w:rPr>
        <w:t xml:space="preserve">15.3 Material-meaning matrix</w:t>
      </w:r>
    </w:p>
    <w:p>
      <w:pPr>
        <w:pStyle w:val="FirstParagraph"/>
      </w:pPr>
      <w:r>
        <w:rPr>
          <w:bCs/>
          <w:rFonts w:ascii="Nimbus Sans" w:hAnsi="Nimbus Sans" w:eastAsia="Nimbus Sans" w:cs="Nimbus Sans"/>
          <w:b/>
        </w:rPr>
        <w:t xml:space="preserve">A true response would establish only:</w:t>
      </w:r>
    </w:p>
    <w:p>
      <w:r>
        <w:rPr>
          <w:rFonts w:ascii="Nimbus Sans" w:hAnsi="Nimbus Sans" w:eastAsia="Nimbus Sans" w:cs="Nimbus Sans"/>
        </w:rPr>
        <w:pict>
          <v:rect style="width:0;height:1.5pt" o:hralign="center" o:hrstd="t" o:hr="t"/>
        </w:pict>
      </w:r>
    </w:p>
    <w:p>
      <w:pPr>
        <w:pStyle w:val="FirstParagraph"/>
      </w:pPr>
      <w:r>
        <w:rPr>
          <w:bCs/>
          <w:rFonts w:ascii="Nimbus Sans" w:hAnsi="Nimbus Sans" w:eastAsia="Nimbus Sans" w:cs="Nimbus Sans"/>
          <w:b/>
        </w:rPr>
        <w:t xml:space="preserve">A false response would establish only:</w:t>
      </w:r>
    </w:p>
    <w:p>
      <w:r>
        <w:rPr>
          <w:rFonts w:ascii="Nimbus Sans" w:hAnsi="Nimbus Sans" w:eastAsia="Nimbus Sans" w:cs="Nimbus Sans"/>
        </w:rPr>
        <w:pict>
          <v:rect style="width:0;height:1.5pt" o:hralign="center" o:hrstd="t" o:hr="t"/>
        </w:pict>
      </w:r>
    </w:p>
    <w:p>
      <w:pPr>
        <w:pStyle w:val="FirstParagraph"/>
      </w:pPr>
      <w:r>
        <w:rPr>
          <w:bCs/>
          <w:rFonts w:ascii="Nimbus Sans" w:hAnsi="Nimbus Sans" w:eastAsia="Nimbus Sans" w:cs="Nimbus Sans"/>
          <w:b/>
        </w:rPr>
        <w:t xml:space="preserve">Neither response would establish:</w:t>
      </w:r>
    </w:p>
    <w:p>
      <w:r>
        <w:rPr>
          <w:rFonts w:ascii="Nimbus Sans" w:hAnsi="Nimbus Sans" w:eastAsia="Nimbus Sans" w:cs="Nimbus Sans"/>
        </w:rPr>
        <w:pict>
          <v:rect style="width:0;height:1.5pt" o:hralign="center" o:hrstd="t" o:hr="t"/>
        </w:pict>
      </w:r>
    </w:p>
    <w:p>
      <w:pPr>
        <w:pStyle w:val="FirstParagraph"/>
      </w:pPr>
      <w:r>
        <w:rPr>
          <w:bCs/>
          <w:rFonts w:ascii="Nimbus Sans" w:hAnsi="Nimbus Sans" w:eastAsia="Nimbus Sans" w:cs="Nimbus Sans"/>
          <w:b/>
        </w:rPr>
        <w:t xml:space="preserve">Potential misleading implication and control:</w:t>
      </w:r>
    </w:p>
    <w:p>
      <w:r>
        <w:rPr>
          <w:rFonts w:ascii="Nimbus Sans" w:hAnsi="Nimbus Sans" w:eastAsia="Nimbus Sans" w:cs="Nimbus Sans"/>
        </w:rPr>
        <w:pict>
          <v:rect style="width:0;height:1.5pt" o:hralign="center" o:hrstd="t" o:hr="t"/>
        </w:pict>
      </w:r>
    </w:p>
    <w:bookmarkEnd w:id="72"/>
    <w:bookmarkStart w:id="73" w:name="X6cfde7644fc37d8e748a9bdcea68834d51dc8ee"/>
    <w:p>
      <w:pPr>
        <w:pStyle w:val="Heading3"/>
      </w:pPr>
      <w:r>
        <w:rPr>
          <w:rFonts w:ascii="Nimbus Sans" w:hAnsi="Nimbus Sans" w:eastAsia="Nimbus Sans" w:cs="Nimbus Sans"/>
        </w:rPr>
        <w:t xml:space="preserve">15.4 Source and counter-source disclosure</w:t>
      </w:r>
    </w:p>
    <w:p>
      <w:pPr>
        <w:pStyle w:val="FirstParagraph"/>
      </w:pPr>
      <w:r>
        <w:rPr>
          <w:bCs/>
          <w:rFonts w:ascii="Nimbus Sans" w:hAnsi="Nimbus Sans" w:eastAsia="Nimbus Sans" w:cs="Nimbus Sans"/>
          <w:b/>
        </w:rPr>
        <w:t xml:space="preserve">Supporting Source Packet ID/version:</w:t>
      </w:r>
      <w:r>
        <w:rPr>
          <w:rFonts w:ascii="Nimbus Sans" w:hAnsi="Nimbus Sans" w:eastAsia="Nimbus Sans" w:cs="Nimbus Sans"/>
        </w:rPr>
        <w:t xml:space="preserve"> </w:t>
      </w:r>
      <w:r>
        <w:rPr>
          <w:rFonts w:ascii="Nimbus Sans" w:hAnsi="Nimbus Sans" w:eastAsia="Nimbus Sans" w:cs="Nimbus Sans"/>
        </w:rPr>
        <w:t xml:space="preserve">_______________________________</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1500"/>
        <w:gridCol w:w="1700"/>
        <w:gridCol w:w="3300"/>
        <w:gridCol w:w="2860"/>
      </w:tblGrid>
      <w:tr>
        <w:trPr>
          <w:tblHeader w:val="true"/>
          <w:cantSplit w:val="true"/>
        </w:trPr>
        <w:tc>
          <w:tcPr>
            <w:tcW w:type="dxa" w:w="15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Source ID</w:t>
            </w:r>
          </w:p>
        </w:tc>
        <w:tc>
          <w:tcPr>
            <w:tcW w:type="dxa" w:w="17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Exact page/section</w:t>
            </w:r>
          </w:p>
        </w:tc>
        <w:tc>
          <w:tcPr>
            <w:tcW w:type="dxa" w:w="33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Proposition supported</w:t>
            </w:r>
          </w:p>
        </w:tc>
        <w:tc>
          <w:tcPr>
            <w:tcW w:type="dxa" w:w="286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Reliability/adverse limit</w:t>
            </w:r>
          </w:p>
        </w:tc>
      </w:tr>
      <w:tr>
        <w:trPr>
          <w:cantSplit w:val="true"/>
        </w:trPr>
        <w:tc>
          <w:tcPr>
            <w:tcW w:type="dxa" w:w="1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S-___</w:t>
            </w:r>
          </w:p>
        </w:tc>
        <w:tc>
          <w:tcPr>
            <w:tcW w:type="dxa" w:w="1700"/>
            <w:tcMar>
              <w:top w:w="80" w:type="dxa"/>
              <w:start w:w="120" w:type="dxa"/>
              <w:bottom w:w="80" w:type="dxa"/>
              <w:end w:w="120" w:type="dxa"/>
            </w:tcMar>
            <w:vAlign w:val="center"/>
          </w:tcPr>
          <w:p>
            <w:pPr>
              <w:pStyle w:val="Compact"/>
              <w:spacing w:before="0" w:after="50" w:line="252" w:lineRule="auto"/>
            </w:pPr>
          </w:p>
        </w:tc>
        <w:tc>
          <w:tcPr>
            <w:tcW w:type="dxa" w:w="3300"/>
            <w:tcMar>
              <w:top w:w="80" w:type="dxa"/>
              <w:start w:w="120" w:type="dxa"/>
              <w:bottom w:w="80" w:type="dxa"/>
              <w:end w:w="120" w:type="dxa"/>
            </w:tcMar>
            <w:vAlign w:val="center"/>
          </w:tcPr>
          <w:p>
            <w:pPr>
              <w:pStyle w:val="Compact"/>
              <w:spacing w:before="0" w:after="50" w:line="252" w:lineRule="auto"/>
            </w:pPr>
          </w:p>
        </w:tc>
        <w:tc>
          <w:tcPr>
            <w:tcW w:type="dxa" w:w="2860"/>
            <w:tcMar>
              <w:top w:w="80" w:type="dxa"/>
              <w:start w:w="120" w:type="dxa"/>
              <w:bottom w:w="80" w:type="dxa"/>
              <w:end w:w="120" w:type="dxa"/>
            </w:tcMar>
            <w:vAlign w:val="center"/>
          </w:tcPr>
          <w:p>
            <w:pPr>
              <w:pStyle w:val="Compact"/>
              <w:spacing w:before="0" w:after="50" w:line="252" w:lineRule="auto"/>
            </w:pPr>
          </w:p>
        </w:tc>
      </w:tr>
    </w:tbl>
    <w:p>
      <w:pPr>
        <w:pStyle w:val="BodyText"/>
      </w:pPr>
      <w:r>
        <w:rPr>
          <w:bCs/>
          <w:rFonts w:ascii="Nimbus Sans" w:hAnsi="Nimbus Sans" w:eastAsia="Nimbus Sans" w:cs="Nimbus Sans"/>
          <w:b/>
        </w:rPr>
        <w:t xml:space="preserve">Strongest Contrary Source Packet ID/version:</w:t>
      </w:r>
      <w:r>
        <w:rPr>
          <w:rFonts w:ascii="Nimbus Sans" w:hAnsi="Nimbus Sans" w:eastAsia="Nimbus Sans" w:cs="Nimbus Sans"/>
        </w:rPr>
        <w:t xml:space="preserve"> </w:t>
      </w:r>
      <w:r>
        <w:rPr>
          <w:rFonts w:ascii="Nimbus Sans" w:hAnsi="Nimbus Sans" w:eastAsia="Nimbus Sans" w:cs="Nimbus Sans"/>
        </w:rPr>
        <w:t xml:space="preserve">________________________</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1500"/>
        <w:gridCol w:w="1700"/>
        <w:gridCol w:w="3300"/>
        <w:gridCol w:w="2860"/>
      </w:tblGrid>
      <w:tr>
        <w:trPr>
          <w:tblHeader w:val="true"/>
          <w:cantSplit w:val="true"/>
        </w:trPr>
        <w:tc>
          <w:tcPr>
            <w:tcW w:type="dxa" w:w="15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Source ID</w:t>
            </w:r>
          </w:p>
        </w:tc>
        <w:tc>
          <w:tcPr>
            <w:tcW w:type="dxa" w:w="17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Exact page/section</w:t>
            </w:r>
          </w:p>
        </w:tc>
        <w:tc>
          <w:tcPr>
            <w:tcW w:type="dxa" w:w="33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Contrary/limiting proposition</w:t>
            </w:r>
          </w:p>
        </w:tc>
        <w:tc>
          <w:tcPr>
            <w:tcW w:type="dxa" w:w="286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Reliability/adverse limit</w:t>
            </w:r>
          </w:p>
        </w:tc>
      </w:tr>
      <w:tr>
        <w:trPr>
          <w:cantSplit w:val="true"/>
        </w:trPr>
        <w:tc>
          <w:tcPr>
            <w:tcW w:type="dxa" w:w="1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C-___</w:t>
            </w:r>
          </w:p>
        </w:tc>
        <w:tc>
          <w:tcPr>
            <w:tcW w:type="dxa" w:w="1700"/>
            <w:tcMar>
              <w:top w:w="80" w:type="dxa"/>
              <w:start w:w="120" w:type="dxa"/>
              <w:bottom w:w="80" w:type="dxa"/>
              <w:end w:w="120" w:type="dxa"/>
            </w:tcMar>
            <w:vAlign w:val="center"/>
          </w:tcPr>
          <w:p>
            <w:pPr>
              <w:pStyle w:val="Compact"/>
              <w:spacing w:before="0" w:after="50" w:line="252" w:lineRule="auto"/>
            </w:pPr>
          </w:p>
        </w:tc>
        <w:tc>
          <w:tcPr>
            <w:tcW w:type="dxa" w:w="3300"/>
            <w:tcMar>
              <w:top w:w="80" w:type="dxa"/>
              <w:start w:w="120" w:type="dxa"/>
              <w:bottom w:w="80" w:type="dxa"/>
              <w:end w:w="120" w:type="dxa"/>
            </w:tcMar>
            <w:vAlign w:val="center"/>
          </w:tcPr>
          <w:p>
            <w:pPr>
              <w:pStyle w:val="Compact"/>
              <w:spacing w:before="0" w:after="50" w:line="252" w:lineRule="auto"/>
            </w:pPr>
          </w:p>
        </w:tc>
        <w:tc>
          <w:tcPr>
            <w:tcW w:type="dxa" w:w="2860"/>
            <w:tcMar>
              <w:top w:w="80" w:type="dxa"/>
              <w:start w:w="120" w:type="dxa"/>
              <w:bottom w:w="80" w:type="dxa"/>
              <w:end w:w="120" w:type="dxa"/>
            </w:tcMar>
            <w:vAlign w:val="center"/>
          </w:tcPr>
          <w:p>
            <w:pPr>
              <w:pStyle w:val="Compact"/>
              <w:spacing w:before="0" w:after="50" w:line="252" w:lineRule="auto"/>
            </w:pPr>
          </w:p>
        </w:tc>
      </w:tr>
    </w:tbl>
    <w:p>
      <w:pPr>
        <w:pStyle w:val="BodyText"/>
      </w:pPr>
      <w:r>
        <w:rPr>
          <w:rFonts w:ascii="Nimbus Sans" w:hAnsi="Nimbus Sans" w:eastAsia="Nimbus Sans" w:cs="Nimbus Sans"/>
        </w:rPr>
        <w:t xml:space="preserve">If no materially contrary source was located, list the databases, search terms, date range, and search date. Write</w:t>
      </w:r>
      <w:r>
        <w:rPr>
          <w:rFonts w:ascii="Nimbus Sans" w:hAnsi="Nimbus Sans" w:eastAsia="Nimbus Sans" w:cs="Nimbus Sans"/>
        </w:rPr>
        <w:t xml:space="preserve"> </w:t>
      </w:r>
      <w:r>
        <w:rPr>
          <w:bCs/>
          <w:rFonts w:ascii="Nimbus Sans" w:hAnsi="Nimbus Sans" w:eastAsia="Nimbus Sans" w:cs="Nimbus Sans"/>
          <w:b/>
        </w:rPr>
        <w:t xml:space="preserve">“none located,” never “none exists.”</w:t>
      </w:r>
    </w:p>
    <w:p>
      <w:pPr>
        <w:pStyle w:val="BodyText"/>
      </w:pPr>
      <w:r>
        <w:rPr>
          <w:bCs/>
          <w:rFonts w:ascii="Nimbus Sans" w:hAnsi="Nimbus Sans" w:eastAsia="Nimbus Sans" w:cs="Nimbus Sans"/>
          <w:b/>
        </w:rPr>
        <w:t xml:space="preserve">Disposition of contrary material:</w:t>
      </w:r>
      <w:r>
        <w:rPr>
          <w:rFonts w:ascii="Nimbus Sans" w:hAnsi="Nimbus Sans" w:eastAsia="Nimbus Sans" w:cs="Nimbus Sans"/>
        </w:rPr>
        <w:t xml:space="preserve"> </w:t>
      </w:r>
      <w:r>
        <w:rPr>
          <w:rFonts w:ascii="Nimbus Sans" w:hAnsi="Nimbus Sans" w:eastAsia="Nimbus Sans" w:cs="Nimbus Sans"/>
        </w:rPr>
        <w:t xml:space="preserve">[ ] no change [ ] revise question [ ] require qualification [ ] remove [ ] further research</w:t>
      </w:r>
    </w:p>
    <w:bookmarkEnd w:id="73"/>
    <w:bookmarkStart w:id="74" w:name="X16f8d8cc25ae9ed1f5595257ff4ec6b8173ed98"/>
    <w:p>
      <w:pPr>
        <w:pStyle w:val="Heading3"/>
      </w:pPr>
      <w:r>
        <w:rPr>
          <w:rFonts w:ascii="Nimbus Sans" w:hAnsi="Nimbus Sans" w:eastAsia="Nimbus Sans" w:cs="Nimbus Sans"/>
        </w:rPr>
        <w:t xml:space="preserve">15.5 Special-risk exclusions</w:t>
      </w:r>
    </w:p>
    <w:p>
      <w:pPr>
        <w:pStyle w:val="FirstParagraph"/>
      </w:pPr>
      <w:r>
        <w:rPr>
          <w:rFonts w:ascii="Nimbus Sans" w:hAnsi="Nimbus Sans" w:eastAsia="Nimbus Sans" w:cs="Nimbus Sans"/>
        </w:rPr>
        <w:t xml:space="preserve">Hold the item for counsel if it concerns an active civil/criminal/administrative matter; possible self-incrimination; classified, sealed, privileged, protected whistleblower, health, education, tax, personnel, trade-secret, confidential-source, or NDA material; a private third party; sexual conduct; medical/disability status; minors; biometric/health inference; or information the participant may not lawfully disclose.</w:t>
      </w:r>
    </w:p>
    <w:bookmarkEnd w:id="74"/>
    <w:bookmarkStart w:id="75" w:name="Xe1e6c2b8544e97d88e384b5c1d5a2dfc8020e36"/>
    <w:p>
      <w:pPr>
        <w:pStyle w:val="Heading3"/>
      </w:pPr>
      <w:r>
        <w:rPr>
          <w:rFonts w:ascii="Nimbus Sans" w:hAnsi="Nimbus Sans" w:eastAsia="Nimbus Sans" w:cs="Nimbus Sans"/>
        </w:rPr>
        <w:t xml:space="preserve">15.6 Admission disposition</w:t>
      </w:r>
    </w:p>
    <w:p>
      <w:pPr>
        <w:numPr>
          <w:ilvl w:val="0"/>
          <w:numId w:val="1008"/>
        </w:numPr>
        <w:pStyle w:val="Compact"/>
        <w:spacing w:after="120" w:line="280" w:lineRule="auto"/>
      </w:pPr>
      <w:r>
        <w:rPr>
          <w:rFonts w:ascii="Nimbus Sans" w:hAnsi="Nimbus Sans" w:eastAsia="Nimbus Sans" w:cs="Nimbus Sans"/>
        </w:rPr>
        <w:t xml:space="preserve">☐ Admit to proposed CSR</w:t>
      </w:r>
    </w:p>
    <w:p>
      <w:pPr>
        <w:numPr>
          <w:ilvl w:val="0"/>
          <w:numId w:val="1008"/>
        </w:numPr>
        <w:pStyle w:val="Compact"/>
        <w:spacing w:after="120" w:line="280" w:lineRule="auto"/>
      </w:pPr>
      <w:r>
        <w:rPr>
          <w:rFonts w:ascii="Nimbus Sans" w:hAnsi="Nimbus Sans" w:eastAsia="Nimbus Sans" w:cs="Nimbus Sans"/>
        </w:rPr>
        <w:t xml:space="preserve">☐ Return for revision</w:t>
      </w:r>
    </w:p>
    <w:p>
      <w:pPr>
        <w:numPr>
          <w:ilvl w:val="0"/>
          <w:numId w:val="1008"/>
        </w:numPr>
        <w:pStyle w:val="Compact"/>
        <w:spacing w:after="120" w:line="280" w:lineRule="auto"/>
      </w:pPr>
      <w:r>
        <w:rPr>
          <w:rFonts w:ascii="Nimbus Sans" w:hAnsi="Nimbus Sans" w:eastAsia="Nimbus Sans" w:cs="Nimbus Sans"/>
        </w:rPr>
        <w:t xml:space="preserve">☐ Move to unsworn interview</w:t>
      </w:r>
    </w:p>
    <w:p>
      <w:pPr>
        <w:numPr>
          <w:ilvl w:val="0"/>
          <w:numId w:val="1008"/>
        </w:numPr>
        <w:pStyle w:val="Compact"/>
        <w:spacing w:after="120" w:line="280" w:lineRule="auto"/>
      </w:pPr>
      <w:r>
        <w:rPr>
          <w:rFonts w:ascii="Nimbus Sans" w:hAnsi="Nimbus Sans" w:eastAsia="Nimbus Sans" w:cs="Nimbus Sans"/>
        </w:rPr>
        <w:t xml:space="preserve">☐ Reject</w:t>
      </w:r>
    </w:p>
    <w:p>
      <w:pPr>
        <w:numPr>
          <w:ilvl w:val="0"/>
          <w:numId w:val="1008"/>
        </w:numPr>
        <w:pStyle w:val="Compact"/>
        <w:spacing w:after="120" w:line="280" w:lineRule="auto"/>
      </w:pPr>
      <w:r>
        <w:rPr>
          <w:rFonts w:ascii="Nimbus Sans" w:hAnsi="Nimbus Sans" w:eastAsia="Nimbus Sans" w:cs="Nimbus Sans"/>
        </w:rPr>
        <w:t xml:space="preserve">☐ Hold for evidence or specialist counsel</w:t>
      </w:r>
    </w:p>
    <w:p>
      <w:pPr>
        <w:pStyle w:val="FirstParagraph"/>
      </w:pPr>
      <w:r>
        <w:rPr>
          <w:bCs/>
          <w:rFonts w:ascii="Nimbus Sans" w:hAnsi="Nimbus Sans" w:eastAsia="Nimbus Sans" w:cs="Nimbus Sans"/>
          <w:b/>
        </w:rPr>
        <w:t xml:space="preserve">Fact editor:</w:t>
      </w:r>
      <w:r>
        <w:rPr>
          <w:rFonts w:ascii="Nimbus Sans" w:hAnsi="Nimbus Sans" w:eastAsia="Nimbus Sans" w:cs="Nimbus Sans"/>
        </w:rPr>
        <w:t xml:space="preserve"> </w:t>
      </w:r>
      <w:r>
        <w:rPr>
          <w:rFonts w:ascii="Nimbus Sans" w:hAnsi="Nimbus Sans" w:eastAsia="Nimbus Sans" w:cs="Nimbus Sans"/>
        </w:rPr>
        <w:t xml:space="preserve">__________________</w:t>
      </w:r>
      <w:r>
        <w:rPr>
          <w:rFonts w:ascii="Nimbus Sans" w:hAnsi="Nimbus Sans" w:eastAsia="Nimbus Sans" w:cs="Nimbus Sans"/>
        </w:rPr>
        <w:t xml:space="preserve"> </w:t>
      </w:r>
      <w:r>
        <w:rPr>
          <w:bCs/>
          <w:rFonts w:ascii="Nimbus Sans" w:hAnsi="Nimbus Sans" w:eastAsia="Nimbus Sans" w:cs="Nimbus Sans"/>
          <w:b/>
        </w:rPr>
        <w:t xml:space="preserve">Date:</w:t>
      </w:r>
      <w:r>
        <w:rPr>
          <w:rFonts w:ascii="Nimbus Sans" w:hAnsi="Nimbus Sans" w:eastAsia="Nimbus Sans" w:cs="Nimbus Sans"/>
        </w:rPr>
        <w:t xml:space="preserve"> </w:t>
      </w:r>
      <w:r>
        <w:rPr>
          <w:rFonts w:ascii="Nimbus Sans" w:hAnsi="Nimbus Sans" w:eastAsia="Nimbus Sans" w:cs="Nimbus Sans"/>
        </w:rPr>
        <w:t xml:space="preserve">__________</w:t>
      </w:r>
      <w:r>
        <w:rPr>
          <w:rFonts w:ascii="Nimbus Sans" w:hAnsi="Nimbus Sans" w:eastAsia="Nimbus Sans" w:cs="Nimbus Sans"/>
        </w:rPr>
        <w:br/>
      </w:r>
      <w:r>
        <w:rPr>
          <w:bCs/>
          <w:rFonts w:ascii="Nimbus Sans" w:hAnsi="Nimbus Sans" w:eastAsia="Nimbus Sans" w:cs="Nimbus Sans"/>
          <w:b/>
        </w:rPr>
        <w:t xml:space="preserve">Legal/media reviewer:</w:t>
      </w:r>
      <w:r>
        <w:rPr>
          <w:rFonts w:ascii="Nimbus Sans" w:hAnsi="Nimbus Sans" w:eastAsia="Nimbus Sans" w:cs="Nimbus Sans"/>
        </w:rPr>
        <w:t xml:space="preserve"> </w:t>
      </w:r>
      <w:r>
        <w:rPr>
          <w:rFonts w:ascii="Nimbus Sans" w:hAnsi="Nimbus Sans" w:eastAsia="Nimbus Sans" w:cs="Nimbus Sans"/>
        </w:rPr>
        <w:t xml:space="preserve">__________________</w:t>
      </w:r>
      <w:r>
        <w:rPr>
          <w:rFonts w:ascii="Nimbus Sans" w:hAnsi="Nimbus Sans" w:eastAsia="Nimbus Sans" w:cs="Nimbus Sans"/>
        </w:rPr>
        <w:t xml:space="preserve"> </w:t>
      </w:r>
      <w:r>
        <w:rPr>
          <w:bCs/>
          <w:rFonts w:ascii="Nimbus Sans" w:hAnsi="Nimbus Sans" w:eastAsia="Nimbus Sans" w:cs="Nimbus Sans"/>
          <w:b/>
        </w:rPr>
        <w:t xml:space="preserve">Date:</w:t>
      </w:r>
      <w:r>
        <w:rPr>
          <w:rFonts w:ascii="Nimbus Sans" w:hAnsi="Nimbus Sans" w:eastAsia="Nimbus Sans" w:cs="Nimbus Sans"/>
        </w:rPr>
        <w:t xml:space="preserve"> </w:t>
      </w:r>
      <w:r>
        <w:rPr>
          <w:rFonts w:ascii="Nimbus Sans" w:hAnsi="Nimbus Sans" w:eastAsia="Nimbus Sans" w:cs="Nimbus Sans"/>
        </w:rPr>
        <w:t xml:space="preserve">__________</w:t>
      </w:r>
      <w:r>
        <w:rPr>
          <w:rFonts w:ascii="Nimbus Sans" w:hAnsi="Nimbus Sans" w:eastAsia="Nimbus Sans" w:cs="Nimbus Sans"/>
        </w:rPr>
        <w:br/>
      </w:r>
      <w:r>
        <w:rPr>
          <w:bCs/>
          <w:rFonts w:ascii="Nimbus Sans" w:hAnsi="Nimbus Sans" w:eastAsia="Nimbus Sans" w:cs="Nimbus Sans"/>
          <w:b/>
        </w:rPr>
        <w:t xml:space="preserve">Reason and conditions:</w:t>
      </w:r>
      <w:r>
        <w:rPr>
          <w:rFonts w:ascii="Nimbus Sans" w:hAnsi="Nimbus Sans" w:eastAsia="Nimbus Sans" w:cs="Nimbus Sans"/>
        </w:rPr>
        <w:t xml:space="preserve"> </w:t>
      </w:r>
      <w:r>
        <w:rPr>
          <w:rFonts w:ascii="Nimbus Sans" w:hAnsi="Nimbus Sans" w:eastAsia="Nimbus Sans" w:cs="Nimbus Sans"/>
        </w:rPr>
        <w:t xml:space="preserve">____________________________________________</w:t>
      </w:r>
    </w:p>
    <w:p>
      <w:pPr>
        <w:pStyle w:val="BodyText"/>
      </w:pPr>
      <w:r>
        <w:rPr>
          <w:rFonts w:ascii="Nimbus Sans" w:hAnsi="Nimbus Sans" w:eastAsia="Nimbus Sans" w:cs="Nimbus Sans"/>
        </w:rPr>
        <w:t xml:space="preserve">The notary does not approve substantive content, source adequacy, legal meaning, or editorial fairness. The notary reviews only whether the fixed workflow and counsel-selected certificate can be performed within the notary’s lawful role.</w:t>
      </w:r>
    </w:p>
    <w:bookmarkEnd w:id="75"/>
    <w:bookmarkEnd w:id="76"/>
    <w:bookmarkStart w:id="78" w:name="X0e63dee4b4af9fc784e5237d5144e7846076703"/>
    <w:p>
      <w:pPr>
        <w:pStyle w:val="Heading2"/>
      </w:pPr>
      <w:r>
        <w:rPr>
          <w:rFonts w:ascii="Nimbus Sans" w:hAnsi="Nimbus Sans" w:eastAsia="Nimbus Sans" w:cs="Nimbus Sans"/>
        </w:rPr>
        <w:t xml:space="preserve">16. CSR document-control cover</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UNSWORN ADMINISTRATIVE PAGE — NOT ADOPTED AS FACTUAL CONTENT</w:t>
      </w:r>
    </w:p>
    <w:p>
      <w:pPr>
        <w:pStyle w:val="FirstParagraph"/>
      </w:pPr>
      <w:r>
        <w:rPr>
          <w:bCs/>
          <w:rFonts w:ascii="Nimbus Sans" w:hAnsi="Nimbus Sans" w:eastAsia="Nimbus Sans" w:cs="Nimbus Sans"/>
          <w:b/>
        </w:rPr>
        <w:t xml:space="preserve">Canonical Sworn Record ID:</w:t>
      </w:r>
      <w:r>
        <w:rPr>
          <w:rFonts w:ascii="Nimbus Sans" w:hAnsi="Nimbus Sans" w:eastAsia="Nimbus Sans" w:cs="Nimbus Sans"/>
        </w:rPr>
        <w:t xml:space="preserve"> </w:t>
      </w:r>
      <w:r>
        <w:rPr>
          <w:rFonts w:ascii="Nimbus Sans" w:hAnsi="Nimbus Sans" w:eastAsia="Nimbus Sans" w:cs="Nimbus Sans"/>
        </w:rPr>
        <w:t xml:space="preserve">CSR-________________</w:t>
      </w:r>
      <w:r>
        <w:rPr>
          <w:rFonts w:ascii="Nimbus Sans" w:hAnsi="Nimbus Sans" w:eastAsia="Nimbus Sans" w:cs="Nimbus Sans"/>
        </w:rPr>
        <w:br/>
      </w:r>
      <w:r>
        <w:rPr>
          <w:bCs/>
          <w:rFonts w:ascii="Nimbus Sans" w:hAnsi="Nimbus Sans" w:eastAsia="Nimbus Sans" w:cs="Nimbus Sans"/>
          <w:b/>
        </w:rPr>
        <w:t xml:space="preserve">Version:</w:t>
      </w:r>
      <w:r>
        <w:rPr>
          <w:rFonts w:ascii="Nimbus Sans" w:hAnsi="Nimbus Sans" w:eastAsia="Nimbus Sans" w:cs="Nimbus Sans"/>
        </w:rPr>
        <w:t xml:space="preserve"> </w:t>
      </w:r>
      <w:r>
        <w:rPr>
          <w:rFonts w:ascii="Nimbus Sans" w:hAnsi="Nimbus Sans" w:eastAsia="Nimbus Sans" w:cs="Nimbus Sans"/>
        </w:rPr>
        <w:t xml:space="preserve">________</w:t>
      </w:r>
      <w:r>
        <w:rPr>
          <w:rFonts w:ascii="Nimbus Sans" w:hAnsi="Nimbus Sans" w:eastAsia="Nimbus Sans" w:cs="Nimbus Sans"/>
        </w:rPr>
        <w:br/>
      </w:r>
      <w:r>
        <w:rPr>
          <w:bCs/>
          <w:rFonts w:ascii="Nimbus Sans" w:hAnsi="Nimbus Sans" w:eastAsia="Nimbus Sans" w:cs="Nimbus Sans"/>
          <w:b/>
        </w:rPr>
        <w:t xml:space="preserve">Manifest ID:</w:t>
      </w:r>
      <w:r>
        <w:rPr>
          <w:rFonts w:ascii="Nimbus Sans" w:hAnsi="Nimbus Sans" w:eastAsia="Nimbus Sans" w:cs="Nimbus Sans"/>
        </w:rPr>
        <w:t xml:space="preserve"> </w:t>
      </w:r>
      <w:r>
        <w:rPr>
          <w:rFonts w:ascii="Nimbus Sans" w:hAnsi="Nimbus Sans" w:eastAsia="Nimbus Sans" w:cs="Nimbus Sans"/>
        </w:rPr>
        <w:t xml:space="preserve">__________________</w:t>
      </w:r>
      <w:r>
        <w:rPr>
          <w:rFonts w:ascii="Nimbus Sans" w:hAnsi="Nimbus Sans" w:eastAsia="Nimbus Sans" w:cs="Nimbus Sans"/>
        </w:rPr>
        <w:br/>
      </w:r>
      <w:r>
        <w:rPr>
          <w:bCs/>
          <w:rFonts w:ascii="Nimbus Sans" w:hAnsi="Nimbus Sans" w:eastAsia="Nimbus Sans" w:cs="Nimbus Sans"/>
          <w:b/>
        </w:rPr>
        <w:t xml:space="preserve">Session date:</w:t>
      </w:r>
      <w:r>
        <w:rPr>
          <w:rFonts w:ascii="Nimbus Sans" w:hAnsi="Nimbus Sans" w:eastAsia="Nimbus Sans" w:cs="Nimbus Sans"/>
        </w:rPr>
        <w:t xml:space="preserve"> </w:t>
      </w:r>
      <w:r>
        <w:rPr>
          <w:rFonts w:ascii="Nimbus Sans" w:hAnsi="Nimbus Sans" w:eastAsia="Nimbus Sans" w:cs="Nimbus Sans"/>
        </w:rPr>
        <w:t xml:space="preserve">__________</w:t>
      </w:r>
      <w:r>
        <w:rPr>
          <w:rFonts w:ascii="Nimbus Sans" w:hAnsi="Nimbus Sans" w:eastAsia="Nimbus Sans" w:cs="Nimbus Sans"/>
        </w:rPr>
        <w:br/>
      </w:r>
      <w:r>
        <w:rPr>
          <w:bCs/>
          <w:rFonts w:ascii="Nimbus Sans" w:hAnsi="Nimbus Sans" w:eastAsia="Nimbus Sans" w:cs="Nimbus Sans"/>
          <w:b/>
        </w:rPr>
        <w:t xml:space="preserve">Actual Washington venue/county:</w:t>
      </w:r>
      <w:r>
        <w:rPr>
          <w:rFonts w:ascii="Nimbus Sans" w:hAnsi="Nimbus Sans" w:eastAsia="Nimbus Sans" w:cs="Nimbus Sans"/>
        </w:rPr>
        <w:t xml:space="preserve"> </w:t>
      </w:r>
      <w:r>
        <w:rPr>
          <w:rFonts w:ascii="Nimbus Sans" w:hAnsi="Nimbus Sans" w:eastAsia="Nimbus Sans" w:cs="Nimbus Sans"/>
        </w:rPr>
        <w:t xml:space="preserve">_________________________________</w:t>
      </w:r>
      <w:r>
        <w:rPr>
          <w:rFonts w:ascii="Nimbus Sans" w:hAnsi="Nimbus Sans" w:eastAsia="Nimbus Sans" w:cs="Nimbus Sans"/>
        </w:rPr>
        <w:br/>
      </w:r>
      <w:r>
        <w:rPr>
          <w:bCs/>
          <w:rFonts w:ascii="Nimbus Sans" w:hAnsi="Nimbus Sans" w:eastAsia="Nimbus Sans" w:cs="Nimbus Sans"/>
          <w:b/>
        </w:rPr>
        <w:t xml:space="preserve">Participant public name/capacity:</w:t>
      </w:r>
      <w:r>
        <w:rPr>
          <w:rFonts w:ascii="Nimbus Sans" w:hAnsi="Nimbus Sans" w:eastAsia="Nimbus Sans" w:cs="Nimbus Sans"/>
        </w:rPr>
        <w:t xml:space="preserve"> </w:t>
      </w:r>
      <w:r>
        <w:rPr>
          <w:rFonts w:ascii="Nimbus Sans" w:hAnsi="Nimbus Sans" w:eastAsia="Nimbus Sans" w:cs="Nimbus Sans"/>
        </w:rPr>
        <w:t xml:space="preserve">_________________________________</w:t>
      </w:r>
      <w:r>
        <w:rPr>
          <w:rFonts w:ascii="Nimbus Sans" w:hAnsi="Nimbus Sans" w:eastAsia="Nimbus Sans" w:cs="Nimbus Sans"/>
        </w:rPr>
        <w:br/>
      </w:r>
      <w:r>
        <w:rPr>
          <w:bCs/>
          <w:rFonts w:ascii="Nimbus Sans" w:hAnsi="Nimbus Sans" w:eastAsia="Nimbus Sans" w:cs="Nimbus Sans"/>
          <w:b/>
        </w:rPr>
        <w:t xml:space="preserve">Total CSR pages:</w:t>
      </w:r>
      <w:r>
        <w:rPr>
          <w:rFonts w:ascii="Nimbus Sans" w:hAnsi="Nimbus Sans" w:eastAsia="Nimbus Sans" w:cs="Nimbus Sans"/>
        </w:rPr>
        <w:t xml:space="preserve"> </w:t>
      </w:r>
      <w:r>
        <w:rPr>
          <w:rFonts w:ascii="Nimbus Sans" w:hAnsi="Nimbus Sans" w:eastAsia="Nimbus Sans" w:cs="Nimbus Sans"/>
        </w:rPr>
        <w:t xml:space="preserve">_____</w:t>
      </w:r>
      <w:r>
        <w:rPr>
          <w:rFonts w:ascii="Nimbus Sans" w:hAnsi="Nimbus Sans" w:eastAsia="Nimbus Sans" w:cs="Nimbus Sans"/>
        </w:rPr>
        <w:br/>
      </w:r>
      <w:r>
        <w:rPr>
          <w:bCs/>
          <w:rFonts w:ascii="Nimbus Sans" w:hAnsi="Nimbus Sans" w:eastAsia="Nimbus Sans" w:cs="Nimbus Sans"/>
          <w:b/>
        </w:rPr>
        <w:t xml:space="preserve">Sworn-payload pages:</w:t>
      </w:r>
      <w:r>
        <w:rPr>
          <w:rFonts w:ascii="Nimbus Sans" w:hAnsi="Nimbus Sans" w:eastAsia="Nimbus Sans" w:cs="Nimbus Sans"/>
        </w:rPr>
        <w:t xml:space="preserve"> </w:t>
      </w:r>
      <w:r>
        <w:rPr>
          <w:rFonts w:ascii="Nimbus Sans" w:hAnsi="Nimbus Sans" w:eastAsia="Nimbus Sans" w:cs="Nimbus Sans"/>
        </w:rPr>
        <w:t xml:space="preserve">_____ through _____</w:t>
      </w:r>
      <w:r>
        <w:rPr>
          <w:rFonts w:ascii="Nimbus Sans" w:hAnsi="Nimbus Sans" w:eastAsia="Nimbus Sans" w:cs="Nimbus Sans"/>
        </w:rPr>
        <w:br/>
      </w:r>
      <w:r>
        <w:rPr>
          <w:bCs/>
          <w:rFonts w:ascii="Nimbus Sans" w:hAnsi="Nimbus Sans" w:eastAsia="Nimbus Sans" w:cs="Nimbus Sans"/>
          <w:b/>
        </w:rPr>
        <w:t xml:space="preserve">Adopted Proposition IDs:</w:t>
      </w:r>
      <w:r>
        <w:rPr>
          <w:rFonts w:ascii="Nimbus Sans" w:hAnsi="Nimbus Sans" w:eastAsia="Nimbus Sans" w:cs="Nimbus Sans"/>
        </w:rPr>
        <w:t xml:space="preserve"> </w:t>
      </w:r>
      <w:r>
        <w:rPr>
          <w:rFonts w:ascii="Nimbus Sans" w:hAnsi="Nimbus Sans" w:eastAsia="Nimbus Sans" w:cs="Nimbus Sans"/>
        </w:rPr>
        <w:t xml:space="preserve">_________________________________________</w:t>
      </w:r>
      <w:r>
        <w:rPr>
          <w:rFonts w:ascii="Nimbus Sans" w:hAnsi="Nimbus Sans" w:eastAsia="Nimbus Sans" w:cs="Nimbus Sans"/>
        </w:rPr>
        <w:br/>
      </w:r>
      <w:r>
        <w:rPr>
          <w:bCs/>
          <w:rFonts w:ascii="Nimbus Sans" w:hAnsi="Nimbus Sans" w:eastAsia="Nimbus Sans" w:cs="Nimbus Sans"/>
          <w:b/>
        </w:rPr>
        <w:t xml:space="preserve">Original custodian:</w:t>
      </w:r>
      <w:r>
        <w:rPr>
          <w:rFonts w:ascii="Nimbus Sans" w:hAnsi="Nimbus Sans" w:eastAsia="Nimbus Sans" w:cs="Nimbus Sans"/>
        </w:rPr>
        <w:t xml:space="preserve"> </w:t>
      </w:r>
      <w:r>
        <w:rPr>
          <w:rFonts w:ascii="Nimbus Sans" w:hAnsi="Nimbus Sans" w:eastAsia="Nimbus Sans" w:cs="Nimbus Sans"/>
        </w:rPr>
        <w:t xml:space="preserve">______________________________________________</w:t>
      </w:r>
    </w:p>
    <w:bookmarkStart w:id="77" w:name="required-participant-rights-notice"/>
    <w:p>
      <w:pPr>
        <w:pStyle w:val="Heading3"/>
      </w:pPr>
      <w:r>
        <w:rPr>
          <w:rFonts w:ascii="Nimbus Sans" w:hAnsi="Nimbus Sans" w:eastAsia="Nimbus Sans" w:cs="Nimbus Sans"/>
        </w:rPr>
        <w:t xml:space="preserve">Required participant-rights notice</w:t>
      </w:r>
    </w:p>
    <w:p>
      <w:pPr>
        <w:pStyle w:val="FirstParagraph"/>
      </w:pPr>
      <w:r>
        <w:rPr>
          <w:rFonts w:ascii="Nimbus Sans" w:hAnsi="Nimbus Sans" w:eastAsia="Nimbus Sans" w:cs="Nimbus Sans"/>
        </w:rPr>
        <w:t xml:space="preserve">Participation and every proposition are voluntary. The participant may decline the process or any item; qualify an answer; state lack of knowledge, lack of recall, or inability to verify; request counsel, accommodation, interpreter/translation assistance, or a break; or stop before completion. No adverse inference may be drawn from any such choice.</w:t>
      </w:r>
    </w:p>
    <w:p>
      <w:pPr>
        <w:pStyle w:val="BodyText"/>
      </w:pPr>
      <w:r>
        <w:rPr>
          <w:rFonts w:ascii="Nimbus Sans" w:hAnsi="Nimbus Sans" w:eastAsia="Nimbus Sans" w:cs="Nimbus Sans"/>
        </w:rPr>
        <w:t xml:space="preserve">The notary performs and certifies the notarial act and required statutory determinations. The notary does not investigate the sources or certify that the participant’s statements are factually true. Legal consequences, admissibility, and jurisdiction are fact-specific; DGG makes no promise about them.</w:t>
      </w:r>
    </w:p>
    <w:p>
      <w:pPr>
        <w:pStyle w:val="BodyText"/>
      </w:pPr>
      <w:r>
        <w:rPr>
          <w:bCs/>
          <w:rFonts w:ascii="Nimbus Sans" w:hAnsi="Nimbus Sans" w:eastAsia="Nimbus Sans" w:cs="Nimbus Sans"/>
          <w:b/>
        </w:rPr>
        <w:t xml:space="preserve">Language used:</w:t>
      </w:r>
      <w:r>
        <w:rPr>
          <w:rFonts w:ascii="Nimbus Sans" w:hAnsi="Nimbus Sans" w:eastAsia="Nimbus Sans" w:cs="Nimbus Sans"/>
        </w:rPr>
        <w:t xml:space="preserve"> </w:t>
      </w:r>
      <w:r>
        <w:rPr>
          <w:rFonts w:ascii="Nimbus Sans" w:hAnsi="Nimbus Sans" w:eastAsia="Nimbus Sans" w:cs="Nimbus Sans"/>
        </w:rPr>
        <w:t xml:space="preserve">__________</w:t>
      </w:r>
      <w:r>
        <w:rPr>
          <w:rFonts w:ascii="Nimbus Sans" w:hAnsi="Nimbus Sans" w:eastAsia="Nimbus Sans" w:cs="Nimbus Sans"/>
        </w:rPr>
        <w:t xml:space="preserve"> </w:t>
      </w:r>
      <w:r>
        <w:rPr>
          <w:bCs/>
          <w:rFonts w:ascii="Nimbus Sans" w:hAnsi="Nimbus Sans" w:eastAsia="Nimbus Sans" w:cs="Nimbus Sans"/>
          <w:b/>
        </w:rPr>
        <w:t xml:space="preserve">Interpreter/reader/accommodation, if any:</w:t>
      </w:r>
      <w:r>
        <w:rPr>
          <w:rFonts w:ascii="Nimbus Sans" w:hAnsi="Nimbus Sans" w:eastAsia="Nimbus Sans" w:cs="Nimbus Sans"/>
        </w:rPr>
        <w:t xml:space="preserve"> </w:t>
      </w:r>
      <w:r>
        <w:rPr>
          <w:rFonts w:ascii="Nimbus Sans" w:hAnsi="Nimbus Sans" w:eastAsia="Nimbus Sans" w:cs="Nimbus Sans"/>
        </w:rPr>
        <w:t xml:space="preserve">__________________________</w:t>
      </w:r>
      <w:r>
        <w:rPr>
          <w:rFonts w:ascii="Nimbus Sans" w:hAnsi="Nimbus Sans" w:eastAsia="Nimbus Sans" w:cs="Nimbus Sans"/>
        </w:rPr>
        <w:br/>
      </w:r>
      <w:r>
        <w:rPr>
          <w:bCs/>
          <w:rFonts w:ascii="Nimbus Sans" w:hAnsi="Nimbus Sans" w:eastAsia="Nimbus Sans" w:cs="Nimbus Sans"/>
          <w:b/>
        </w:rPr>
        <w:t xml:space="preserve">Counsel approval reference:</w:t>
      </w:r>
      <w:r>
        <w:rPr>
          <w:rFonts w:ascii="Nimbus Sans" w:hAnsi="Nimbus Sans" w:eastAsia="Nimbus Sans" w:cs="Nimbus Sans"/>
        </w:rPr>
        <w:t xml:space="preserve"> </w:t>
      </w:r>
      <w:r>
        <w:rPr>
          <w:rFonts w:ascii="Nimbus Sans" w:hAnsi="Nimbus Sans" w:eastAsia="Nimbus Sans" w:cs="Nimbus Sans"/>
        </w:rPr>
        <w:t xml:space="preserve">__________________</w:t>
      </w:r>
      <w:r>
        <w:rPr>
          <w:rFonts w:ascii="Nimbus Sans" w:hAnsi="Nimbus Sans" w:eastAsia="Nimbus Sans" w:cs="Nimbus Sans"/>
        </w:rPr>
        <w:t xml:space="preserve"> </w:t>
      </w:r>
      <w:r>
        <w:rPr>
          <w:bCs/>
          <w:rFonts w:ascii="Nimbus Sans" w:hAnsi="Nimbus Sans" w:eastAsia="Nimbus Sans" w:cs="Nimbus Sans"/>
          <w:b/>
        </w:rPr>
        <w:t xml:space="preserve">Form approval date:</w:t>
      </w:r>
      <w:r>
        <w:rPr>
          <w:rFonts w:ascii="Nimbus Sans" w:hAnsi="Nimbus Sans" w:eastAsia="Nimbus Sans" w:cs="Nimbus Sans"/>
        </w:rPr>
        <w:t xml:space="preserve"> </w:t>
      </w:r>
      <w:r>
        <w:rPr>
          <w:rFonts w:ascii="Nimbus Sans" w:hAnsi="Nimbus Sans" w:eastAsia="Nimbus Sans" w:cs="Nimbus Sans"/>
        </w:rPr>
        <w:t xml:space="preserve">__________</w:t>
      </w:r>
    </w:p>
    <w:bookmarkEnd w:id="77"/>
    <w:bookmarkEnd w:id="78"/>
    <w:bookmarkStart w:id="86" w:name="X18a8033c7bd1aac4a5273c68fc99ff5a272edd8"/>
    <w:p>
      <w:pPr>
        <w:pStyle w:val="Heading2"/>
      </w:pPr>
      <w:r>
        <w:rPr>
          <w:rFonts w:ascii="Nimbus Sans" w:hAnsi="Nimbus Sans" w:eastAsia="Nimbus Sans" w:cs="Nimbus Sans"/>
        </w:rPr>
        <w:t xml:space="preserve">17. One-question schedule — repeat for each proposition</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QUESTION AND SOURCE AREA — UNSWORN</w:t>
      </w:r>
    </w:p>
    <w:p>
      <w:pPr>
        <w:pStyle w:val="FirstParagraph"/>
      </w:pPr>
      <w:r>
        <w:rPr>
          <w:bCs/>
          <w:rFonts w:ascii="Nimbus Sans" w:hAnsi="Nimbus Sans" w:eastAsia="Nimbus Sans" w:cs="Nimbus Sans"/>
          <w:b/>
        </w:rPr>
        <w:t xml:space="preserve">Question ID:</w:t>
      </w:r>
      <w:r>
        <w:rPr>
          <w:rFonts w:ascii="Nimbus Sans" w:hAnsi="Nimbus Sans" w:eastAsia="Nimbus Sans" w:cs="Nimbus Sans"/>
        </w:rPr>
        <w:t xml:space="preserve"> </w:t>
      </w:r>
      <w:r>
        <w:rPr>
          <w:rFonts w:ascii="Nimbus Sans" w:hAnsi="Nimbus Sans" w:eastAsia="Nimbus Sans" w:cs="Nimbus Sans"/>
        </w:rPr>
        <w:t xml:space="preserve">Q-_____</w:t>
      </w:r>
      <w:r>
        <w:rPr>
          <w:rFonts w:ascii="Nimbus Sans" w:hAnsi="Nimbus Sans" w:eastAsia="Nimbus Sans" w:cs="Nimbus Sans"/>
        </w:rPr>
        <w:br/>
      </w:r>
      <w:r>
        <w:rPr>
          <w:bCs/>
          <w:rFonts w:ascii="Nimbus Sans" w:hAnsi="Nimbus Sans" w:eastAsia="Nimbus Sans" w:cs="Nimbus Sans"/>
          <w:b/>
        </w:rPr>
        <w:t xml:space="preserve">Proposed Proposition ID:</w:t>
      </w:r>
      <w:r>
        <w:rPr>
          <w:rFonts w:ascii="Nimbus Sans" w:hAnsi="Nimbus Sans" w:eastAsia="Nimbus Sans" w:cs="Nimbus Sans"/>
        </w:rPr>
        <w:t xml:space="preserve"> </w:t>
      </w:r>
      <w:r>
        <w:rPr>
          <w:rFonts w:ascii="Nimbus Sans" w:hAnsi="Nimbus Sans" w:eastAsia="Nimbus Sans" w:cs="Nimbus Sans"/>
        </w:rPr>
        <w:t xml:space="preserve">P-_____</w:t>
      </w:r>
      <w:r>
        <w:rPr>
          <w:rFonts w:ascii="Nimbus Sans" w:hAnsi="Nimbus Sans" w:eastAsia="Nimbus Sans" w:cs="Nimbus Sans"/>
        </w:rPr>
        <w:br/>
      </w:r>
      <w:r>
        <w:rPr>
          <w:bCs/>
          <w:rFonts w:ascii="Nimbus Sans" w:hAnsi="Nimbus Sans" w:eastAsia="Nimbus Sans" w:cs="Nimbus Sans"/>
          <w:b/>
        </w:rPr>
        <w:t xml:space="preserve">Question disclosed on:</w:t>
      </w:r>
      <w:r>
        <w:rPr>
          <w:rFonts w:ascii="Nimbus Sans" w:hAnsi="Nimbus Sans" w:eastAsia="Nimbus Sans" w:cs="Nimbus Sans"/>
        </w:rPr>
        <w:t xml:space="preserve"> </w:t>
      </w:r>
      <w:r>
        <w:rPr>
          <w:rFonts w:ascii="Nimbus Sans" w:hAnsi="Nimbus Sans" w:eastAsia="Nimbus Sans" w:cs="Nimbus Sans"/>
        </w:rPr>
        <w:t xml:space="preserve">__________</w:t>
      </w:r>
      <w:r>
        <w:rPr>
          <w:rFonts w:ascii="Nimbus Sans" w:hAnsi="Nimbus Sans" w:eastAsia="Nimbus Sans" w:cs="Nimbus Sans"/>
        </w:rPr>
        <w:br/>
      </w:r>
      <w:r>
        <w:rPr>
          <w:bCs/>
          <w:rFonts w:ascii="Nimbus Sans" w:hAnsi="Nimbus Sans" w:eastAsia="Nimbus Sans" w:cs="Nimbus Sans"/>
          <w:b/>
        </w:rPr>
        <w:t xml:space="preserve">Source Packet ID/version:</w:t>
      </w:r>
      <w:r>
        <w:rPr>
          <w:rFonts w:ascii="Nimbus Sans" w:hAnsi="Nimbus Sans" w:eastAsia="Nimbus Sans" w:cs="Nimbus Sans"/>
        </w:rPr>
        <w:t xml:space="preserve"> </w:t>
      </w:r>
      <w:r>
        <w:rPr>
          <w:rFonts w:ascii="Nimbus Sans" w:hAnsi="Nimbus Sans" w:eastAsia="Nimbus Sans" w:cs="Nimbus Sans"/>
        </w:rPr>
        <w:t xml:space="preserve">__________________</w:t>
      </w:r>
      <w:r>
        <w:rPr>
          <w:rFonts w:ascii="Nimbus Sans" w:hAnsi="Nimbus Sans" w:eastAsia="Nimbus Sans" w:cs="Nimbus Sans"/>
        </w:rPr>
        <w:br/>
      </w:r>
      <w:r>
        <w:rPr>
          <w:bCs/>
          <w:rFonts w:ascii="Nimbus Sans" w:hAnsi="Nimbus Sans" w:eastAsia="Nimbus Sans" w:cs="Nimbus Sans"/>
          <w:b/>
        </w:rPr>
        <w:t xml:space="preserve">Contrary Source Packet ID/version:</w:t>
      </w:r>
      <w:r>
        <w:rPr>
          <w:rFonts w:ascii="Nimbus Sans" w:hAnsi="Nimbus Sans" w:eastAsia="Nimbus Sans" w:cs="Nimbus Sans"/>
        </w:rPr>
        <w:t xml:space="preserve"> </w:t>
      </w:r>
      <w:r>
        <w:rPr>
          <w:rFonts w:ascii="Nimbus Sans" w:hAnsi="Nimbus Sans" w:eastAsia="Nimbus Sans" w:cs="Nimbus Sans"/>
        </w:rPr>
        <w:t xml:space="preserve">__________________</w:t>
      </w:r>
    </w:p>
    <w:bookmarkStart w:id="79" w:name="X2897444d6d7003894e2fc1c4f73cbb519740e9b"/>
    <w:p>
      <w:pPr>
        <w:pStyle w:val="Heading3"/>
      </w:pPr>
      <w:r>
        <w:rPr>
          <w:rFonts w:ascii="Nimbus Sans" w:hAnsi="Nimbus Sans" w:eastAsia="Nimbus Sans" w:cs="Nimbus Sans"/>
        </w:rPr>
        <w:t xml:space="preserve">17.1 Interviewer’s exact question</w:t>
      </w:r>
    </w:p>
    <w:p>
      <w:r>
        <w:rPr>
          <w:rFonts w:ascii="Nimbus Sans" w:hAnsi="Nimbus Sans" w:eastAsia="Nimbus Sans" w:cs="Nimbus Sans"/>
        </w:rPr>
        <w:pict>
          <v:rect style="width:0;height:1.5pt" o:hralign="center" o:hrstd="t" o:hr="t"/>
        </w:pict>
      </w:r>
    </w:p>
    <w:p>
      <w:r>
        <w:rPr>
          <w:rFonts w:ascii="Nimbus Sans" w:hAnsi="Nimbus Sans" w:eastAsia="Nimbus Sans" w:cs="Nimbus Sans"/>
        </w:rPr>
        <w:pict>
          <v:rect style="width:0;height:1.5pt" o:hralign="center" o:hrstd="t" o:hr="t"/>
        </w:pict>
      </w:r>
    </w:p>
    <w:bookmarkEnd w:id="79"/>
    <w:bookmarkStart w:id="80" w:name="X327c53ca547a459cbd97842d3ac6ef1916c2abd"/>
    <w:p>
      <w:pPr>
        <w:pStyle w:val="Heading3"/>
      </w:pPr>
      <w:r>
        <w:rPr>
          <w:rFonts w:ascii="Nimbus Sans" w:hAnsi="Nimbus Sans" w:eastAsia="Nimbus Sans" w:cs="Nimbus Sans"/>
        </w:rPr>
        <w:t xml:space="preserve">17.2 Scope and definitions</w:t>
      </w:r>
    </w:p>
    <w:p>
      <w:r>
        <w:rPr>
          <w:rFonts w:ascii="Nimbus Sans" w:hAnsi="Nimbus Sans" w:eastAsia="Nimbus Sans" w:cs="Nimbus Sans"/>
        </w:rPr>
        <w:pict>
          <v:rect style="width:0;height:1.5pt" o:hralign="center" o:hrstd="t" o:hr="t"/>
        </w:pict>
      </w:r>
    </w:p>
    <w:p>
      <w:r>
        <w:rPr>
          <w:rFonts w:ascii="Nimbus Sans" w:hAnsi="Nimbus Sans" w:eastAsia="Nimbus Sans" w:cs="Nimbus Sans"/>
        </w:rPr>
        <w:pict>
          <v:rect style="width:0;height:1.5pt" o:hralign="center" o:hrstd="t" o:hr="t"/>
        </w:pict>
      </w:r>
    </w:p>
    <w:p>
      <w:pPr>
        <w:pStyle w:val="FirstParagraph"/>
      </w:pPr>
      <w:r>
        <w:rPr>
          <w:rFonts w:ascii="Nimbus Sans" w:hAnsi="Nimbus Sans" w:eastAsia="Nimbus Sans" w:cs="Nimbus Sans"/>
        </w:rPr>
        <w:t xml:space="preserve">The question, DGG annotations, and source descriptions provide context. They are not adopted merely because they appear on this page.</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PARTICIPANT STATEMENT AREA — POTENTIALLY SWORN</w:t>
      </w:r>
    </w:p>
    <w:bookmarkEnd w:id="80"/>
    <w:bookmarkStart w:id="81" w:name="X11fabfa70f99d14f2a2dcb617856f0fcf1eaf7c"/>
    <w:p>
      <w:pPr>
        <w:pStyle w:val="Heading3"/>
      </w:pPr>
      <w:r>
        <w:rPr>
          <w:rFonts w:ascii="Nimbus Sans" w:hAnsi="Nimbus Sans" w:eastAsia="Nimbus Sans" w:cs="Nimbus Sans"/>
        </w:rPr>
        <w:t xml:space="preserve">17.3 Response path</w:t>
      </w:r>
    </w:p>
    <w:p>
      <w:pPr>
        <w:pStyle w:val="FirstParagraph"/>
      </w:pPr>
      <w:r>
        <w:rPr>
          <w:rFonts w:ascii="Nimbus Sans" w:hAnsi="Nimbus Sans" w:eastAsia="Nimbus Sans" w:cs="Nimbus Sans"/>
        </w:rPr>
        <w:t xml:space="preserve">Select one. The complete exact adopted statement below controls.</w:t>
      </w:r>
    </w:p>
    <w:p>
      <w:pPr>
        <w:numPr>
          <w:ilvl w:val="0"/>
          <w:numId w:val="1009"/>
        </w:numPr>
        <w:pStyle w:val="Compact"/>
        <w:spacing w:after="120" w:line="280" w:lineRule="auto"/>
      </w:pPr>
      <w:r>
        <w:rPr>
          <w:rFonts w:ascii="Nimbus Sans" w:hAnsi="Nimbus Sans" w:eastAsia="Nimbus Sans" w:cs="Nimbus Sans"/>
        </w:rPr>
        <w:t xml:space="preserve">☐ True — personal knowledge</w:t>
      </w:r>
    </w:p>
    <w:p>
      <w:pPr>
        <w:numPr>
          <w:ilvl w:val="0"/>
          <w:numId w:val="1009"/>
        </w:numPr>
        <w:pStyle w:val="Compact"/>
        <w:spacing w:after="120" w:line="280" w:lineRule="auto"/>
      </w:pPr>
      <w:r>
        <w:rPr>
          <w:rFonts w:ascii="Nimbus Sans" w:hAnsi="Nimbus Sans" w:eastAsia="Nimbus Sans" w:cs="Nimbus Sans"/>
        </w:rPr>
        <w:t xml:space="preserve">☐ False — personal knowledge</w:t>
      </w:r>
    </w:p>
    <w:p>
      <w:pPr>
        <w:numPr>
          <w:ilvl w:val="0"/>
          <w:numId w:val="1009"/>
        </w:numPr>
        <w:pStyle w:val="Compact"/>
        <w:spacing w:after="120" w:line="280" w:lineRule="auto"/>
      </w:pPr>
      <w:r>
        <w:rPr>
          <w:rFonts w:ascii="Nimbus Sans" w:hAnsi="Nimbus Sans" w:eastAsia="Nimbus Sans" w:cs="Nimbus Sans"/>
        </w:rPr>
        <w:t xml:space="preserve">☐ True — based on identified records reviewed</w:t>
      </w:r>
    </w:p>
    <w:p>
      <w:pPr>
        <w:numPr>
          <w:ilvl w:val="0"/>
          <w:numId w:val="1009"/>
        </w:numPr>
        <w:pStyle w:val="Compact"/>
        <w:spacing w:after="120" w:line="280" w:lineRule="auto"/>
      </w:pPr>
      <w:r>
        <w:rPr>
          <w:rFonts w:ascii="Nimbus Sans" w:hAnsi="Nimbus Sans" w:eastAsia="Nimbus Sans" w:cs="Nimbus Sans"/>
        </w:rPr>
        <w:t xml:space="preserve">☐ False — based on identified records reviewed</w:t>
      </w:r>
    </w:p>
    <w:p>
      <w:pPr>
        <w:numPr>
          <w:ilvl w:val="0"/>
          <w:numId w:val="1009"/>
        </w:numPr>
        <w:pStyle w:val="Compact"/>
        <w:spacing w:after="120" w:line="280" w:lineRule="auto"/>
      </w:pPr>
      <w:r>
        <w:rPr>
          <w:rFonts w:ascii="Nimbus Sans" w:hAnsi="Nimbus Sans" w:eastAsia="Nimbus Sans" w:cs="Nimbus Sans"/>
        </w:rPr>
        <w:t xml:space="preserve">☐ Qualified answer</w:t>
      </w:r>
    </w:p>
    <w:p>
      <w:pPr>
        <w:numPr>
          <w:ilvl w:val="0"/>
          <w:numId w:val="1009"/>
        </w:numPr>
        <w:pStyle w:val="Compact"/>
        <w:spacing w:after="120" w:line="280" w:lineRule="auto"/>
      </w:pPr>
      <w:r>
        <w:rPr>
          <w:rFonts w:ascii="Nimbus Sans" w:hAnsi="Nimbus Sans" w:eastAsia="Nimbus Sans" w:cs="Nimbus Sans"/>
        </w:rPr>
        <w:t xml:space="preserve">☐ I do not know whether the proposition is true</w:t>
      </w:r>
    </w:p>
    <w:p>
      <w:pPr>
        <w:numPr>
          <w:ilvl w:val="0"/>
          <w:numId w:val="1009"/>
        </w:numPr>
        <w:pStyle w:val="Compact"/>
        <w:spacing w:after="120" w:line="280" w:lineRule="auto"/>
      </w:pPr>
      <w:r>
        <w:rPr>
          <w:rFonts w:ascii="Nimbus Sans" w:hAnsi="Nimbus Sans" w:eastAsia="Nimbus Sans" w:cs="Nimbus Sans"/>
        </w:rPr>
        <w:t xml:space="preserve">☐ I do not presently recall facts sufficient to answer</w:t>
      </w:r>
    </w:p>
    <w:p>
      <w:pPr>
        <w:numPr>
          <w:ilvl w:val="0"/>
          <w:numId w:val="1009"/>
        </w:numPr>
        <w:pStyle w:val="Compact"/>
        <w:spacing w:after="120" w:line="280" w:lineRule="auto"/>
      </w:pPr>
      <w:r>
        <w:rPr>
          <w:rFonts w:ascii="Nimbus Sans" w:hAnsi="Nimbus Sans" w:eastAsia="Nimbus Sans" w:cs="Nimbus Sans"/>
        </w:rPr>
        <w:t xml:space="preserve">☐ I cannot verify from the identified records available to me</w:t>
      </w:r>
    </w:p>
    <w:p>
      <w:pPr>
        <w:numPr>
          <w:ilvl w:val="0"/>
          <w:numId w:val="1009"/>
        </w:numPr>
        <w:pStyle w:val="Compact"/>
        <w:spacing w:after="120" w:line="280" w:lineRule="auto"/>
      </w:pPr>
      <w:r>
        <w:rPr>
          <w:rFonts w:ascii="Nimbus Sans" w:hAnsi="Nimbus Sans" w:eastAsia="Nimbus Sans" w:cs="Nimbus Sans"/>
        </w:rPr>
        <w:t xml:space="preserve">☐ Decline — no sworn assertion; omit from the Adopted Proposition Index</w:t>
      </w:r>
    </w:p>
    <w:bookmarkEnd w:id="81"/>
    <w:bookmarkStart w:id="82" w:name="X3d84bdcf8ea8c8febc48abe3cfb8ad0c3186600"/>
    <w:p>
      <w:pPr>
        <w:pStyle w:val="Heading3"/>
      </w:pPr>
      <w:r>
        <w:rPr>
          <w:rFonts w:ascii="Nimbus Sans" w:hAnsi="Nimbus Sans" w:eastAsia="Nimbus Sans" w:cs="Nimbus Sans"/>
        </w:rPr>
        <w:t xml:space="preserve">17.4 Exact adopted statement</w:t>
      </w:r>
    </w:p>
    <w:p>
      <w:pPr>
        <w:pStyle w:val="FirstParagraph"/>
      </w:pPr>
      <w:r>
        <w:rPr>
          <w:rFonts w:ascii="Nimbus Sans" w:hAnsi="Nimbus Sans" w:eastAsia="Nimbus Sans" w:cs="Nimbus Sans"/>
        </w:rPr>
        <w:t xml:space="preserve">Write a complete standalone sentence. Do not write only “yes,” “no,” or “same as above.”</w:t>
      </w:r>
    </w:p>
    <w:p>
      <w:r>
        <w:rPr>
          <w:rFonts w:ascii="Nimbus Sans" w:hAnsi="Nimbus Sans" w:eastAsia="Nimbus Sans" w:cs="Nimbus Sans"/>
        </w:rPr>
        <w:pict>
          <v:rect style="width:0;height:1.5pt" o:hralign="center" o:hrstd="t" o:hr="t"/>
        </w:pict>
      </w:r>
    </w:p>
    <w:p>
      <w:r>
        <w:rPr>
          <w:rFonts w:ascii="Nimbus Sans" w:hAnsi="Nimbus Sans" w:eastAsia="Nimbus Sans" w:cs="Nimbus Sans"/>
        </w:rPr>
        <w:pict>
          <v:rect style="width:0;height:1.5pt" o:hralign="center" o:hrstd="t" o:hr="t"/>
        </w:pict>
      </w:r>
    </w:p>
    <w:p>
      <w:r>
        <w:rPr>
          <w:rFonts w:ascii="Nimbus Sans" w:hAnsi="Nimbus Sans" w:eastAsia="Nimbus Sans" w:cs="Nimbus Sans"/>
        </w:rPr>
        <w:pict>
          <v:rect style="width:0;height:1.5pt" o:hralign="center" o:hrstd="t" o:hr="t"/>
        </w:pict>
      </w:r>
    </w:p>
    <w:bookmarkEnd w:id="82"/>
    <w:bookmarkStart w:id="83" w:name="X5cc1bb875c72b35c315a0f4b68439e2789519e0"/>
    <w:p>
      <w:pPr>
        <w:pStyle w:val="Heading3"/>
      </w:pPr>
      <w:r>
        <w:rPr>
          <w:rFonts w:ascii="Nimbus Sans" w:hAnsi="Nimbus Sans" w:eastAsia="Nimbus Sans" w:cs="Nimbus Sans"/>
        </w:rPr>
        <w:t xml:space="preserve">17.5 Basis of knowledge</w:t>
      </w:r>
    </w:p>
    <w:p>
      <w:pPr>
        <w:numPr>
          <w:ilvl w:val="0"/>
          <w:numId w:val="1010"/>
        </w:numPr>
        <w:pStyle w:val="Compact"/>
        <w:spacing w:after="120" w:line="280" w:lineRule="auto"/>
      </w:pPr>
      <w:r>
        <w:rPr>
          <w:rFonts w:ascii="Nimbus Sans" w:hAnsi="Nimbus Sans" w:eastAsia="Nimbus Sans" w:cs="Nimbus Sans"/>
        </w:rPr>
        <w:t xml:space="preserve">☐ Personal observation or action</w:t>
      </w:r>
    </w:p>
    <w:p>
      <w:pPr>
        <w:numPr>
          <w:ilvl w:val="0"/>
          <w:numId w:val="1010"/>
        </w:numPr>
        <w:pStyle w:val="Compact"/>
        <w:spacing w:after="120" w:line="280" w:lineRule="auto"/>
      </w:pPr>
      <w:r>
        <w:rPr>
          <w:rFonts w:ascii="Nimbus Sans" w:hAnsi="Nimbus Sans" w:eastAsia="Nimbus Sans" w:cs="Nimbus Sans"/>
        </w:rPr>
        <w:t xml:space="preserve">☐ Communication personally sent or received</w:t>
      </w:r>
    </w:p>
    <w:p>
      <w:pPr>
        <w:numPr>
          <w:ilvl w:val="0"/>
          <w:numId w:val="1010"/>
        </w:numPr>
        <w:pStyle w:val="Compact"/>
        <w:spacing w:after="120" w:line="280" w:lineRule="auto"/>
      </w:pPr>
      <w:r>
        <w:rPr>
          <w:rFonts w:ascii="Nimbus Sans" w:hAnsi="Nimbus Sans" w:eastAsia="Nimbus Sans" w:cs="Nimbus Sans"/>
        </w:rPr>
        <w:t xml:space="preserve">☐ Identified record personally reviewed</w:t>
      </w:r>
    </w:p>
    <w:p>
      <w:pPr>
        <w:numPr>
          <w:ilvl w:val="0"/>
          <w:numId w:val="1010"/>
        </w:numPr>
        <w:pStyle w:val="Compact"/>
        <w:spacing w:after="120" w:line="280" w:lineRule="auto"/>
      </w:pPr>
      <w:r>
        <w:rPr>
          <w:rFonts w:ascii="Nimbus Sans" w:hAnsi="Nimbus Sans" w:eastAsia="Nimbus Sans" w:cs="Nimbus Sans"/>
        </w:rPr>
        <w:t xml:space="preserve">☐ Combination, limited below</w:t>
      </w:r>
    </w:p>
    <w:p>
      <w:pPr>
        <w:numPr>
          <w:ilvl w:val="0"/>
          <w:numId w:val="1010"/>
        </w:numPr>
        <w:pStyle w:val="Compact"/>
        <w:spacing w:after="120" w:line="280" w:lineRule="auto"/>
      </w:pPr>
      <w:r>
        <w:rPr>
          <w:rFonts w:ascii="Nimbus Sans" w:hAnsi="Nimbus Sans" w:eastAsia="Nimbus Sans" w:cs="Nimbus Sans"/>
        </w:rPr>
        <w:t xml:space="preserve">☐ Present knowledge, recall, or ability-to-verify statement only</w:t>
      </w:r>
    </w:p>
    <w:p>
      <w:pPr>
        <w:pStyle w:val="FirstParagraph"/>
      </w:pPr>
      <w:r>
        <w:rPr>
          <w:bCs/>
          <w:rFonts w:ascii="Nimbus Sans" w:hAnsi="Nimbus Sans" w:eastAsia="Nimbus Sans" w:cs="Nimbus Sans"/>
          <w:b/>
        </w:rPr>
        <w:t xml:space="preserve">Exact record ID, title, date, and page/section relied upon:</w:t>
      </w:r>
    </w:p>
    <w:p>
      <w:r>
        <w:rPr>
          <w:rFonts w:ascii="Nimbus Sans" w:hAnsi="Nimbus Sans" w:eastAsia="Nimbus Sans" w:cs="Nimbus Sans"/>
        </w:rPr>
        <w:pict>
          <v:rect style="width:0;height:1.5pt" o:hralign="center" o:hrstd="t" o:hr="t"/>
        </w:pict>
      </w:r>
    </w:p>
    <w:p>
      <w:pPr>
        <w:pStyle w:val="FirstParagraph"/>
      </w:pPr>
      <w:r>
        <w:rPr>
          <w:bCs/>
          <w:rFonts w:ascii="Nimbus Sans" w:hAnsi="Nimbus Sans" w:eastAsia="Nimbus Sans" w:cs="Nimbus Sans"/>
          <w:b/>
        </w:rPr>
        <w:t xml:space="preserve">What the record establishes and does not establish:</w:t>
      </w:r>
    </w:p>
    <w:p>
      <w:r>
        <w:rPr>
          <w:rFonts w:ascii="Nimbus Sans" w:hAnsi="Nimbus Sans" w:eastAsia="Nimbus Sans" w:cs="Nimbus Sans"/>
        </w:rPr>
        <w:pict>
          <v:rect style="width:0;height:1.5pt" o:hralign="center" o:hrstd="t" o:hr="t"/>
        </w:pict>
      </w:r>
    </w:p>
    <w:p>
      <w:pPr>
        <w:pStyle w:val="FirstParagraph"/>
      </w:pPr>
      <w:r>
        <w:rPr>
          <w:rFonts w:ascii="Nimbus Sans" w:hAnsi="Nimbus Sans" w:eastAsia="Nimbus Sans" w:cs="Nimbus Sans"/>
        </w:rPr>
        <w:t xml:space="preserve">For a record-based answer, distinguish</w:t>
      </w:r>
      <w:r>
        <w:rPr>
          <w:rFonts w:ascii="Nimbus Sans" w:hAnsi="Nimbus Sans" w:eastAsia="Nimbus Sans" w:cs="Nimbus Sans"/>
        </w:rPr>
        <w:t xml:space="preserve"> </w:t>
      </w:r>
      <w:r>
        <w:rPr>
          <w:bCs/>
          <w:rFonts w:ascii="Nimbus Sans" w:hAnsi="Nimbus Sans" w:eastAsia="Nimbus Sans" w:cs="Nimbus Sans"/>
          <w:b/>
        </w:rPr>
        <w:t xml:space="preserve">“the identified record states X”</w:t>
      </w:r>
      <w:r>
        <w:rPr>
          <w:rFonts w:ascii="Nimbus Sans" w:hAnsi="Nimbus Sans" w:eastAsia="Nimbus Sans" w:cs="Nimbus Sans"/>
        </w:rPr>
        <w:t xml:space="preserve"> </w:t>
      </w:r>
      <w:r>
        <w:rPr>
          <w:rFonts w:ascii="Nimbus Sans" w:hAnsi="Nimbus Sans" w:eastAsia="Nimbus Sans" w:cs="Nimbus Sans"/>
        </w:rPr>
        <w:t xml:space="preserve">from</w:t>
      </w:r>
      <w:r>
        <w:rPr>
          <w:rFonts w:ascii="Nimbus Sans" w:hAnsi="Nimbus Sans" w:eastAsia="Nimbus Sans" w:cs="Nimbus Sans"/>
        </w:rPr>
        <w:t xml:space="preserve"> </w:t>
      </w:r>
      <w:r>
        <w:rPr>
          <w:bCs/>
          <w:rFonts w:ascii="Nimbus Sans" w:hAnsi="Nimbus Sans" w:eastAsia="Nimbus Sans" w:cs="Nimbus Sans"/>
          <w:b/>
        </w:rPr>
        <w:t xml:space="preserve">“X actually occurred.”</w:t>
      </w:r>
      <w:r>
        <w:rPr>
          <w:rFonts w:ascii="Nimbus Sans" w:hAnsi="Nimbus Sans" w:eastAsia="Nimbus Sans" w:cs="Nimbus Sans"/>
        </w:rPr>
        <w:t xml:space="preserve"> </w:t>
      </w:r>
      <w:r>
        <w:rPr>
          <w:rFonts w:ascii="Nimbus Sans" w:hAnsi="Nimbus Sans" w:eastAsia="Nimbus Sans" w:cs="Nimbus Sans"/>
        </w:rPr>
        <w:t xml:space="preserve">Review of a record may support the first without personal ability to establish the second.</w:t>
      </w:r>
    </w:p>
    <w:bookmarkEnd w:id="83"/>
    <w:bookmarkStart w:id="84" w:name="X9941c29dccb7b18f90e356682191c6c51824e59"/>
    <w:p>
      <w:pPr>
        <w:pStyle w:val="Heading3"/>
      </w:pPr>
      <w:r>
        <w:rPr>
          <w:rFonts w:ascii="Nimbus Sans" w:hAnsi="Nimbus Sans" w:eastAsia="Nimbus Sans" w:cs="Nimbus Sans"/>
        </w:rPr>
        <w:t xml:space="preserve">17.6 Qualifications, limits, and exceptions</w:t>
      </w:r>
    </w:p>
    <w:p>
      <w:pPr>
        <w:pStyle w:val="FirstParagraph"/>
      </w:pPr>
      <w:r>
        <w:rPr>
          <w:rFonts w:ascii="Nimbus Sans" w:hAnsi="Nimbus Sans" w:eastAsia="Nimbus Sans" w:cs="Nimbus Sans"/>
        </w:rPr>
        <w:t xml:space="preserve">Write “None” only after review.</w:t>
      </w:r>
    </w:p>
    <w:p>
      <w:r>
        <w:rPr>
          <w:rFonts w:ascii="Nimbus Sans" w:hAnsi="Nimbus Sans" w:eastAsia="Nimbus Sans" w:cs="Nimbus Sans"/>
        </w:rPr>
        <w:pict>
          <v:rect style="width:0;height:1.5pt" o:hralign="center" o:hrstd="t" o:hr="t"/>
        </w:pict>
      </w:r>
    </w:p>
    <w:p>
      <w:r>
        <w:rPr>
          <w:rFonts w:ascii="Nimbus Sans" w:hAnsi="Nimbus Sans" w:eastAsia="Nimbus Sans" w:cs="Nimbus Sans"/>
        </w:rPr>
        <w:pict>
          <v:rect style="width:0;height:1.5pt" o:hralign="center" o:hrstd="t" o:hr="t"/>
        </w:pict>
      </w:r>
    </w:p>
    <w:bookmarkEnd w:id="84"/>
    <w:bookmarkStart w:id="85" w:name="X8835551e3a5614cbcd304e1401131520186c869"/>
    <w:p>
      <w:pPr>
        <w:pStyle w:val="Heading3"/>
      </w:pPr>
      <w:r>
        <w:rPr>
          <w:rFonts w:ascii="Nimbus Sans" w:hAnsi="Nimbus Sans" w:eastAsia="Nimbus Sans" w:cs="Nimbus Sans"/>
        </w:rPr>
        <w:t xml:space="preserve">17.7 Participant freeze confirmation</w:t>
      </w:r>
    </w:p>
    <w:p>
      <w:pPr>
        <w:numPr>
          <w:ilvl w:val="0"/>
          <w:numId w:val="1011"/>
        </w:numPr>
        <w:pStyle w:val="Compact"/>
        <w:spacing w:after="120" w:line="280" w:lineRule="auto"/>
      </w:pPr>
      <w:r>
        <w:rPr>
          <w:rFonts w:ascii="Nimbus Sans" w:hAnsi="Nimbus Sans" w:eastAsia="Nimbus Sans" w:cs="Nimbus Sans"/>
        </w:rPr>
        <w:t xml:space="preserve">☐ The exact adopted statement is mine or has been expressly adopted by me.</w:t>
      </w:r>
    </w:p>
    <w:p>
      <w:pPr>
        <w:numPr>
          <w:ilvl w:val="0"/>
          <w:numId w:val="1011"/>
        </w:numPr>
        <w:pStyle w:val="Compact"/>
        <w:spacing w:after="120" w:line="280" w:lineRule="auto"/>
      </w:pPr>
      <w:r>
        <w:rPr>
          <w:rFonts w:ascii="Nimbus Sans" w:hAnsi="Nimbus Sans" w:eastAsia="Nimbus Sans" w:cs="Nimbus Sans"/>
        </w:rPr>
        <w:t xml:space="preserve">☐ My complete qualification appears immediately above.</w:t>
      </w:r>
    </w:p>
    <w:p>
      <w:pPr>
        <w:numPr>
          <w:ilvl w:val="0"/>
          <w:numId w:val="1011"/>
        </w:numPr>
        <w:pStyle w:val="Compact"/>
        <w:spacing w:after="120" w:line="280" w:lineRule="auto"/>
      </w:pPr>
      <w:r>
        <w:rPr>
          <w:rFonts w:ascii="Nimbus Sans" w:hAnsi="Nimbus Sans" w:eastAsia="Nimbus Sans" w:cs="Nimbus Sans"/>
        </w:rPr>
        <w:t xml:space="preserve">☐ I reviewed the identified contrary material or had a meaningful opportunity to do so.</w:t>
      </w:r>
    </w:p>
    <w:p>
      <w:pPr>
        <w:numPr>
          <w:ilvl w:val="0"/>
          <w:numId w:val="1011"/>
        </w:numPr>
        <w:pStyle w:val="Compact"/>
        <w:spacing w:after="120" w:line="280" w:lineRule="auto"/>
      </w:pPr>
      <w:r>
        <w:rPr>
          <w:rFonts w:ascii="Nimbus Sans" w:hAnsi="Nimbus Sans" w:eastAsia="Nimbus Sans" w:cs="Nimbus Sans"/>
        </w:rPr>
        <w:t xml:space="preserve">☐ I understand what this statement does and does not assert.</w:t>
      </w:r>
    </w:p>
    <w:p>
      <w:pPr>
        <w:numPr>
          <w:ilvl w:val="0"/>
          <w:numId w:val="1011"/>
        </w:numPr>
        <w:pStyle w:val="Compact"/>
        <w:spacing w:after="120" w:line="280" w:lineRule="auto"/>
      </w:pPr>
      <w:r>
        <w:rPr>
          <w:rFonts w:ascii="Nimbus Sans" w:hAnsi="Nimbus Sans" w:eastAsia="Nimbus Sans" w:cs="Nimbus Sans"/>
        </w:rPr>
        <w:t xml:space="preserve">☐ I request inclusion of P-_____ in the Adopted Proposition Index.</w:t>
      </w:r>
    </w:p>
    <w:p>
      <w:pPr>
        <w:pStyle w:val="FirstParagraph"/>
      </w:pPr>
      <w:r>
        <w:rPr>
          <w:bCs/>
          <w:rFonts w:ascii="Nimbus Sans" w:hAnsi="Nimbus Sans" w:eastAsia="Nimbus Sans" w:cs="Nimbus Sans"/>
          <w:b/>
        </w:rPr>
        <w:t xml:space="preserve">Participant initials:</w:t>
      </w:r>
      <w:r>
        <w:rPr>
          <w:rFonts w:ascii="Nimbus Sans" w:hAnsi="Nimbus Sans" w:eastAsia="Nimbus Sans" w:cs="Nimbus Sans"/>
        </w:rPr>
        <w:t xml:space="preserve"> </w:t>
      </w:r>
      <w:r>
        <w:rPr>
          <w:rFonts w:ascii="Nimbus Sans" w:hAnsi="Nimbus Sans" w:eastAsia="Nimbus Sans" w:cs="Nimbus Sans"/>
        </w:rPr>
        <w:t xml:space="preserve">______</w:t>
      </w:r>
      <w:r>
        <w:rPr>
          <w:rFonts w:ascii="Nimbus Sans" w:hAnsi="Nimbus Sans" w:eastAsia="Nimbus Sans" w:cs="Nimbus Sans"/>
        </w:rPr>
        <w:t xml:space="preserve"> </w:t>
      </w:r>
      <w:r>
        <w:rPr>
          <w:bCs/>
          <w:rFonts w:ascii="Nimbus Sans" w:hAnsi="Nimbus Sans" w:eastAsia="Nimbus Sans" w:cs="Nimbus Sans"/>
          <w:b/>
        </w:rPr>
        <w:t xml:space="preserve">Freeze date/time:</w:t>
      </w:r>
      <w:r>
        <w:rPr>
          <w:rFonts w:ascii="Nimbus Sans" w:hAnsi="Nimbus Sans" w:eastAsia="Nimbus Sans" w:cs="Nimbus Sans"/>
        </w:rPr>
        <w:t xml:space="preserve"> </w:t>
      </w:r>
      <w:r>
        <w:rPr>
          <w:rFonts w:ascii="Nimbus Sans" w:hAnsi="Nimbus Sans" w:eastAsia="Nimbus Sans" w:cs="Nimbus Sans"/>
        </w:rPr>
        <w:t xml:space="preserve">__________________</w:t>
      </w:r>
    </w:p>
    <w:bookmarkEnd w:id="85"/>
    <w:bookmarkEnd w:id="86"/>
    <w:bookmarkStart w:id="87" w:name="X5aa875fdb96dac63e228da7d6c0c76f19b5c0dc"/>
    <w:p>
      <w:pPr>
        <w:pStyle w:val="Heading2"/>
      </w:pPr>
      <w:r>
        <w:rPr>
          <w:rFonts w:ascii="Nimbus Sans" w:hAnsi="Nimbus Sans" w:eastAsia="Nimbus Sans" w:cs="Nimbus Sans"/>
        </w:rPr>
        <w:t xml:space="preserve">18. Adopted Proposition Index</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SWORN SCOPE CONTROL.</w:t>
      </w:r>
      <w:r>
        <w:rPr>
          <w:rFonts w:ascii="Nimbus Sans" w:hAnsi="Nimbus Sans" w:eastAsia="Nimbus Sans" w:cs="Nimbus Sans"/>
        </w:rPr>
        <w:t xml:space="preserve"> </w:t>
      </w:r>
      <w:r>
        <w:rPr>
          <w:rFonts w:ascii="Nimbus Sans" w:hAnsi="Nimbus Sans" w:eastAsia="Nimbus Sans" w:cs="Nimbus Sans"/>
        </w:rPr>
        <w:t xml:space="preserve">Only entries listed below are included. A declined item must not appear.</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1950"/>
        <w:gridCol w:w="780"/>
        <w:gridCol w:w="4140"/>
        <w:gridCol w:w="2490"/>
      </w:tblGrid>
      <w:tr>
        <w:trPr>
          <w:tblHeader w:val="true"/>
          <w:cantSplit w:val="true"/>
        </w:trPr>
        <w:tc>
          <w:tcPr>
            <w:tcW w:type="dxa" w:w="195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Proposition ID</w:t>
            </w:r>
          </w:p>
        </w:tc>
        <w:tc>
          <w:tcPr>
            <w:tcW w:type="dxa" w:w="780"/>
            <w:tcMar>
              <w:top w:w="80" w:type="dxa"/>
              <w:start w:w="120" w:type="dxa"/>
              <w:bottom w:w="80" w:type="dxa"/>
              <w:end w:w="120" w:type="dxa"/>
            </w:tcMar>
            <w:vAlign w:val="center"/>
            <w:shd w:fill="F2F4F7" w:val="clear"/>
          </w:tcPr>
          <w:p>
            <w:pPr>
              <w:pStyle w:val="Compact"/>
              <w:keepNext/>
              <w:spacing w:before="0" w:after="50" w:line="252" w:lineRule="auto"/>
              <w:jc w:val="right"/>
            </w:pPr>
            <w:r>
              <w:rPr>
                <w:rFonts w:ascii="Nimbus Sans" w:hAnsi="Nimbus Sans" w:eastAsia="Nimbus Sans" w:cs="Nimbus Sans"/>
                <w:b/>
                <w:color w:val="0B2545"/>
                <w:sz w:val="18"/>
              </w:rPr>
              <w:t xml:space="preserve">Page</w:t>
            </w:r>
          </w:p>
        </w:tc>
        <w:tc>
          <w:tcPr>
            <w:tcW w:type="dxa" w:w="414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Statement type</w:t>
            </w:r>
          </w:p>
        </w:tc>
        <w:tc>
          <w:tcPr>
            <w:tcW w:type="dxa" w:w="249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Qualification present</w:t>
            </w:r>
          </w:p>
        </w:tc>
      </w:tr>
      <w:tr>
        <w:trPr>
          <w:cantSplit w:val="true"/>
        </w:trPr>
        <w:tc>
          <w:tcPr>
            <w:tcW w:type="dxa" w:w="195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P-___</w:t>
            </w:r>
          </w:p>
        </w:tc>
        <w:tc>
          <w:tcPr>
            <w:tcW w:type="dxa" w:w="780"/>
            <w:tcMar>
              <w:top w:w="80" w:type="dxa"/>
              <w:start w:w="120" w:type="dxa"/>
              <w:bottom w:w="80" w:type="dxa"/>
              <w:end w:w="120" w:type="dxa"/>
            </w:tcMar>
            <w:vAlign w:val="center"/>
          </w:tcPr>
          <w:p>
            <w:pPr>
              <w:pStyle w:val="Compact"/>
              <w:spacing w:before="0" w:after="50" w:line="252" w:lineRule="auto"/>
            </w:pPr>
          </w:p>
        </w:tc>
        <w:tc>
          <w:tcPr>
            <w:tcW w:type="dxa" w:w="414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fact / record-state / knowledge-state</w:t>
            </w:r>
          </w:p>
        </w:tc>
        <w:tc>
          <w:tcPr>
            <w:tcW w:type="dxa" w:w="249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yes / no</w:t>
            </w:r>
          </w:p>
        </w:tc>
      </w:tr>
      <w:tr>
        <w:trPr>
          <w:cantSplit w:val="true"/>
        </w:trPr>
        <w:tc>
          <w:tcPr>
            <w:tcW w:type="dxa" w:w="195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P-___</w:t>
            </w:r>
          </w:p>
        </w:tc>
        <w:tc>
          <w:tcPr>
            <w:tcW w:type="dxa" w:w="780"/>
            <w:tcMar>
              <w:top w:w="80" w:type="dxa"/>
              <w:start w:w="120" w:type="dxa"/>
              <w:bottom w:w="80" w:type="dxa"/>
              <w:end w:w="120" w:type="dxa"/>
            </w:tcMar>
            <w:vAlign w:val="center"/>
          </w:tcPr>
          <w:p>
            <w:pPr>
              <w:pStyle w:val="Compact"/>
              <w:spacing w:before="0" w:after="50" w:line="252" w:lineRule="auto"/>
            </w:pPr>
          </w:p>
        </w:tc>
        <w:tc>
          <w:tcPr>
            <w:tcW w:type="dxa" w:w="414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fact / record-state / knowledge-state</w:t>
            </w:r>
          </w:p>
        </w:tc>
        <w:tc>
          <w:tcPr>
            <w:tcW w:type="dxa" w:w="249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yes / no</w:t>
            </w:r>
          </w:p>
        </w:tc>
      </w:tr>
    </w:tbl>
    <w:p>
      <w:pPr>
        <w:pStyle w:val="BodyText"/>
      </w:pPr>
      <w:r>
        <w:rPr>
          <w:bCs/>
          <w:rFonts w:ascii="Nimbus Sans" w:hAnsi="Nimbus Sans" w:eastAsia="Nimbus Sans" w:cs="Nimbus Sans"/>
          <w:b/>
        </w:rPr>
        <w:t xml:space="preserve">Excluded Question IDs:</w:t>
      </w:r>
      <w:r>
        <w:rPr>
          <w:rFonts w:ascii="Nimbus Sans" w:hAnsi="Nimbus Sans" w:eastAsia="Nimbus Sans" w:cs="Nimbus Sans"/>
        </w:rPr>
        <w:t xml:space="preserve"> </w:t>
      </w:r>
      <w:r>
        <w:rPr>
          <w:rFonts w:ascii="Nimbus Sans" w:hAnsi="Nimbus Sans" w:eastAsia="Nimbus Sans" w:cs="Nimbus Sans"/>
        </w:rPr>
        <w:t xml:space="preserve">___________________________________________</w:t>
      </w:r>
    </w:p>
    <w:bookmarkEnd w:id="87"/>
    <w:bookmarkStart w:id="89" w:name="Xd765b3899a1be46500d8a714a715a3bc5df4cea"/>
    <w:p>
      <w:pPr>
        <w:pStyle w:val="Heading2"/>
      </w:pPr>
      <w:r>
        <w:rPr>
          <w:rFonts w:ascii="Nimbus Sans" w:hAnsi="Nimbus Sans" w:eastAsia="Nimbus Sans" w:cs="Nimbus Sans"/>
        </w:rPr>
        <w:t xml:space="preserve">19. Participant adoption and signature</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PROPOSED LANGUAGE — WASHINGTON COUNSEL MUST APPROVE</w:t>
      </w:r>
    </w:p>
    <w:p>
      <w:pPr>
        <w:pStyle w:val="FirstParagraph"/>
      </w:pPr>
      <w:r>
        <w:rPr>
          <w:rFonts w:ascii="Nimbus Sans" w:hAnsi="Nimbus Sans" w:eastAsia="Nimbus Sans" w:cs="Nimbus Sans"/>
        </w:rPr>
        <w:t xml:space="preserve">I,</w:t>
      </w:r>
      <w:r>
        <w:rPr>
          <w:rFonts w:ascii="Nimbus Sans" w:hAnsi="Nimbus Sans" w:eastAsia="Nimbus Sans" w:cs="Nimbus Sans"/>
        </w:rPr>
        <w:t xml:space="preserve"> </w:t>
      </w:r>
      <w:r>
        <w:rPr>
          <w:bCs/>
          <w:rFonts w:ascii="Nimbus Sans" w:hAnsi="Nimbus Sans" w:eastAsia="Nimbus Sans" w:cs="Nimbus Sans"/>
          <w:b/>
        </w:rPr>
        <w:t xml:space="preserve">[printed name]</w:t>
      </w:r>
      <w:r>
        <w:rPr>
          <w:rFonts w:ascii="Nimbus Sans" w:hAnsi="Nimbus Sans" w:eastAsia="Nimbus Sans" w:cs="Nimbus Sans"/>
        </w:rPr>
        <w:t xml:space="preserve">, voluntarily make this signed record as a sworn statement.</w:t>
      </w:r>
    </w:p>
    <w:p>
      <w:pPr>
        <w:pStyle w:val="BodyText"/>
      </w:pPr>
      <w:r>
        <w:rPr>
          <w:rFonts w:ascii="Nimbus Sans" w:hAnsi="Nimbus Sans" w:eastAsia="Nimbus Sans" w:cs="Nimbus Sans"/>
        </w:rPr>
        <w:t xml:space="preserve">I have read, or had read to me, CSR</w:t>
      </w:r>
      <w:r>
        <w:rPr>
          <w:rFonts w:ascii="Nimbus Sans" w:hAnsi="Nimbus Sans" w:eastAsia="Nimbus Sans" w:cs="Nimbus Sans"/>
        </w:rPr>
        <w:t xml:space="preserve"> </w:t>
      </w:r>
      <w:r>
        <w:rPr>
          <w:bCs/>
          <w:rFonts w:ascii="Nimbus Sans" w:hAnsi="Nimbus Sans" w:eastAsia="Nimbus Sans" w:cs="Nimbus Sans"/>
          <w:b/>
        </w:rPr>
        <w:t xml:space="preserve">[record ID]</w:t>
      </w:r>
      <w:r>
        <w:rPr>
          <w:rFonts w:ascii="Nimbus Sans" w:hAnsi="Nimbus Sans" w:eastAsia="Nimbus Sans" w:cs="Nimbus Sans"/>
        </w:rPr>
        <w:t xml:space="preserve">, version</w:t>
      </w:r>
      <w:r>
        <w:rPr>
          <w:rFonts w:ascii="Nimbus Sans" w:hAnsi="Nimbus Sans" w:eastAsia="Nimbus Sans" w:cs="Nimbus Sans"/>
        </w:rPr>
        <w:t xml:space="preserve"> </w:t>
      </w:r>
      <w:r>
        <w:rPr>
          <w:bCs/>
          <w:rFonts w:ascii="Nimbus Sans" w:hAnsi="Nimbus Sans" w:eastAsia="Nimbus Sans" w:cs="Nimbus Sans"/>
          <w:b/>
        </w:rPr>
        <w:t xml:space="preserve">[version]</w:t>
      </w:r>
      <w:r>
        <w:rPr>
          <w:rFonts w:ascii="Nimbus Sans" w:hAnsi="Nimbus Sans" w:eastAsia="Nimbus Sans" w:cs="Nimbus Sans"/>
        </w:rPr>
        <w:t xml:space="preserve">, pages</w:t>
      </w:r>
      <w:r>
        <w:rPr>
          <w:rFonts w:ascii="Nimbus Sans" w:hAnsi="Nimbus Sans" w:eastAsia="Nimbus Sans" w:cs="Nimbus Sans"/>
        </w:rPr>
        <w:t xml:space="preserve"> </w:t>
      </w:r>
      <w:r>
        <w:rPr>
          <w:bCs/>
          <w:rFonts w:ascii="Nimbus Sans" w:hAnsi="Nimbus Sans" w:eastAsia="Nimbus Sans" w:cs="Nimbus Sans"/>
          <w:b/>
        </w:rPr>
        <w:t xml:space="preserve">[sworn page range]</w:t>
      </w:r>
      <w:r>
        <w:rPr>
          <w:rFonts w:ascii="Nimbus Sans" w:hAnsi="Nimbus Sans" w:eastAsia="Nimbus Sans" w:cs="Nimbus Sans"/>
        </w:rPr>
        <w:t xml:space="preserve">. I adopt only:</w:t>
      </w:r>
    </w:p>
    <w:p>
      <w:pPr>
        <w:numPr>
          <w:ilvl w:val="0"/>
          <w:numId w:val="1012"/>
        </w:numPr>
        <w:pStyle w:val="Compact"/>
        <w:spacing w:after="120" w:line="280" w:lineRule="auto"/>
      </w:pPr>
      <w:r>
        <w:rPr>
          <w:rFonts w:ascii="Nimbus Sans" w:hAnsi="Nimbus Sans" w:eastAsia="Nimbus Sans" w:cs="Nimbus Sans"/>
        </w:rPr>
        <w:t xml:space="preserve">the complete text in each “Exact adopted statement” field listed in the Adopted Proposition Index;</w:t>
      </w:r>
    </w:p>
    <w:p>
      <w:pPr>
        <w:numPr>
          <w:ilvl w:val="0"/>
          <w:numId w:val="1012"/>
        </w:numPr>
        <w:pStyle w:val="Compact"/>
        <w:spacing w:after="120" w:line="280" w:lineRule="auto"/>
      </w:pPr>
      <w:r>
        <w:rPr>
          <w:rFonts w:ascii="Nimbus Sans" w:hAnsi="Nimbus Sans" w:eastAsia="Nimbus Sans" w:cs="Nimbus Sans"/>
        </w:rPr>
        <w:t xml:space="preserve">the basis-of-knowledge statement printed with each adopted proposition; and</w:t>
      </w:r>
    </w:p>
    <w:p>
      <w:pPr>
        <w:numPr>
          <w:ilvl w:val="0"/>
          <w:numId w:val="1012"/>
        </w:numPr>
        <w:pStyle w:val="Compact"/>
        <w:spacing w:after="120" w:line="280" w:lineRule="auto"/>
      </w:pPr>
      <w:r>
        <w:rPr>
          <w:rFonts w:ascii="Nimbus Sans" w:hAnsi="Nimbus Sans" w:eastAsia="Nimbus Sans" w:cs="Nimbus Sans"/>
        </w:rPr>
        <w:t xml:space="preserve">every qualification, limit, and exception printed with that proposition.</w:t>
      </w:r>
    </w:p>
    <w:p>
      <w:pPr>
        <w:pStyle w:val="FirstParagraph"/>
      </w:pPr>
      <w:r>
        <w:rPr>
          <w:rFonts w:ascii="Nimbus Sans" w:hAnsi="Nimbus Sans" w:eastAsia="Nimbus Sans" w:cs="Nimbus Sans"/>
        </w:rPr>
        <w:t xml:space="preserve">I state that each adopted statement is true as written and qualified.</w:t>
      </w:r>
    </w:p>
    <w:p>
      <w:pPr>
        <w:pStyle w:val="BodyText"/>
      </w:pPr>
      <w:r>
        <w:rPr>
          <w:rFonts w:ascii="Nimbus Sans" w:hAnsi="Nimbus Sans" w:eastAsia="Nimbus Sans" w:cs="Nimbus Sans"/>
        </w:rPr>
        <w:t xml:space="preserve">If an adopted statement says that I do not know, do not recall, or cannot verify a proposition, I swear only to that stated condition of my present knowledge, recall, or ability to verify. I do not thereby affirm or deny the underlying proposition. A declined item makes no sworn assertion and is not included in the Adopted Proposition Index.</w:t>
      </w:r>
    </w:p>
    <w:p>
      <w:pPr>
        <w:pStyle w:val="BodyText"/>
      </w:pPr>
      <w:r>
        <w:rPr>
          <w:rFonts w:ascii="Nimbus Sans" w:hAnsi="Nimbus Sans" w:eastAsia="Nimbus Sans" w:cs="Nimbus Sans"/>
        </w:rPr>
        <w:t xml:space="preserve">I do not adopt the interviewer’s questions, DGG source annotations, contrary-source annotations, editorial assessments, public-media content, or later commentary except to the extent exact text is expressly incorporated into an adopted statement.</w:t>
      </w:r>
    </w:p>
    <w:p>
      <w:pPr>
        <w:pStyle w:val="BodyText"/>
      </w:pPr>
      <w:r>
        <w:rPr>
          <w:rFonts w:ascii="Nimbus Sans" w:hAnsi="Nimbus Sans" w:eastAsia="Nimbus Sans" w:cs="Nimbus Sans"/>
        </w:rPr>
        <w:t xml:space="preserve">I understand that the notarial officer performs and certifies the notarial act and required determinations; the officer does not investigate or certify the factual truth of my statements.</w:t>
      </w:r>
    </w:p>
    <w:p>
      <w:pPr>
        <w:pStyle w:val="BodyText"/>
      </w:pPr>
      <w:r>
        <w:rPr>
          <w:rFonts w:ascii="Nimbus Sans" w:hAnsi="Nimbus Sans" w:eastAsia="Nimbus Sans" w:cs="Nimbus Sans"/>
        </w:rPr>
        <w:t xml:space="preserve">I intend this signed record, limited as stated above, to be represented as my sworn statement under the oath or affirmation administered before the notarial officer.</w:t>
      </w:r>
    </w:p>
    <w:p>
      <w:pPr>
        <w:pStyle w:val="BodyText"/>
      </w:pPr>
      <w:r>
        <w:rPr>
          <w:bCs/>
          <w:rFonts w:ascii="Nimbus Sans" w:hAnsi="Nimbus Sans" w:eastAsia="Nimbus Sans" w:cs="Nimbus Sans"/>
          <w:b/>
        </w:rPr>
        <w:t xml:space="preserve">Participant signature:</w:t>
      </w:r>
      <w:r>
        <w:rPr>
          <w:rFonts w:ascii="Nimbus Sans" w:hAnsi="Nimbus Sans" w:eastAsia="Nimbus Sans" w:cs="Nimbus Sans"/>
        </w:rPr>
        <w:t xml:space="preserve"> </w:t>
      </w:r>
      <w:r>
        <w:rPr>
          <w:rFonts w:ascii="Nimbus Sans" w:hAnsi="Nimbus Sans" w:eastAsia="Nimbus Sans" w:cs="Nimbus Sans"/>
        </w:rPr>
        <w:t xml:space="preserve">___________________________________________</w:t>
      </w:r>
      <w:r>
        <w:rPr>
          <w:rFonts w:ascii="Nimbus Sans" w:hAnsi="Nimbus Sans" w:eastAsia="Nimbus Sans" w:cs="Nimbus Sans"/>
        </w:rPr>
        <w:br/>
      </w:r>
      <w:r>
        <w:rPr>
          <w:bCs/>
          <w:rFonts w:ascii="Nimbus Sans" w:hAnsi="Nimbus Sans" w:eastAsia="Nimbus Sans" w:cs="Nimbus Sans"/>
          <w:b/>
        </w:rPr>
        <w:t xml:space="preserve">Printed name:</w:t>
      </w:r>
      <w:r>
        <w:rPr>
          <w:rFonts w:ascii="Nimbus Sans" w:hAnsi="Nimbus Sans" w:eastAsia="Nimbus Sans" w:cs="Nimbus Sans"/>
        </w:rPr>
        <w:t xml:space="preserve"> </w:t>
      </w:r>
      <w:r>
        <w:rPr>
          <w:rFonts w:ascii="Nimbus Sans" w:hAnsi="Nimbus Sans" w:eastAsia="Nimbus Sans" w:cs="Nimbus Sans"/>
        </w:rPr>
        <w:t xml:space="preserve">_________________________________________________</w:t>
      </w:r>
      <w:r>
        <w:rPr>
          <w:rFonts w:ascii="Nimbus Sans" w:hAnsi="Nimbus Sans" w:eastAsia="Nimbus Sans" w:cs="Nimbus Sans"/>
        </w:rPr>
        <w:br/>
      </w:r>
      <w:r>
        <w:rPr>
          <w:bCs/>
          <w:rFonts w:ascii="Nimbus Sans" w:hAnsi="Nimbus Sans" w:eastAsia="Nimbus Sans" w:cs="Nimbus Sans"/>
          <w:b/>
        </w:rPr>
        <w:t xml:space="preserve">Date/time signed:</w:t>
      </w:r>
      <w:r>
        <w:rPr>
          <w:rFonts w:ascii="Nimbus Sans" w:hAnsi="Nimbus Sans" w:eastAsia="Nimbus Sans" w:cs="Nimbus Sans"/>
        </w:rPr>
        <w:t xml:space="preserve"> </w:t>
      </w:r>
      <w:r>
        <w:rPr>
          <w:rFonts w:ascii="Nimbus Sans" w:hAnsi="Nimbus Sans" w:eastAsia="Nimbus Sans" w:cs="Nimbus Sans"/>
        </w:rPr>
        <w:t xml:space="preserve">______________________________________________</w:t>
      </w:r>
    </w:p>
    <w:p>
      <w:pPr>
        <w:pStyle w:val="BodyText"/>
      </w:pPr>
      <w:r>
        <w:rPr>
          <w:rFonts w:ascii="Nimbus Sans" w:hAnsi="Nimbus Sans" w:eastAsia="Nimbus Sans" w:cs="Nimbus Sans"/>
        </w:rPr>
        <w:t xml:space="preserve">The participant must not pre-sign. Counsel must determine the exact signature/appearance requirement for the selected act.</w:t>
      </w:r>
    </w:p>
    <w:bookmarkStart w:id="88" w:name="proposed-oath-or-affirmation-script"/>
    <w:p>
      <w:pPr>
        <w:pStyle w:val="Heading3"/>
      </w:pPr>
      <w:r>
        <w:rPr>
          <w:rFonts w:ascii="Nimbus Sans" w:hAnsi="Nimbus Sans" w:eastAsia="Nimbus Sans" w:cs="Nimbus Sans"/>
        </w:rPr>
        <w:t xml:space="preserve">Proposed oath or affirmation script</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Notarial officer:</w:t>
      </w:r>
      <w:r>
        <w:rPr>
          <w:rFonts w:ascii="Nimbus Sans" w:hAnsi="Nimbus Sans" w:eastAsia="Nimbus Sans" w:cs="Nimbus Sans"/>
        </w:rPr>
        <w:t xml:space="preserve"> </w:t>
      </w:r>
      <w:r>
        <w:rPr>
          <w:rFonts w:ascii="Nimbus Sans" w:hAnsi="Nimbus Sans" w:eastAsia="Nimbus Sans" w:cs="Nimbus Sans"/>
        </w:rPr>
        <w:t xml:space="preserve">“Do you swear or affirm that every statement you adopted in CSR [record ID], version [version], including its stated basis and every printed qualification, is true?”</w:t>
      </w:r>
      <w:r>
        <w:rPr>
          <w:rFonts w:ascii="Nimbus Sans" w:hAnsi="Nimbus Sans" w:eastAsia="Nimbus Sans" w:cs="Nimbus Sans"/>
        </w:rPr>
        <w:br/>
      </w:r>
      <w:r>
        <w:rPr>
          <w:bCs/>
          <w:rFonts w:ascii="Nimbus Sans" w:hAnsi="Nimbus Sans" w:eastAsia="Nimbus Sans" w:cs="Nimbus Sans"/>
          <w:b/>
        </w:rPr>
        <w:t xml:space="preserve">Participant:</w:t>
      </w:r>
      <w:r>
        <w:rPr>
          <w:rFonts w:ascii="Nimbus Sans" w:hAnsi="Nimbus Sans" w:eastAsia="Nimbus Sans" w:cs="Nimbus Sans"/>
        </w:rPr>
        <w:t xml:space="preserve"> </w:t>
      </w:r>
      <w:r>
        <w:rPr>
          <w:rFonts w:ascii="Nimbus Sans" w:hAnsi="Nimbus Sans" w:eastAsia="Nimbus Sans" w:cs="Nimbus Sans"/>
        </w:rPr>
        <w:t xml:space="preserve">“I do.”</w:t>
      </w:r>
    </w:p>
    <w:p>
      <w:pPr>
        <w:pStyle w:val="FirstParagraph"/>
      </w:pPr>
      <w:r>
        <w:rPr>
          <w:rFonts w:ascii="Nimbus Sans" w:hAnsi="Nimbus Sans" w:eastAsia="Nimbus Sans" w:cs="Nimbus Sans"/>
        </w:rPr>
        <w:t xml:space="preserve">Washington law does not supply this project-specific script. Counsel must approve it. The independent notary must remain free to use a lawful equivalent or refuse.</w:t>
      </w:r>
    </w:p>
    <w:bookmarkEnd w:id="88"/>
    <w:bookmarkEnd w:id="89"/>
    <w:bookmarkStart w:id="92" w:name="X62f22c92f21411f99027f745e8b83401b6558db"/>
    <w:p>
      <w:pPr>
        <w:pStyle w:val="Heading2"/>
      </w:pPr>
      <w:r>
        <w:rPr>
          <w:rFonts w:ascii="Nimbus Sans" w:hAnsi="Nimbus Sans" w:eastAsia="Nimbus Sans" w:cs="Nimbus Sans"/>
        </w:rPr>
        <w:t xml:space="preserve">20. Washington verification certificate</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NOTARIAL OFFICER ONLY.</w:t>
      </w:r>
      <w:r>
        <w:rPr>
          <w:rFonts w:ascii="Nimbus Sans" w:hAnsi="Nimbus Sans" w:eastAsia="Nimbus Sans" w:cs="Nimbus Sans"/>
        </w:rPr>
        <w:t xml:space="preserve"> </w:t>
      </w:r>
      <w:r>
        <w:rPr>
          <w:rFonts w:ascii="Nimbus Sans" w:hAnsi="Nimbus Sans" w:eastAsia="Nimbus Sans" w:cs="Nimbus Sans"/>
        </w:rPr>
        <w:t xml:space="preserve">Do not prefill the date, appearing individual’s name, notary signature, title, commission expiration, or stamp. The officer must execute the certificate contemporaneously; a tangible-record certificate must be part of or securely attached to the record.</w:t>
      </w:r>
      <w:r>
        <w:rPr>
          <w:rFonts w:ascii="Nimbus Sans" w:hAnsi="Nimbus Sans" w:eastAsia="Nimbus Sans" w:cs="Nimbus Sans"/>
        </w:rPr>
        <w:t xml:space="preserve"> </w:t>
      </w:r>
      <w:hyperlink r:id="rId90">
        <w:r>
          <w:rPr>
            <w:rStyle w:val="Hyperlink"/>
          </w:rPr>
          <w:t xml:space="preserve">RCW 42.45.130</w:t>
        </w:r>
      </w:hyperlink>
      <w:r>
        <w:rPr>
          <w:rFonts w:ascii="Nimbus Sans" w:hAnsi="Nimbus Sans" w:eastAsia="Nimbus Sans" w:cs="Nimbus Sans"/>
        </w:rPr>
        <w:t xml:space="preserve">.</w:t>
      </w:r>
    </w:p>
    <w:p>
      <w:pPr>
        <w:pStyle w:val="FirstParagraph"/>
      </w:pPr>
      <w:r>
        <w:rPr>
          <w:bCs/>
          <w:rFonts w:ascii="Nimbus Sans" w:hAnsi="Nimbus Sans" w:eastAsia="Nimbus Sans" w:cs="Nimbus Sans"/>
          <w:b/>
        </w:rPr>
        <w:t xml:space="preserve">Administrative document reference:</w:t>
      </w:r>
      <w:r>
        <w:rPr>
          <w:rFonts w:ascii="Nimbus Sans" w:hAnsi="Nimbus Sans" w:eastAsia="Nimbus Sans" w:cs="Nimbus Sans"/>
        </w:rPr>
        <w:t xml:space="preserve"> </w:t>
      </w:r>
      <w:r>
        <w:rPr>
          <w:rFonts w:ascii="Nimbus Sans" w:hAnsi="Nimbus Sans" w:eastAsia="Nimbus Sans" w:cs="Nimbus Sans"/>
        </w:rPr>
        <w:t xml:space="preserve">CSR ID __________, version _____, pages _____ of _____.</w:t>
      </w:r>
    </w:p>
    <w:p>
      <w:pPr>
        <w:pStyle w:val="BodyText"/>
      </w:pPr>
      <w:r>
        <w:rPr>
          <w:rFonts w:ascii="Nimbus Sans" w:hAnsi="Nimbus Sans" w:eastAsia="Nimbus Sans" w:cs="Nimbus Sans"/>
        </w:rPr>
        <w:t xml:space="preserve">The following is Washington’s current statutory short form for a verification on oath or affirmation:</w:t>
      </w:r>
    </w:p>
    <w:p>
      <w:pPr>
        <w:pStyle w:val="BlockText"/>
        <w:shd w:fill="F4F6F9" w:val="clear"/>
        <w:pBdr>
          <w:left w:val="single" w:sz="18" w:space="8" w:color="2E74B5"/>
        </w:pBdr>
        <w:spacing w:before="100" w:after="120"/>
        <w:ind w:left="317" w:right="115"/>
      </w:pPr>
      <w:r>
        <w:rPr>
          <w:rFonts w:ascii="Nimbus Sans" w:hAnsi="Nimbus Sans" w:eastAsia="Nimbus Sans" w:cs="Nimbus Sans"/>
        </w:rPr>
        <w:t xml:space="preserve">State of Washington</w:t>
      </w:r>
      <w:r>
        <w:rPr>
          <w:rFonts w:ascii="Nimbus Sans" w:hAnsi="Nimbus Sans" w:eastAsia="Nimbus Sans" w:cs="Nimbus Sans"/>
        </w:rPr>
        <w:br/>
      </w:r>
      <w:r>
        <w:rPr>
          <w:rFonts w:ascii="Nimbus Sans" w:hAnsi="Nimbus Sans" w:eastAsia="Nimbus Sans" w:cs="Nimbus Sans"/>
        </w:rPr>
        <w:t xml:space="preserve">County of __________________</w:t>
      </w:r>
    </w:p>
    <w:p>
      <w:pPr>
        <w:pStyle w:val="BlockText"/>
        <w:shd w:fill="F4F6F9" w:val="clear"/>
        <w:pBdr>
          <w:left w:val="single" w:sz="18" w:space="8" w:color="2E74B5"/>
        </w:pBdr>
        <w:spacing w:before="100" w:after="120"/>
        <w:ind w:left="317" w:right="115"/>
      </w:pPr>
      <w:r>
        <w:rPr>
          <w:rFonts w:ascii="Nimbus Sans" w:hAnsi="Nimbus Sans" w:eastAsia="Nimbus Sans" w:cs="Nimbus Sans"/>
        </w:rPr>
        <w:t xml:space="preserve">Signed and sworn to (or affirmed) before me on __________________ by ______________________________.</w:t>
      </w:r>
    </w:p>
    <w:p>
      <w:r>
        <w:rPr>
          <w:rFonts w:ascii="Nimbus Sans" w:hAnsi="Nimbus Sans" w:eastAsia="Nimbus Sans" w:cs="Nimbus Sans"/>
        </w:rPr>
        <w:pict>
          <v:rect style="width:0;height:1.5pt" o:hralign="center" o:hrstd="t" o:hr="t"/>
        </w:pict>
      </w:r>
    </w:p>
    <w:p>
      <w:pPr>
        <w:pStyle w:val="BlockText"/>
        <w:shd w:fill="F4F6F9" w:val="clear"/>
        <w:pBdr>
          <w:left w:val="single" w:sz="18" w:space="8" w:color="2E74B5"/>
        </w:pBdr>
        <w:spacing w:before="100" w:after="120"/>
        <w:ind w:left="317" w:right="115"/>
      </w:pPr>
      <w:r>
        <w:rPr>
          <w:rFonts w:ascii="Nimbus Sans" w:hAnsi="Nimbus Sans" w:eastAsia="Nimbus Sans" w:cs="Nimbus Sans"/>
        </w:rPr>
        <w:t xml:space="preserve">Signature of notary public</w:t>
      </w:r>
    </w:p>
    <w:p>
      <w:pPr>
        <w:pStyle w:val="BlockText"/>
        <w:shd w:fill="F4F6F9" w:val="clear"/>
        <w:pBdr>
          <w:left w:val="single" w:sz="18" w:space="8" w:color="2E74B5"/>
        </w:pBdr>
        <w:spacing w:before="100" w:after="120"/>
        <w:ind w:left="317" w:right="115"/>
      </w:pPr>
      <w:r>
        <w:rPr>
          <w:rFonts w:ascii="Nimbus Sans" w:hAnsi="Nimbus Sans" w:eastAsia="Nimbus Sans" w:cs="Nimbus Sans"/>
        </w:rPr>
        <w:t xml:space="preserve">[Official stamp]</w:t>
      </w:r>
    </w:p>
    <w:p>
      <w:r>
        <w:rPr>
          <w:rFonts w:ascii="Nimbus Sans" w:hAnsi="Nimbus Sans" w:eastAsia="Nimbus Sans" w:cs="Nimbus Sans"/>
        </w:rPr>
        <w:pict>
          <v:rect style="width:0;height:1.5pt" o:hralign="center" o:hrstd="t" o:hr="t"/>
        </w:pict>
      </w:r>
    </w:p>
    <w:p>
      <w:pPr>
        <w:pStyle w:val="BlockText"/>
        <w:shd w:fill="F4F6F9" w:val="clear"/>
        <w:pBdr>
          <w:left w:val="single" w:sz="18" w:space="8" w:color="2E74B5"/>
        </w:pBdr>
        <w:spacing w:before="100" w:after="120"/>
        <w:ind w:left="317" w:right="115"/>
      </w:pPr>
      <w:r>
        <w:rPr>
          <w:rFonts w:ascii="Nimbus Sans" w:hAnsi="Nimbus Sans" w:eastAsia="Nimbus Sans" w:cs="Nimbus Sans"/>
        </w:rPr>
        <w:t xml:space="preserve">Title of office</w:t>
      </w:r>
    </w:p>
    <w:p>
      <w:pPr>
        <w:pStyle w:val="BlockText"/>
        <w:shd w:fill="F4F6F9" w:val="clear"/>
        <w:pBdr>
          <w:left w:val="single" w:sz="18" w:space="8" w:color="2E74B5"/>
        </w:pBdr>
        <w:spacing w:before="100" w:after="120"/>
        <w:ind w:left="317" w:right="115"/>
      </w:pPr>
      <w:r>
        <w:rPr>
          <w:rFonts w:ascii="Nimbus Sans" w:hAnsi="Nimbus Sans" w:eastAsia="Nimbus Sans" w:cs="Nimbus Sans"/>
        </w:rPr>
        <w:t xml:space="preserve">My commission expires: __________________</w:t>
      </w:r>
    </w:p>
    <w:p>
      <w:pPr>
        <w:pStyle w:val="FirstParagraph"/>
      </w:pPr>
      <w:r>
        <w:rPr>
          <w:rFonts w:ascii="Nimbus Sans" w:hAnsi="Nimbus Sans" w:eastAsia="Nimbus Sans" w:cs="Nimbus Sans"/>
        </w:rPr>
        <w:t xml:space="preserve">Source:</w:t>
      </w:r>
      <w:r>
        <w:rPr>
          <w:rFonts w:ascii="Nimbus Sans" w:hAnsi="Nimbus Sans" w:eastAsia="Nimbus Sans" w:cs="Nimbus Sans"/>
        </w:rPr>
        <w:t xml:space="preserve"> </w:t>
      </w:r>
      <w:hyperlink r:id="rId91">
        <w:r>
          <w:rPr>
            <w:rStyle w:val="Hyperlink"/>
          </w:rPr>
          <w:t xml:space="preserve">RCW 42.45.140(3)</w:t>
        </w:r>
      </w:hyperlink>
      <w:r>
        <w:rPr>
          <w:rFonts w:ascii="Nimbus Sans" w:hAnsi="Nimbus Sans" w:eastAsia="Nimbus Sans" w:cs="Nimbus Sans"/>
        </w:rPr>
        <w:t xml:space="preserve">. Counsel must recheck the current official text immediately before use.</w:t>
      </w:r>
    </w:p>
    <w:bookmarkEnd w:id="92"/>
    <w:bookmarkStart w:id="93" w:name="X7bfc16b7093472285a803af2e92e0d167b08a69"/>
    <w:p>
      <w:pPr>
        <w:pStyle w:val="Heading2"/>
      </w:pPr>
      <w:r>
        <w:rPr>
          <w:rFonts w:ascii="Nimbus Sans" w:hAnsi="Nimbus Sans" w:eastAsia="Nimbus Sans" w:cs="Nimbus Sans"/>
        </w:rPr>
        <w:t xml:space="preserve">21. Internal notarial-act control sheet</w:t>
      </w:r>
    </w:p>
    <w:p>
      <w:pPr>
        <w:pStyle w:val="BlockText"/>
        <w:shd w:fill="F4F6F9" w:val="clear"/>
        <w:pBdr>
          <w:left w:val="single" w:sz="18" w:space="8" w:color="2E74B5"/>
        </w:pBdr>
        <w:spacing w:before="100" w:after="120"/>
        <w:ind w:left="317" w:right="115"/>
      </w:pPr>
      <w:r>
        <w:rPr>
          <w:bCs/>
          <w:rFonts w:ascii="Nimbus Sans" w:hAnsi="Nimbus Sans" w:eastAsia="Nimbus Sans" w:cs="Nimbus Sans"/>
          <w:b/>
          <w:color w:val="9B1C1C"/>
          <w:sz w:val="19"/>
        </w:rPr>
        <w:t xml:space="preserve">INTERNAL / UNSWORN / NOT PART OF CSR / NOT FOR PUBLICATION.</w:t>
      </w:r>
      <w:r>
        <w:rPr>
          <w:rFonts w:ascii="Nimbus Sans" w:hAnsi="Nimbus Sans" w:eastAsia="Nimbus Sans" w:cs="Nimbus Sans"/>
          <w:b/>
          <w:color w:val="9B1C1C"/>
          <w:sz w:val="19"/>
        </w:rPr>
        <w:t xml:space="preserve"> </w:t>
      </w:r>
      <w:r>
        <w:rPr>
          <w:rFonts w:ascii="Nimbus Sans" w:hAnsi="Nimbus Sans" w:eastAsia="Nimbus Sans" w:cs="Nimbus Sans"/>
          <w:b/>
          <w:color w:val="9B1C1C"/>
          <w:sz w:val="19"/>
        </w:rPr>
        <w:t xml:space="preserve">This records workflow completion; it does not ask the notary to approve content or give legal advice.</w:t>
      </w:r>
    </w:p>
    <w:p>
      <w:pPr>
        <w:numPr>
          <w:ilvl w:val="0"/>
          <w:numId w:val="1013"/>
        </w:numPr>
        <w:pStyle w:val="Compact"/>
        <w:spacing w:after="120" w:line="280" w:lineRule="auto"/>
      </w:pPr>
      <w:r>
        <w:rPr>
          <w:rFonts w:ascii="Nimbus Sans" w:hAnsi="Nimbus Sans" w:eastAsia="Nimbus Sans" w:cs="Nimbus Sans"/>
        </w:rPr>
        <w:t xml:space="preserve">☐ Active Washington commission checked independently.</w:t>
      </w:r>
    </w:p>
    <w:p>
      <w:pPr>
        <w:numPr>
          <w:ilvl w:val="0"/>
          <w:numId w:val="1013"/>
        </w:numPr>
        <w:pStyle w:val="Compact"/>
        <w:spacing w:after="120" w:line="280" w:lineRule="auto"/>
      </w:pPr>
      <w:r>
        <w:rPr>
          <w:rFonts w:ascii="Nimbus Sans" w:hAnsi="Nimbus Sans" w:eastAsia="Nimbus Sans" w:cs="Nimbus Sans"/>
        </w:rPr>
        <w:t xml:space="preserve">☐ Notary and participant physically present as required; actual venue/county confirmed.</w:t>
      </w:r>
    </w:p>
    <w:p>
      <w:pPr>
        <w:numPr>
          <w:ilvl w:val="0"/>
          <w:numId w:val="1013"/>
        </w:numPr>
        <w:pStyle w:val="Compact"/>
        <w:spacing w:after="120" w:line="280" w:lineRule="auto"/>
      </w:pPr>
      <w:r>
        <w:rPr>
          <w:rFonts w:ascii="Nimbus Sans" w:hAnsi="Nimbus Sans" w:eastAsia="Nimbus Sans" w:cs="Nimbus Sans"/>
        </w:rPr>
        <w:t xml:space="preserve">☐ Conflict/direct-beneficial-interest and enhanced independence screen completed.</w:t>
      </w:r>
    </w:p>
    <w:p>
      <w:pPr>
        <w:numPr>
          <w:ilvl w:val="0"/>
          <w:numId w:val="1013"/>
        </w:numPr>
        <w:pStyle w:val="Compact"/>
        <w:spacing w:after="120" w:line="280" w:lineRule="auto"/>
      </w:pPr>
      <w:r>
        <w:rPr>
          <w:rFonts w:ascii="Nimbus Sans" w:hAnsi="Nimbus Sans" w:eastAsia="Nimbus Sans" w:cs="Nimbus Sans"/>
        </w:rPr>
        <w:t xml:space="preserve">☐ Correct CSR ID, version, page count, and proposition index confirmed.</w:t>
      </w:r>
    </w:p>
    <w:p>
      <w:pPr>
        <w:numPr>
          <w:ilvl w:val="0"/>
          <w:numId w:val="1013"/>
        </w:numPr>
        <w:pStyle w:val="Compact"/>
        <w:spacing w:after="120" w:line="280" w:lineRule="auto"/>
      </w:pPr>
      <w:r>
        <w:rPr>
          <w:rFonts w:ascii="Nimbus Sans" w:hAnsi="Nimbus Sans" w:eastAsia="Nimbus Sans" w:cs="Nimbus Sans"/>
        </w:rPr>
        <w:t xml:space="preserve">☐ No missing, substituted, altered, pre-signed, or post-freeze page.</w:t>
      </w:r>
    </w:p>
    <w:p>
      <w:pPr>
        <w:numPr>
          <w:ilvl w:val="0"/>
          <w:numId w:val="1013"/>
        </w:numPr>
        <w:pStyle w:val="Compact"/>
        <w:spacing w:after="120" w:line="280" w:lineRule="auto"/>
      </w:pPr>
      <w:r>
        <w:rPr>
          <w:rFonts w:ascii="Nimbus Sans" w:hAnsi="Nimbus Sans" w:eastAsia="Nimbus Sans" w:cs="Nimbus Sans"/>
        </w:rPr>
        <w:t xml:space="preserve">☐ Notary independently determined whether to proceed and made required identity/signature determinations.</w:t>
      </w:r>
    </w:p>
    <w:p>
      <w:pPr>
        <w:numPr>
          <w:ilvl w:val="0"/>
          <w:numId w:val="1013"/>
        </w:numPr>
        <w:pStyle w:val="Compact"/>
        <w:spacing w:after="120" w:line="280" w:lineRule="auto"/>
      </w:pPr>
      <w:r>
        <w:rPr>
          <w:rFonts w:ascii="Nimbus Sans" w:hAnsi="Nimbus Sans" w:eastAsia="Nimbus Sans" w:cs="Nimbus Sans"/>
        </w:rPr>
        <w:t xml:space="preserve">☐ Oath or affirmation administered; participant signed while appearing.</w:t>
      </w:r>
    </w:p>
    <w:p>
      <w:pPr>
        <w:numPr>
          <w:ilvl w:val="0"/>
          <w:numId w:val="1013"/>
        </w:numPr>
        <w:pStyle w:val="Compact"/>
        <w:spacing w:after="120" w:line="280" w:lineRule="auto"/>
      </w:pPr>
      <w:r>
        <w:rPr>
          <w:rFonts w:ascii="Nimbus Sans" w:hAnsi="Nimbus Sans" w:eastAsia="Nimbus Sans" w:cs="Nimbus Sans"/>
        </w:rPr>
        <w:t xml:space="preserve">☐ Certificate completed, signed, dated, stamped, and securely attached contemporaneously.</w:t>
      </w:r>
    </w:p>
    <w:p>
      <w:pPr>
        <w:numPr>
          <w:ilvl w:val="0"/>
          <w:numId w:val="1013"/>
        </w:numPr>
        <w:pStyle w:val="Compact"/>
        <w:spacing w:after="120" w:line="280" w:lineRule="auto"/>
      </w:pPr>
      <w:r>
        <w:rPr>
          <w:rFonts w:ascii="Nimbus Sans" w:hAnsi="Nimbus Sans" w:eastAsia="Nimbus Sans" w:cs="Nimbus Sans"/>
        </w:rPr>
        <w:t xml:space="preserve">☐ Applicable journal/documentation requirement completed. Counsel addresses the attorney-notary exception in RCW 42.45.180(2).</w:t>
      </w:r>
    </w:p>
    <w:p>
      <w:pPr>
        <w:numPr>
          <w:ilvl w:val="0"/>
          <w:numId w:val="1013"/>
        </w:numPr>
        <w:pStyle w:val="Compact"/>
        <w:spacing w:after="120" w:line="280" w:lineRule="auto"/>
      </w:pPr>
      <w:r>
        <w:rPr>
          <w:rFonts w:ascii="Nimbus Sans" w:hAnsi="Nimbus Sans" w:eastAsia="Nimbus Sans" w:cs="Nimbus Sans"/>
        </w:rPr>
        <w:t xml:space="preserve">☐ No identity document, address, journal, credential, or stamp-control information entered production capture.</w:t>
      </w:r>
    </w:p>
    <w:p>
      <w:pPr>
        <w:numPr>
          <w:ilvl w:val="0"/>
          <w:numId w:val="1013"/>
        </w:numPr>
        <w:pStyle w:val="Compact"/>
        <w:spacing w:after="120" w:line="280" w:lineRule="auto"/>
      </w:pPr>
      <w:r>
        <w:rPr>
          <w:rFonts w:ascii="Nimbus Sans" w:hAnsi="Nimbus Sans" w:eastAsia="Nimbus Sans" w:cs="Nimbus Sans"/>
        </w:rPr>
        <w:t xml:space="preserve">☐ Notarial act formally closed before later commentary.</w:t>
      </w:r>
    </w:p>
    <w:p>
      <w:pPr>
        <w:pStyle w:val="FirstParagraph"/>
      </w:pPr>
      <w:r>
        <w:rPr>
          <w:bCs/>
          <w:rFonts w:ascii="Nimbus Sans" w:hAnsi="Nimbus Sans" w:eastAsia="Nimbus Sans" w:cs="Nimbus Sans"/>
          <w:b/>
        </w:rPr>
        <w:t xml:space="preserve">Operational exception or refusal:</w:t>
      </w:r>
      <w:r>
        <w:rPr>
          <w:rFonts w:ascii="Nimbus Sans" w:hAnsi="Nimbus Sans" w:eastAsia="Nimbus Sans" w:cs="Nimbus Sans"/>
        </w:rPr>
        <w:t xml:space="preserve"> </w:t>
      </w:r>
      <w:r>
        <w:rPr>
          <w:rFonts w:ascii="Nimbus Sans" w:hAnsi="Nimbus Sans" w:eastAsia="Nimbus Sans" w:cs="Nimbus Sans"/>
        </w:rPr>
        <w:t xml:space="preserve">__________________________________</w:t>
      </w:r>
    </w:p>
    <w:p>
      <w:pPr>
        <w:pStyle w:val="BodyText"/>
      </w:pPr>
      <w:r>
        <w:rPr>
          <w:rFonts w:ascii="Nimbus Sans" w:hAnsi="Nimbus Sans" w:eastAsia="Nimbus Sans" w:cs="Nimbus Sans"/>
        </w:rPr>
        <w:t xml:space="preserve">DGG must not seek a copy of the notary’s journal or credentials. The notary should retain this control sheet only if consistent with the notary’s own policies and counsel’s direction.</w:t>
      </w:r>
    </w:p>
    <w:bookmarkEnd w:id="93"/>
    <w:bookmarkStart w:id="95" w:name="Xc4d80285c05e1233836596da796a84ee2f58898"/>
    <w:p>
      <w:pPr>
        <w:pStyle w:val="Heading2"/>
      </w:pPr>
      <w:r>
        <w:rPr>
          <w:rFonts w:ascii="Nimbus Sans" w:hAnsi="Nimbus Sans" w:eastAsia="Nimbus Sans" w:cs="Nimbus Sans"/>
        </w:rPr>
        <w:t xml:space="preserve">22. Correction and invalidation control</w:t>
      </w:r>
    </w:p>
    <w:p>
      <w:pPr>
        <w:pStyle w:val="BlockText"/>
        <w:shd w:fill="F4F6F9" w:val="clear"/>
        <w:pBdr>
          <w:left w:val="single" w:sz="18" w:space="8" w:color="2E74B5"/>
        </w:pBdr>
        <w:spacing w:before="100" w:after="120"/>
        <w:ind w:left="317" w:right="115"/>
      </w:pPr>
      <w:r>
        <w:rPr>
          <w:bCs/>
          <w:rFonts w:ascii="Nimbus Sans" w:hAnsi="Nimbus Sans" w:eastAsia="Nimbus Sans" w:cs="Nimbus Sans"/>
          <w:b/>
          <w:color w:val="9B1C1C"/>
          <w:sz w:val="19"/>
        </w:rPr>
        <w:t xml:space="preserve">INTERNAL / UNSWORN</w:t>
      </w:r>
    </w:p>
    <w:p>
      <w:pPr>
        <w:pStyle w:val="FirstParagraph"/>
      </w:pPr>
      <w:r>
        <w:rPr>
          <w:bCs/>
          <w:rFonts w:ascii="Nimbus Sans" w:hAnsi="Nimbus Sans" w:eastAsia="Nimbus Sans" w:cs="Nimbus Sans"/>
          <w:b/>
        </w:rPr>
        <w:t xml:space="preserve">CSR ID/version:</w:t>
      </w:r>
      <w:r>
        <w:rPr>
          <w:rFonts w:ascii="Nimbus Sans" w:hAnsi="Nimbus Sans" w:eastAsia="Nimbus Sans" w:cs="Nimbus Sans"/>
        </w:rPr>
        <w:t xml:space="preserve"> </w:t>
      </w:r>
      <w:r>
        <w:rPr>
          <w:rFonts w:ascii="Nimbus Sans" w:hAnsi="Nimbus Sans" w:eastAsia="Nimbus Sans" w:cs="Nimbus Sans"/>
        </w:rPr>
        <w:t xml:space="preserve">__________________________</w:t>
      </w:r>
    </w:p>
    <w:p>
      <w:pPr>
        <w:numPr>
          <w:ilvl w:val="0"/>
          <w:numId w:val="1014"/>
        </w:numPr>
        <w:pStyle w:val="Compact"/>
        <w:spacing w:after="120" w:line="280" w:lineRule="auto"/>
      </w:pPr>
      <w:r>
        <w:rPr>
          <w:rFonts w:ascii="Nimbus Sans" w:hAnsi="Nimbus Sans" w:eastAsia="Nimbus Sans" w:cs="Nimbus Sans"/>
        </w:rPr>
        <w:t xml:space="preserve">☐ Draft changed before freeze — replacement version issued.</w:t>
      </w:r>
    </w:p>
    <w:p>
      <w:pPr>
        <w:numPr>
          <w:ilvl w:val="0"/>
          <w:numId w:val="1014"/>
        </w:numPr>
        <w:pStyle w:val="Compact"/>
        <w:spacing w:after="120" w:line="280" w:lineRule="auto"/>
      </w:pPr>
      <w:r>
        <w:rPr>
          <w:rFonts w:ascii="Nimbus Sans" w:hAnsi="Nimbus Sans" w:eastAsia="Nimbus Sans" w:cs="Nimbus Sans"/>
        </w:rPr>
        <w:t xml:space="preserve">☐ Frozen record changed before execution — prior version marked</w:t>
      </w:r>
      <w:r>
        <w:rPr>
          <w:rFonts w:ascii="Nimbus Sans" w:hAnsi="Nimbus Sans" w:eastAsia="Nimbus Sans" w:cs="Nimbus Sans"/>
        </w:rPr>
        <w:t xml:space="preserve"> </w:t>
      </w:r>
      <w:r>
        <w:rPr>
          <w:bCs/>
          <w:rFonts w:ascii="Nimbus Sans" w:hAnsi="Nimbus Sans" w:eastAsia="Nimbus Sans" w:cs="Nimbus Sans"/>
          <w:b/>
        </w:rPr>
        <w:t xml:space="preserve">VOID / NOT EXECUTED</w:t>
      </w:r>
      <w:r>
        <w:rPr>
          <w:rFonts w:ascii="Nimbus Sans" w:hAnsi="Nimbus Sans" w:eastAsia="Nimbus Sans" w:cs="Nimbus Sans"/>
        </w:rPr>
        <w:t xml:space="preserve"> </w:t>
      </w:r>
      <w:r>
        <w:rPr>
          <w:rFonts w:ascii="Nimbus Sans" w:hAnsi="Nimbus Sans" w:eastAsia="Nimbus Sans" w:cs="Nimbus Sans"/>
        </w:rPr>
        <w:t xml:space="preserve">and quarantined.</w:t>
      </w:r>
    </w:p>
    <w:p>
      <w:pPr>
        <w:numPr>
          <w:ilvl w:val="0"/>
          <w:numId w:val="1014"/>
        </w:numPr>
        <w:pStyle w:val="Compact"/>
        <w:spacing w:after="120" w:line="280" w:lineRule="auto"/>
      </w:pPr>
      <w:r>
        <w:rPr>
          <w:rFonts w:ascii="Nimbus Sans" w:hAnsi="Nimbus Sans" w:eastAsia="Nimbus Sans" w:cs="Nimbus Sans"/>
        </w:rPr>
        <w:t xml:space="preserve">☐ Act interrupted or defective — no completion claimed; clean version and complete new act required.</w:t>
      </w:r>
    </w:p>
    <w:p>
      <w:pPr>
        <w:numPr>
          <w:ilvl w:val="0"/>
          <w:numId w:val="1014"/>
        </w:numPr>
        <w:pStyle w:val="Compact"/>
        <w:spacing w:after="120" w:line="280" w:lineRule="auto"/>
      </w:pPr>
      <w:r>
        <w:rPr>
          <w:rFonts w:ascii="Nimbus Sans" w:hAnsi="Nimbus Sans" w:eastAsia="Nimbus Sans" w:cs="Nimbus Sans"/>
        </w:rPr>
        <w:t xml:space="preserve">☐ Executed original — no interlineation, erasure, replacement page, whiteout, detachment, or overwrite.</w:t>
      </w:r>
    </w:p>
    <w:p>
      <w:pPr>
        <w:numPr>
          <w:ilvl w:val="0"/>
          <w:numId w:val="1014"/>
        </w:numPr>
        <w:pStyle w:val="Compact"/>
        <w:spacing w:after="120" w:line="280" w:lineRule="auto"/>
      </w:pPr>
      <w:r>
        <w:rPr>
          <w:rFonts w:ascii="Nimbus Sans" w:hAnsi="Nimbus Sans" w:eastAsia="Nimbus Sans" w:cs="Nimbus Sans"/>
        </w:rPr>
        <w:t xml:space="preserve">☐ Administrative/transcription notice issued outside the CSR.</w:t>
      </w:r>
    </w:p>
    <w:p>
      <w:pPr>
        <w:numPr>
          <w:ilvl w:val="0"/>
          <w:numId w:val="1014"/>
        </w:numPr>
        <w:pStyle w:val="Compact"/>
        <w:spacing w:after="120" w:line="280" w:lineRule="auto"/>
      </w:pPr>
      <w:r>
        <w:rPr>
          <w:rFonts w:ascii="Nimbus Sans" w:hAnsi="Nimbus Sans" w:eastAsia="Nimbus Sans" w:cs="Nimbus Sans"/>
        </w:rPr>
        <w:t xml:space="preserve">☐ Substantive correction requires new CSR/version and complete new oath, signature, certificate, documentation, manifest, and custody chain.</w:t>
      </w:r>
    </w:p>
    <w:p>
      <w:pPr>
        <w:numPr>
          <w:ilvl w:val="0"/>
          <w:numId w:val="1014"/>
        </w:numPr>
        <w:pStyle w:val="Compact"/>
        <w:spacing w:after="120" w:line="280" w:lineRule="auto"/>
      </w:pPr>
      <w:r>
        <w:rPr>
          <w:rFonts w:ascii="Nimbus Sans" w:hAnsi="Nimbus Sans" w:eastAsia="Nimbus Sans" w:cs="Nimbus Sans"/>
        </w:rPr>
        <w:t xml:space="preserve">☐ Publication derivative corrected, restricted, or replaced with a provenance notice under counsel direction.</w:t>
      </w:r>
    </w:p>
    <w:p>
      <w:pPr>
        <w:pStyle w:val="FirstParagraph"/>
      </w:pPr>
      <w:r>
        <w:rPr>
          <w:bCs/>
          <w:rFonts w:ascii="Nimbus Sans" w:hAnsi="Nimbus Sans" w:eastAsia="Nimbus Sans" w:cs="Nimbus Sans"/>
          <w:b/>
        </w:rPr>
        <w:t xml:space="preserve">Superseded record:</w:t>
      </w:r>
      <w:r>
        <w:rPr>
          <w:rFonts w:ascii="Nimbus Sans" w:hAnsi="Nimbus Sans" w:eastAsia="Nimbus Sans" w:cs="Nimbus Sans"/>
        </w:rPr>
        <w:t xml:space="preserve"> </w:t>
      </w:r>
      <w:r>
        <w:rPr>
          <w:rFonts w:ascii="Nimbus Sans" w:hAnsi="Nimbus Sans" w:eastAsia="Nimbus Sans" w:cs="Nimbus Sans"/>
        </w:rPr>
        <w:t xml:space="preserve">__________________</w:t>
      </w:r>
      <w:r>
        <w:rPr>
          <w:rFonts w:ascii="Nimbus Sans" w:hAnsi="Nimbus Sans" w:eastAsia="Nimbus Sans" w:cs="Nimbus Sans"/>
        </w:rPr>
        <w:t xml:space="preserve"> </w:t>
      </w:r>
      <w:r>
        <w:rPr>
          <w:bCs/>
          <w:rFonts w:ascii="Nimbus Sans" w:hAnsi="Nimbus Sans" w:eastAsia="Nimbus Sans" w:cs="Nimbus Sans"/>
          <w:b/>
        </w:rPr>
        <w:t xml:space="preserve">New record:</w:t>
      </w:r>
      <w:r>
        <w:rPr>
          <w:rFonts w:ascii="Nimbus Sans" w:hAnsi="Nimbus Sans" w:eastAsia="Nimbus Sans" w:cs="Nimbus Sans"/>
        </w:rPr>
        <w:t xml:space="preserve"> </w:t>
      </w:r>
      <w:r>
        <w:rPr>
          <w:rFonts w:ascii="Nimbus Sans" w:hAnsi="Nimbus Sans" w:eastAsia="Nimbus Sans" w:cs="Nimbus Sans"/>
        </w:rPr>
        <w:t xml:space="preserve">__________________</w:t>
      </w:r>
      <w:r>
        <w:rPr>
          <w:rFonts w:ascii="Nimbus Sans" w:hAnsi="Nimbus Sans" w:eastAsia="Nimbus Sans" w:cs="Nimbus Sans"/>
        </w:rPr>
        <w:br/>
      </w:r>
      <w:r>
        <w:rPr>
          <w:bCs/>
          <w:rFonts w:ascii="Nimbus Sans" w:hAnsi="Nimbus Sans" w:eastAsia="Nimbus Sans" w:cs="Nimbus Sans"/>
          <w:b/>
        </w:rPr>
        <w:t xml:space="preserve">Classification/reason:</w:t>
      </w:r>
      <w:r>
        <w:rPr>
          <w:rFonts w:ascii="Nimbus Sans" w:hAnsi="Nimbus Sans" w:eastAsia="Nimbus Sans" w:cs="Nimbus Sans"/>
        </w:rPr>
        <w:t xml:space="preserve"> </w:t>
      </w:r>
      <w:r>
        <w:rPr>
          <w:rFonts w:ascii="Nimbus Sans" w:hAnsi="Nimbus Sans" w:eastAsia="Nimbus Sans" w:cs="Nimbus Sans"/>
        </w:rPr>
        <w:t xml:space="preserve">___________________________________________</w:t>
      </w:r>
      <w:r>
        <w:rPr>
          <w:rFonts w:ascii="Nimbus Sans" w:hAnsi="Nimbus Sans" w:eastAsia="Nimbus Sans" w:cs="Nimbus Sans"/>
        </w:rPr>
        <w:br/>
      </w:r>
      <w:r>
        <w:rPr>
          <w:bCs/>
          <w:rFonts w:ascii="Nimbus Sans" w:hAnsi="Nimbus Sans" w:eastAsia="Nimbus Sans" w:cs="Nimbus Sans"/>
          <w:b/>
        </w:rPr>
        <w:t xml:space="preserve">Counsel disposition:</w:t>
      </w:r>
      <w:r>
        <w:rPr>
          <w:rFonts w:ascii="Nimbus Sans" w:hAnsi="Nimbus Sans" w:eastAsia="Nimbus Sans" w:cs="Nimbus Sans"/>
        </w:rPr>
        <w:t xml:space="preserve"> </w:t>
      </w:r>
      <w:r>
        <w:rPr>
          <w:rFonts w:ascii="Nimbus Sans" w:hAnsi="Nimbus Sans" w:eastAsia="Nimbus Sans" w:cs="Nimbus Sans"/>
        </w:rPr>
        <w:t xml:space="preserve">_____________________________________________</w:t>
      </w:r>
      <w:r>
        <w:rPr>
          <w:rFonts w:ascii="Nimbus Sans" w:hAnsi="Nimbus Sans" w:eastAsia="Nimbus Sans" w:cs="Nimbus Sans"/>
        </w:rPr>
        <w:br/>
      </w:r>
      <w:r>
        <w:rPr>
          <w:bCs/>
          <w:rFonts w:ascii="Nimbus Sans" w:hAnsi="Nimbus Sans" w:eastAsia="Nimbus Sans" w:cs="Nimbus Sans"/>
          <w:b/>
        </w:rPr>
        <w:t xml:space="preserve">Record-controller signature/date:</w:t>
      </w:r>
      <w:r>
        <w:rPr>
          <w:rFonts w:ascii="Nimbus Sans" w:hAnsi="Nimbus Sans" w:eastAsia="Nimbus Sans" w:cs="Nimbus Sans"/>
        </w:rPr>
        <w:t xml:space="preserve"> </w:t>
      </w:r>
      <w:r>
        <w:rPr>
          <w:rFonts w:ascii="Nimbus Sans" w:hAnsi="Nimbus Sans" w:eastAsia="Nimbus Sans" w:cs="Nimbus Sans"/>
        </w:rPr>
        <w:t xml:space="preserve">_________________________________</w:t>
      </w:r>
    </w:p>
    <w:p>
      <w:pPr>
        <w:pStyle w:val="BodyText"/>
      </w:pPr>
      <w:r>
        <w:rPr>
          <w:rFonts w:ascii="Nimbus Sans" w:hAnsi="Nimbus Sans" w:eastAsia="Nimbus Sans" w:cs="Nimbus Sans"/>
        </w:rPr>
        <w:t xml:space="preserve">A project correction is an integrity control. It is not a promise that Washington’s narrow statutory retraction defense applies.</w:t>
      </w:r>
      <w:r>
        <w:rPr>
          <w:rFonts w:ascii="Nimbus Sans" w:hAnsi="Nimbus Sans" w:eastAsia="Nimbus Sans" w:cs="Nimbus Sans"/>
        </w:rPr>
        <w:t xml:space="preserve"> </w:t>
      </w:r>
      <w:hyperlink r:id="rId94">
        <w:r>
          <w:rPr>
            <w:rStyle w:val="Hyperlink"/>
          </w:rPr>
          <w:t xml:space="preserve">RCW 9A.72.060</w:t>
        </w:r>
      </w:hyperlink>
      <w:r>
        <w:rPr>
          <w:rFonts w:ascii="Nimbus Sans" w:hAnsi="Nimbus Sans" w:eastAsia="Nimbus Sans" w:cs="Nimbus Sans"/>
        </w:rPr>
        <w:t xml:space="preserve">.</w:t>
      </w:r>
    </w:p>
    <w:bookmarkEnd w:id="95"/>
    <w:bookmarkStart w:id="96" w:name="X53f54c6b1dfa6b2d364eb6191a838921f7d1b15"/>
    <w:p>
      <w:pPr>
        <w:pStyle w:val="Heading2"/>
      </w:pPr>
      <w:r>
        <w:rPr>
          <w:rFonts w:ascii="Nimbus Sans" w:hAnsi="Nimbus Sans" w:eastAsia="Nimbus Sans" w:cs="Nimbus Sans"/>
        </w:rPr>
        <w:t xml:space="preserve">23. Public-copy and privacy rule</w:t>
      </w:r>
    </w:p>
    <w:p>
      <w:pPr>
        <w:pStyle w:val="FirstParagraph"/>
      </w:pPr>
      <w:r>
        <w:rPr>
          <w:rFonts w:ascii="Nimbus Sans" w:hAnsi="Nimbus Sans" w:eastAsia="Nimbus Sans" w:cs="Nimbus Sans"/>
        </w:rPr>
        <w:t xml:space="preserve">The executed paper original remains preserved under restricted custody. Any later public copy is a separately generated, access-safe derivative approved by media/privacy counsel. Counsel must decide whether to redact or mask participant signatures, notary signatures/stamps, addresses, commission/security information, QR/bar codes, manifest internals, and third-party personal data while preserving a verifiable provenance path. “Complete package” means complete substantive context, not indiscriminate publication of security-relevant data.</w:t>
      </w:r>
    </w:p>
    <w:bookmarkEnd w:id="96"/>
    <w:bookmarkEnd w:id="97"/>
    <w:bookmarkStart w:id="104" w:name="X88068ea6134a145319f2e03c5ce162bbf840c79"/>
    <w:p>
      <w:pPr>
        <w:pStyle w:val="Heading1"/>
      </w:pPr>
      <w:r>
        <w:rPr>
          <w:rFonts w:ascii="Nimbus Sans" w:hAnsi="Nimbus Sans" w:eastAsia="Nimbus Sans" w:cs="Nimbus Sans"/>
        </w:rPr>
        <w:t xml:space="preserve">V. Legal argument and counterargument matrix</w:t>
      </w:r>
    </w:p>
    <w:bookmarkStart w:id="98" w:name="Xd214c0e8194791719c0633b8138441eee7db357"/>
    <w:p>
      <w:pPr>
        <w:pStyle w:val="Heading2"/>
      </w:pPr>
      <w:r>
        <w:rPr>
          <w:rFonts w:ascii="Nimbus Sans" w:hAnsi="Nimbus Sans" w:eastAsia="Nimbus Sans" w:cs="Nimbus Sans"/>
        </w:rPr>
        <w:t xml:space="preserve">24. Notarial authority and criminal-law theory</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1900"/>
        <w:gridCol w:w="2580"/>
        <w:gridCol w:w="2700"/>
        <w:gridCol w:w="2180"/>
      </w:tblGrid>
      <w:tr>
        <w:trPr>
          <w:tblHeader w:val="true"/>
          <w:cantSplit w:val="true"/>
        </w:trPr>
        <w:tc>
          <w:tcPr>
            <w:tcW w:type="dxa" w:w="19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Issue</w:t>
            </w:r>
          </w:p>
        </w:tc>
        <w:tc>
          <w:tcPr>
            <w:tcW w:type="dxa" w:w="25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Best affirmative argument</w:t>
            </w:r>
          </w:p>
        </w:tc>
        <w:tc>
          <w:tcPr>
            <w:tcW w:type="dxa" w:w="27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Strongest limit/adverse argument</w:t>
            </w:r>
          </w:p>
        </w:tc>
        <w:tc>
          <w:tcPr>
            <w:tcW w:type="dxa" w:w="21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Control and present disposition</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Verification on oath</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Chapter 42.45 RCW defines and authorizes a verification involving a statement in a record; RCW 5.28.010 lists notaries among oath administrators.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Wrong act/certificate, defective attachment, altered record, venue/identity/signature defect, conflict, or ambiguous adoption can defeat the intended act.</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Exact counsel-approved paper form; notary procedural review; version/page controls.</w:t>
            </w:r>
            <w:r>
              <w:rPr>
                <w:rFonts w:ascii="Nimbus Sans" w:hAnsi="Nimbus Sans" w:eastAsia="Nimbus Sans" w:cs="Nimbus Sans"/>
                <w:color w:val="111111"/>
                <w:sz w:val="18"/>
              </w:rPr>
              <w:t xml:space="preserve"> </w:t>
            </w:r>
            <w:r>
              <w:rPr>
                <w:bCs/>
                <w:rFonts w:ascii="Nimbus Sans" w:hAnsi="Nimbus Sans" w:eastAsia="Nimbus Sans" w:cs="Nimbus Sans"/>
                <w:b/>
                <w:color w:val="111111"/>
                <w:sz w:val="18"/>
              </w:rPr>
              <w:t xml:space="preserve">Approve only as model architecture.</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Notary role</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RCW 42.45.130 supports a contemporaneous certificate of the act.</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Visual/legal theater can falsely imply state truth certification; the certificate is not a factual investigation.</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Adjacent limitation notice; no government seals/badges; comprehension gate.</w:t>
            </w:r>
            <w:r>
              <w:rPr>
                <w:rFonts w:ascii="Nimbus Sans" w:hAnsi="Nimbus Sans" w:eastAsia="Nimbus Sans" w:cs="Nimbus Sans"/>
                <w:color w:val="111111"/>
                <w:sz w:val="18"/>
              </w:rPr>
              <w:t xml:space="preserve"> </w:t>
            </w:r>
            <w:r>
              <w:rPr>
                <w:bCs/>
                <w:rFonts w:ascii="Nimbus Sans" w:hAnsi="Nimbus Sans" w:eastAsia="Nimbus Sans" w:cs="Nimbus Sans"/>
                <w:b/>
                <w:color w:val="111111"/>
                <w:sz w:val="18"/>
              </w:rPr>
              <w:t xml:space="preserve">Strong limitation required.</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False swearing</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RCW 9A.72.040 reaches a knowingly false statement under an oath required or authorized by law; RCW 9A.72.010(5) includes an oath administered by a legally authorized officer.</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No located reported Washington appellate case applies the offense to this private political-media design; knowledge, exact oath, representation, territorial jurisdiction, constitutional application, charging, and proof remain.</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Describe as the most textually plausible</w:t>
            </w:r>
            <w:r>
              <w:rPr>
                <w:rFonts w:ascii="Nimbus Sans" w:hAnsi="Nimbus Sans" w:eastAsia="Nimbus Sans" w:cs="Nimbus Sans"/>
                <w:color w:val="111111"/>
                <w:sz w:val="18"/>
              </w:rPr>
              <w:t xml:space="preserve"> </w:t>
            </w:r>
            <w:r>
              <w:rPr>
                <w:bCs/>
                <w:rFonts w:ascii="Nimbus Sans" w:hAnsi="Nimbus Sans" w:eastAsia="Nimbus Sans" w:cs="Nimbus Sans"/>
                <w:b/>
                <w:color w:val="111111"/>
                <w:sz w:val="18"/>
              </w:rPr>
              <w:t xml:space="preserve">candidate offense</w:t>
            </w:r>
            <w:r>
              <w:rPr>
                <w:rFonts w:ascii="Nimbus Sans" w:hAnsi="Nimbus Sans" w:eastAsia="Nimbus Sans" w:cs="Nimbus Sans"/>
                <w:color w:val="111111"/>
                <w:sz w:val="18"/>
              </w:rPr>
              <w:t xml:space="preserve">, not a result. No threats/referral promises.</w:t>
            </w:r>
            <w:r>
              <w:rPr>
                <w:rFonts w:ascii="Nimbus Sans" w:hAnsi="Nimbus Sans" w:eastAsia="Nimbus Sans" w:cs="Nimbus Sans"/>
                <w:color w:val="111111"/>
                <w:sz w:val="18"/>
              </w:rPr>
              <w:t xml:space="preserve"> </w:t>
            </w:r>
            <w:r>
              <w:rPr>
                <w:bCs/>
                <w:rFonts w:ascii="Nimbus Sans" w:hAnsi="Nimbus Sans" w:eastAsia="Nimbus Sans" w:cs="Nimbus Sans"/>
                <w:b/>
                <w:color w:val="111111"/>
                <w:sz w:val="18"/>
              </w:rPr>
              <w:t xml:space="preserve">Internal/counsel use.</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First-degree perjury</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RCW 9A.72.010(4) includes some proceedings before a notary; RCW 9A.72.020 adds materiality.</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 private verification may not be a proceeding “heard before” the notary; materiality is unclear;</w:t>
            </w:r>
            <w:r>
              <w:rPr>
                <w:rFonts w:ascii="Nimbus Sans" w:hAnsi="Nimbus Sans" w:eastAsia="Nimbus Sans" w:cs="Nimbus Sans"/>
                <w:color w:val="111111"/>
                <w:sz w:val="18"/>
              </w:rPr>
              <w:t xml:space="preserve"> </w:t>
            </w:r>
            <w:r>
              <w:rPr>
                <w:iCs/>
                <w:rFonts w:ascii="Nimbus Sans" w:hAnsi="Nimbus Sans" w:eastAsia="Nimbus Sans" w:cs="Nimbus Sans"/>
                <w:i/>
                <w:color w:val="111111"/>
                <w:sz w:val="18"/>
              </w:rPr>
              <w:t xml:space="preserve">Smith</w:t>
            </w:r>
            <w:r>
              <w:rPr>
                <w:rFonts w:ascii="Nimbus Sans" w:hAnsi="Nimbus Sans" w:eastAsia="Nimbus Sans" w:cs="Nimbus Sans"/>
                <w:color w:val="111111"/>
                <w:sz w:val="18"/>
              </w:rPr>
              <w:t xml:space="preserve">/</w:t>
            </w:r>
            <w:r>
              <w:rPr>
                <w:iCs/>
                <w:rFonts w:ascii="Nimbus Sans" w:hAnsi="Nimbus Sans" w:eastAsia="Nimbus Sans" w:cs="Nimbus Sans"/>
                <w:i/>
                <w:color w:val="111111"/>
                <w:sz w:val="18"/>
              </w:rPr>
              <w:t xml:space="preserve">Otton</w:t>
            </w:r>
            <w:r>
              <w:rPr>
                <w:rFonts w:ascii="Nimbus Sans" w:hAnsi="Nimbus Sans" w:eastAsia="Nimbus Sans" w:cs="Nimbus Sans"/>
                <w:color w:val="111111"/>
                <w:sz w:val="18"/>
              </w:rPr>
              <w:t xml:space="preserve"> </w:t>
            </w:r>
            <w:r>
              <w:rPr>
                <w:rFonts w:ascii="Nimbus Sans" w:hAnsi="Nimbus Sans" w:eastAsia="Nimbus Sans" w:cs="Nimbus Sans"/>
                <w:color w:val="111111"/>
                <w:sz w:val="18"/>
              </w:rPr>
              <w:t xml:space="preserve">are evidence-rule analogies.</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Current citator and formal opinion.</w:t>
            </w:r>
            <w:r>
              <w:rPr>
                <w:rFonts w:ascii="Nimbus Sans" w:hAnsi="Nimbus Sans" w:eastAsia="Nimbus Sans" w:cs="Nimbus Sans"/>
                <w:color w:val="111111"/>
                <w:sz w:val="18"/>
              </w:rPr>
              <w:t xml:space="preserve"> </w:t>
            </w:r>
            <w:r>
              <w:rPr>
                <w:bCs/>
                <w:rFonts w:ascii="Nimbus Sans" w:hAnsi="Nimbus Sans" w:eastAsia="Nimbus Sans" w:cs="Nimbus Sans"/>
                <w:b/>
                <w:color w:val="111111"/>
                <w:sz w:val="18"/>
              </w:rPr>
              <w:t xml:space="preserve">Block participant-facing and promotional use.</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Knowledge/qualification</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RCW 9A.72.080 treats certain unqualified unknown statements as knowingly false.</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Blanket “knowledge and belief” wording may blur direct truth declaration, record-basis, and mental-state statements.</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Standalone sentence; basis and qualification on same page; counsel decides U/R/V treatment.</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Correction/retraction</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New versions and append-only provenance reduce editorial harm.</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RCW 9A.72.060’s defense is narrow and fact-specific.</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Say project correction is not promised statutory retraction.</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Territorial jurisdiction</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In-person Washington facts reduce avoidable uncertainty.</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Washington location does not settle all criminal jurisdiction, and nationwide publication creates multistate civil choice-of-law and personal-jurisdiction risk.</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Phase 1 physically Washington; no jurisdiction/extradition claim; multistate publication memo before Phase 3.</w:t>
            </w:r>
          </w:p>
        </w:tc>
      </w:tr>
    </w:tbl>
    <w:bookmarkEnd w:id="98"/>
    <w:bookmarkStart w:id="100" w:name="Xefd255a93a07f153bcb43bf524259d1fe48ce95"/>
    <w:p>
      <w:pPr>
        <w:pStyle w:val="Heading2"/>
      </w:pPr>
      <w:r>
        <w:rPr>
          <w:rFonts w:ascii="Nimbus Sans" w:hAnsi="Nimbus Sans" w:eastAsia="Nimbus Sans" w:cs="Nimbus Sans"/>
        </w:rPr>
        <w:t xml:space="preserve">25. Evidence, admissibility, privilege, and legal process</w:t>
      </w:r>
    </w:p>
    <w:p>
      <w:pPr>
        <w:pStyle w:val="FirstParagraph"/>
      </w:pPr>
      <w:r>
        <w:rPr>
          <w:rFonts w:ascii="Nimbus Sans" w:hAnsi="Nimbus Sans" w:eastAsia="Nimbus Sans" w:cs="Nimbus Sans"/>
        </w:rPr>
        <w:t xml:space="preserve">Notarization does</w:t>
      </w:r>
      <w:r>
        <w:rPr>
          <w:rFonts w:ascii="Nimbus Sans" w:hAnsi="Nimbus Sans" w:eastAsia="Nimbus Sans" w:cs="Nimbus Sans"/>
        </w:rPr>
        <w:t xml:space="preserve"> </w:t>
      </w:r>
      <w:r>
        <w:rPr>
          <w:bCs/>
          <w:rFonts w:ascii="Nimbus Sans" w:hAnsi="Nimbus Sans" w:eastAsia="Nimbus Sans" w:cs="Nimbus Sans"/>
          <w:b/>
        </w:rPr>
        <w:t xml:space="preserve">not</w:t>
      </w:r>
      <w:r>
        <w:rPr>
          <w:rFonts w:ascii="Nimbus Sans" w:hAnsi="Nimbus Sans" w:eastAsia="Nimbus Sans" w:cs="Nimbus Sans"/>
        </w:rPr>
        <w:t xml:space="preserve"> </w:t>
      </w:r>
      <w:r>
        <w:rPr>
          <w:rFonts w:ascii="Nimbus Sans" w:hAnsi="Nimbus Sans" w:eastAsia="Nimbus Sans" w:cs="Nimbus Sans"/>
        </w:rPr>
        <w:t xml:space="preserve">establish that a statement is true, admissible for its truth, complete, privileged, or automatically self-authenticating in every proceeding. Washington’s evidence rules require case-specific analysis of relevance, authentication, hearsay and exceptions, completeness, original/duplicate rules, privilege, and—where criminal use is contemplated—constitutional confrontation and voluntariness issues.</w:t>
      </w:r>
      <w:r>
        <w:rPr>
          <w:rFonts w:ascii="Nimbus Sans" w:hAnsi="Nimbus Sans" w:eastAsia="Nimbus Sans" w:cs="Nimbus Sans"/>
        </w:rPr>
        <w:t xml:space="preserve"> </w:t>
      </w:r>
      <w:hyperlink r:id="rId99">
        <w:r>
          <w:rPr>
            <w:rStyle w:val="Hyperlink"/>
          </w:rPr>
          <w:t xml:space="preserve">Washington Rules of Evidence</w:t>
        </w:r>
      </w:hyperlink>
      <w:r>
        <w:rPr>
          <w:rFonts w:ascii="Nimbus Sans" w:hAnsi="Nimbus Sans" w:eastAsia="Nimbus Sans" w:cs="Nimbus Sans"/>
        </w:rPr>
        <w:t xml:space="preserve">.</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2500"/>
        <w:gridCol w:w="3430"/>
        <w:gridCol w:w="3430"/>
      </w:tblGrid>
      <w:tr>
        <w:trPr>
          <w:tblHeader w:val="true"/>
          <w:cantSplit w:val="true"/>
        </w:trPr>
        <w:tc>
          <w:tcPr>
            <w:tcW w:type="dxa" w:w="25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Issue</w:t>
            </w:r>
          </w:p>
        </w:tc>
        <w:tc>
          <w:tcPr>
            <w:tcW w:type="dxa" w:w="343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Risk</w:t>
            </w:r>
          </w:p>
        </w:tc>
        <w:tc>
          <w:tcPr>
            <w:tcW w:type="dxa" w:w="343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Required rule</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Authentication/self-authentication</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 jurat and signature may help prove execution but do not authenticate all source materials or prove truth. ER 902(h) concerns acknowledged documents and should not be overextended to this jurat without counsel.</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Call the CSR an audit/research record; make no automatic-admissibility claim.</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Hearsay/completeness</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 participant’s out-of-court assertion and DGG republication may face multiple hearsay and context questions.</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Preserve complete context and source provenance; counsel identifies any offered purpose/exception.</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Privilege</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DGG counsel, participant counsel, and research counsel may represent different clients; third parties and recording can defeat confidentiality.</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Written engagement/client map; privilege-safe channels; keep counsel file out of CSR/PMR/repository.</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Reporter shield</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RCW 5.68.010 may protect qualifying news media/newsgathering records but status, activity, record type, and exceptions are fact-specific.</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No promise of immunity; media-counsel opinion; separate editorial/research/admin stores.</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Subpoena/discovery/legal hold</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Private records remain discoverable or subpoenaable; vendor copies exist; deletion may be suspended.</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Named legal-demand custodian; request log; counsel review; preservation; narrow lawful production; participant notice when lawful.</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Self-incrimination/active matters</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 voluntary CSR may be used against a speaker; government cooperation or threats increase risk.</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Independent participant counsel; exclude active/privileged/classified/sealed matters absent specialized written review.</w:t>
            </w:r>
          </w:p>
        </w:tc>
      </w:tr>
    </w:tbl>
    <w:bookmarkEnd w:id="100"/>
    <w:bookmarkStart w:id="101" w:name="Xdc723d81f6cd5fe299552b3755077e079bf1bd9"/>
    <w:p>
      <w:pPr>
        <w:pStyle w:val="Heading2"/>
      </w:pPr>
      <w:r>
        <w:rPr>
          <w:rFonts w:ascii="Nimbus Sans" w:hAnsi="Nimbus Sans" w:eastAsia="Nimbus Sans" w:cs="Nimbus Sans"/>
        </w:rPr>
        <w:t xml:space="preserve">26. Publication, privacy, and intellectual-property matrix</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1900"/>
        <w:gridCol w:w="2580"/>
        <w:gridCol w:w="2700"/>
        <w:gridCol w:w="2180"/>
      </w:tblGrid>
      <w:tr>
        <w:trPr>
          <w:tblHeader w:val="true"/>
          <w:cantSplit w:val="true"/>
        </w:trPr>
        <w:tc>
          <w:tcPr>
            <w:tcW w:type="dxa" w:w="19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Issue</w:t>
            </w:r>
          </w:p>
        </w:tc>
        <w:tc>
          <w:tcPr>
            <w:tcW w:type="dxa" w:w="25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Supportive position</w:t>
            </w:r>
          </w:p>
        </w:tc>
        <w:tc>
          <w:tcPr>
            <w:tcW w:type="dxa" w:w="27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Adverse position</w:t>
            </w:r>
          </w:p>
        </w:tc>
        <w:tc>
          <w:tcPr>
            <w:tcW w:type="dxa" w:w="21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Control/disposition</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Defamation/public-figure rules</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Exact participant adoption, source disclosure, public-interest context, and corrections improve care; public officials may face actual-malice standards.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DGG writes questions/headlines, edits and republishes; a literally true fragment can imply a defamatory meaning; named private third parties may have lower burdens.</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Plaintiff-by-plaintiff classification, source verification file, implication audit, complete context, prepublication counsel.</w:t>
            </w:r>
            <w:r>
              <w:rPr>
                <w:rFonts w:ascii="Nimbus Sans" w:hAnsi="Nimbus Sans" w:eastAsia="Nimbus Sans" w:cs="Nimbus Sans"/>
                <w:color w:val="111111"/>
                <w:sz w:val="18"/>
              </w:rPr>
              <w:t xml:space="preserve"> </w:t>
            </w:r>
            <w:r>
              <w:rPr>
                <w:bCs/>
                <w:rFonts w:ascii="Nimbus Sans" w:hAnsi="Nimbus Sans" w:eastAsia="Nimbus Sans" w:cs="Nimbus Sans"/>
                <w:b/>
                <w:color w:val="111111"/>
                <w:sz w:val="18"/>
              </w:rPr>
              <w:t xml:space="preserve">Block named publication pending review.</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False light/private facts/intrusion</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Narrow factual wording and pre-capture consent reduce risk.</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Washington recognizes privacy-related theories; consent to record is not consent to every publication or inference.</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Separate privacy/false-light/private-facts review; minimize sensitive content; no surprise capture.</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Personality/likeness</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Chapter 63.60 contains conditional political, news, public-interest, article/program, and campaign exemptions.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Advertising, promotion, fundraising, forged/synthetic likeness, false endorsement, or commercial uses may fall outside an exemption or trigger separate duties.</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Use-by-use written release; separate AI/translation/promotion/fundraising permissions; no inaccurate endorsement.</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Recording</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RCW 9.73.030 recognizes consent routes.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Consent obtained only after recording begins, late joiners, ambient capture, and interstate rules create risk; recording consent is not publication consent.</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Signed layered consent before capture plus recorded confirmation; room/device control; state-law matrix if anyone is elsewhere.</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Copyright/source publication</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Linking and limited public-domain/licensed excerpts support transparency.</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Full source packets may contain copyrighted, confidential, sealed, private, or trade-secret material; fair use is fact-specific.</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Prefer links and public records; source-by-source license/fair-use review; do not publish privileged/confidential sources.</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AI/biometrics/health inference</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AI may assist accessibility or transcription with consent.</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Voiceprints, face templates, health/disability inference, and consumer-health data may implicate chapters 19.375, 19.373, 19.255 RCW and vendor terms.</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Default ban on biometric enrollment/inference; vendor data-flow review; separate consent, minimization, security, deletion, and breach plan.</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Multistate distribution</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Washington controls the act performed there.</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Online republication can create other states’ defamation, privacy, publicity, recording, and choice-of-law issues.</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Phase 3 distribution memo and geographies/use inventory.</w:t>
            </w:r>
          </w:p>
        </w:tc>
      </w:tr>
    </w:tbl>
    <w:bookmarkEnd w:id="101"/>
    <w:bookmarkStart w:id="102" w:name="Xdd12929a893730e7a0b0c3f764807f29a1b7e0a"/>
    <w:p>
      <w:pPr>
        <w:pStyle w:val="Heading2"/>
      </w:pPr>
      <w:r>
        <w:rPr>
          <w:rFonts w:ascii="Nimbus Sans" w:hAnsi="Nimbus Sans" w:eastAsia="Nimbus Sans" w:cs="Nimbus Sans"/>
        </w:rPr>
        <w:t xml:space="preserve">27. Campaign, entity, tax, and consumer-protection matrix</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1900"/>
        <w:gridCol w:w="2580"/>
        <w:gridCol w:w="2700"/>
        <w:gridCol w:w="2180"/>
      </w:tblGrid>
      <w:tr>
        <w:trPr>
          <w:tblHeader w:val="true"/>
          <w:cantSplit w:val="true"/>
        </w:trPr>
        <w:tc>
          <w:tcPr>
            <w:tcW w:type="dxa" w:w="19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Issue</w:t>
            </w:r>
          </w:p>
        </w:tc>
        <w:tc>
          <w:tcPr>
            <w:tcW w:type="dxa" w:w="25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Possible favorable argument</w:t>
            </w:r>
          </w:p>
        </w:tc>
        <w:tc>
          <w:tcPr>
            <w:tcW w:type="dxa" w:w="27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Principal risk</w:t>
            </w:r>
          </w:p>
        </w:tc>
        <w:tc>
          <w:tcPr>
            <w:tcW w:type="dxa" w:w="21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Gate</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Press/news function</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Washington/federal law contain conditional press/news exclusions and FEC authority recognizes some internet media acting in a press function.</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Candidate request, ownership/control, material involvement, payment, below-market services, or coordinated distribution may create contributions/expenditures.</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Actual entity, funding, editorial-control, valuation, contact, and distribution facts; PDC/FEC counsel.</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Washington reporting</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Editorially independent media activity may fall outside some campaign rules.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Title 29B definitions and low reporting thresholds are fact-specific.</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Written Washington election-counsel classification before any candidate service/spending.</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Section 501(c)(4)</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Some political activity is permitted.</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Political campaign intervention cannot be primary; section 527(f), reporting, private-benefit, and restricted-fund issues remain.</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Verify entity/EIN/status/governing documents/filings; tax counsel; time and cost accounting.</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Marketing/consumer protection</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Careful limitation language can accurately explain the process.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“Verified truth,” “certified accurate,” or guaranteed-consequence marketing may be deceptive even apart from defamation.</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Approved claims matrix; no truth badge or prosecution promise; correction of misleading promotion.</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Insurance/indemnity</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Written vendor and participant agreements can allocate some duties.</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Indemnity cannot replace compliance, may be unenforceable or inequitable, and coverage may exclude intentional/publication claims.</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Media/E&amp;O, cyber, D&amp;O and event coverage review; do not demand participant indemnity as coercive substitute.</w:t>
            </w:r>
          </w:p>
        </w:tc>
      </w:tr>
    </w:tbl>
    <w:bookmarkEnd w:id="102"/>
    <w:bookmarkStart w:id="103" w:name="X60723e34997b4fe6fbec71135e7574184739fbf"/>
    <w:p>
      <w:pPr>
        <w:pStyle w:val="Heading2"/>
      </w:pPr>
      <w:r>
        <w:rPr>
          <w:rFonts w:ascii="Nimbus Sans" w:hAnsi="Nimbus Sans" w:eastAsia="Nimbus Sans" w:cs="Nimbus Sans"/>
        </w:rPr>
        <w:t xml:space="preserve">28. Accessibility, language, and equal-participation controls</w:t>
      </w:r>
    </w:p>
    <w:p>
      <w:pPr>
        <w:pStyle w:val="FirstParagraph"/>
      </w:pPr>
      <w:r>
        <w:rPr>
          <w:rFonts w:ascii="Nimbus Sans" w:hAnsi="Nimbus Sans" w:eastAsia="Nimbus Sans" w:cs="Nimbus Sans"/>
        </w:rPr>
        <w:t xml:space="preserve">Accessibility is both a legal and validity issue. Depending on facts, ADA Title III, Washington’s Law Against Discrimination, contractual duties, and—if government/federal funding is involved—Title II or section 504 may apply. The project must not treat an accommodation request, use of an interpreter, slower response, reading assistance, or inability to use a standard form as an honesty signal.</w:t>
      </w:r>
    </w:p>
    <w:p>
      <w:pPr>
        <w:pStyle w:val="BodyText"/>
      </w:pPr>
      <w:r>
        <w:rPr>
          <w:rFonts w:ascii="Nimbus Sans" w:hAnsi="Nimbus Sans" w:eastAsia="Nimbus Sans" w:cs="Nimbus Sans"/>
        </w:rPr>
        <w:t xml:space="preserve">Before real-person feasibility work, provide an accessible venue; accessible electronic review copy; readable type and plain-language notice; screen-reader-compatible material; captions/transcripts where authorized; qualified interpreter/translation protocol; extra review time; a method to record who read or translated the exact text; and a counsel-approved way to preserve semantic equivalence. Translation and accommodation do not authorize changing the proposition after freeze.</w:t>
      </w:r>
    </w:p>
    <w:bookmarkEnd w:id="103"/>
    <w:bookmarkEnd w:id="104"/>
    <w:bookmarkStart w:id="113" w:name="vi-research-and-evidence-plan"/>
    <w:p>
      <w:pPr>
        <w:pStyle w:val="Heading1"/>
      </w:pPr>
      <w:r>
        <w:rPr>
          <w:rFonts w:ascii="Nimbus Sans" w:hAnsi="Nimbus Sans" w:eastAsia="Nimbus Sans" w:cs="Nimbus Sans"/>
        </w:rPr>
        <w:t xml:space="preserve">VI. Research and evidence plan</w:t>
      </w:r>
    </w:p>
    <w:bookmarkStart w:id="105" w:name="X9a799ac38f8e216e8aaf5db82254866ec793f93"/>
    <w:p>
      <w:pPr>
        <w:pStyle w:val="Heading2"/>
      </w:pPr>
      <w:r>
        <w:rPr>
          <w:rFonts w:ascii="Nimbus Sans" w:hAnsi="Nimbus Sans" w:eastAsia="Nimbus Sans" w:cs="Nimbus Sans"/>
        </w:rPr>
        <w:t xml:space="preserve">29. Research questions</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1900"/>
        <w:gridCol w:w="2580"/>
        <w:gridCol w:w="2700"/>
        <w:gridCol w:w="2180"/>
      </w:tblGrid>
      <w:tr>
        <w:trPr>
          <w:tblHeader w:val="true"/>
          <w:cantSplit w:val="true"/>
        </w:trPr>
        <w:tc>
          <w:tcPr>
            <w:tcW w:type="dxa" w:w="19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Study</w:t>
            </w:r>
          </w:p>
        </w:tc>
        <w:tc>
          <w:tcPr>
            <w:tcW w:type="dxa" w:w="25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Core question</w:t>
            </w:r>
          </w:p>
        </w:tc>
        <w:tc>
          <w:tcPr>
            <w:tcW w:type="dxa" w:w="27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Recommended comparison</w:t>
            </w:r>
          </w:p>
        </w:tc>
        <w:tc>
          <w:tcPr>
            <w:tcW w:type="dxa" w:w="218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Co-primary outcomes</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Audience halo</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Does sworn/notarial framing increase belief independent of accuracy?</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Identical fictional claims crossed with ordinary/accuracy-commitment/sworn cues and accurate/inaccurate/indeterminate reference status</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Calibration; false belief that notary verified truth</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Limitation language</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Can an adjacent explanation neutralize the truth halo?</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Cue with and without limitation language</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Correct role comprehension; raw and calibrated trust</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Status stigma</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Do “declined,” “not published,” qualification, or correction labels imply dishonesty?</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Separate randomized vignettes</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Dishonesty inference; perceived coercion; willingness to hear speaker</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Speaker process</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Does the process improve assertions or increase evasion/decline?</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Ordinary evidence interview vs plain accuracy commitment vs simulated CSR</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False-assertion rate across assigned resolvable items; epistemically appropriate response rate</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Incremental value</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Does legal ritual add value beyond advance questions and a plain commitment?</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Factorial/dismantling design</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Incremental effect with equivalence/futility test</w:t>
            </w:r>
          </w:p>
        </w:tc>
      </w:tr>
      <w:tr>
        <w:trPr>
          <w:cantSplit w:val="true"/>
        </w:trPr>
        <w:tc>
          <w:tcPr>
            <w:tcW w:type="dxa" w:w="19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Government cue</w:t>
            </w:r>
          </w:p>
        </w:tc>
        <w:tc>
          <w:tcPr>
            <w:tcW w:type="dxa" w:w="25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Does sponsorship increase compulsion, endorsement, or truth-certification belief?</w:t>
            </w:r>
          </w:p>
        </w:tc>
        <w:tc>
          <w:tcPr>
            <w:tcW w:type="dxa" w:w="27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Private sponsor vs neutral public institution vs agency vignette; no operational partnership</w:t>
            </w:r>
          </w:p>
        </w:tc>
        <w:tc>
          <w:tcPr>
            <w:tcW w:type="dxa" w:w="218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Voluntariness, endorsement, false-certification belief</w:t>
            </w:r>
          </w:p>
        </w:tc>
      </w:tr>
    </w:tbl>
    <w:bookmarkEnd w:id="105"/>
    <w:bookmarkStart w:id="109" w:name="Xfabad1d726d31d4f52f59a088be5e0c6cf4358f"/>
    <w:p>
      <w:pPr>
        <w:pStyle w:val="Heading2"/>
      </w:pPr>
      <w:r>
        <w:rPr>
          <w:rFonts w:ascii="Nimbus Sans" w:hAnsi="Nimbus Sans" w:eastAsia="Nimbus Sans" w:cs="Nimbus Sans"/>
        </w:rPr>
        <w:t xml:space="preserve">30. Human-subjects decision path</w:t>
      </w:r>
    </w:p>
    <w:p>
      <w:pPr>
        <w:numPr>
          <w:ilvl w:val="0"/>
          <w:numId w:val="1015"/>
        </w:numPr>
        <w:pStyle w:val="Compact"/>
        <w:spacing w:after="120" w:line="280" w:lineRule="auto"/>
      </w:pPr>
      <w:r>
        <w:rPr>
          <w:bCs/>
          <w:rFonts w:ascii="Nimbus Sans" w:hAnsi="Nimbus Sans" w:eastAsia="Nimbus Sans" w:cs="Nimbus Sans"/>
          <w:b/>
        </w:rPr>
        <w:t xml:space="preserve">Journalism or research?</w:t>
      </w:r>
      <w:r>
        <w:rPr>
          <w:rFonts w:ascii="Nimbus Sans" w:hAnsi="Nimbus Sans" w:eastAsia="Nimbus Sans" w:cs="Nimbus Sans"/>
        </w:rPr>
        <w:t xml:space="preserve"> </w:t>
      </w:r>
      <w:r>
        <w:rPr>
          <w:rFonts w:ascii="Nimbus Sans" w:hAnsi="Nimbus Sans" w:eastAsia="Nimbus Sans" w:cs="Nimbus Sans"/>
        </w:rPr>
        <w:t xml:space="preserve">A case-specific portrayal of one person may fit the scholarly/journalistic activity category deemed not “research.” A systematic randomized study designed to generalize about the format is research.</w:t>
      </w:r>
      <w:r>
        <w:rPr>
          <w:rFonts w:ascii="Nimbus Sans" w:hAnsi="Nimbus Sans" w:eastAsia="Nimbus Sans" w:cs="Nimbus Sans"/>
        </w:rPr>
        <w:t xml:space="preserve"> </w:t>
      </w:r>
      <w:hyperlink r:id="rId106">
        <w:r>
          <w:rPr>
            <w:rStyle w:val="Hyperlink"/>
          </w:rPr>
          <w:t xml:space="preserve">45 CFR 46.102</w:t>
        </w:r>
      </w:hyperlink>
      <w:r>
        <w:rPr>
          <w:rFonts w:ascii="Nimbus Sans" w:hAnsi="Nimbus Sans" w:eastAsia="Nimbus Sans" w:cs="Nimbus Sans"/>
        </w:rPr>
        <w:t xml:space="preserve">.</w:t>
      </w:r>
    </w:p>
    <w:p>
      <w:pPr>
        <w:numPr>
          <w:ilvl w:val="0"/>
          <w:numId w:val="1015"/>
        </w:numPr>
        <w:pStyle w:val="Compact"/>
        <w:spacing w:after="120" w:line="280" w:lineRule="auto"/>
      </w:pPr>
      <w:r>
        <w:rPr>
          <w:bCs/>
          <w:rFonts w:ascii="Nimbus Sans" w:hAnsi="Nimbus Sans" w:eastAsia="Nimbus Sans" w:cs="Nimbus Sans"/>
          <w:b/>
        </w:rPr>
        <w:t xml:space="preserve">Human subjects?</w:t>
      </w:r>
      <w:r>
        <w:rPr>
          <w:rFonts w:ascii="Nimbus Sans" w:hAnsi="Nimbus Sans" w:eastAsia="Nimbus Sans" w:cs="Nimbus Sans"/>
        </w:rPr>
        <w:t xml:space="preserve"> </w:t>
      </w:r>
      <w:r>
        <w:rPr>
          <w:rFonts w:ascii="Nimbus Sans" w:hAnsi="Nimbus Sans" w:eastAsia="Nimbus Sans" w:cs="Nimbus Sans"/>
        </w:rPr>
        <w:t xml:space="preserve">Direct interaction, audiovisual capture, manipulation, or identifiable private information can create human-subject research.</w:t>
      </w:r>
    </w:p>
    <w:p>
      <w:pPr>
        <w:numPr>
          <w:ilvl w:val="0"/>
          <w:numId w:val="1015"/>
        </w:numPr>
        <w:pStyle w:val="Compact"/>
        <w:spacing w:after="120" w:line="280" w:lineRule="auto"/>
      </w:pPr>
      <w:r>
        <w:rPr>
          <w:bCs/>
          <w:rFonts w:ascii="Nimbus Sans" w:hAnsi="Nimbus Sans" w:eastAsia="Nimbus Sans" w:cs="Nimbus Sans"/>
          <w:b/>
        </w:rPr>
        <w:t xml:space="preserve">Does the Common Rule legally apply?</w:t>
      </w:r>
      <w:r>
        <w:rPr>
          <w:rFonts w:ascii="Nimbus Sans" w:hAnsi="Nimbus Sans" w:eastAsia="Nimbus Sans" w:cs="Nimbus Sans"/>
        </w:rPr>
        <w:t xml:space="preserve"> </w:t>
      </w:r>
      <w:r>
        <w:rPr>
          <w:rFonts w:ascii="Nimbus Sans" w:hAnsi="Nimbus Sans" w:eastAsia="Nimbus Sans" w:cs="Nimbus Sans"/>
        </w:rPr>
        <w:t xml:space="preserve">It generally applies when a Common Rule agency conducts or supports the research; a private unfunded study is not automatically covered, but an institution may extend its FWA/policies.</w:t>
      </w:r>
      <w:r>
        <w:rPr>
          <w:rFonts w:ascii="Nimbus Sans" w:hAnsi="Nimbus Sans" w:eastAsia="Nimbus Sans" w:cs="Nimbus Sans"/>
        </w:rPr>
        <w:t xml:space="preserve"> </w:t>
      </w:r>
      <w:hyperlink r:id="rId107">
        <w:r>
          <w:rPr>
            <w:rStyle w:val="Hyperlink"/>
          </w:rPr>
          <w:t xml:space="preserve">OHRP lesson</w:t>
        </w:r>
      </w:hyperlink>
      <w:r>
        <w:rPr>
          <w:rFonts w:ascii="Nimbus Sans" w:hAnsi="Nimbus Sans" w:eastAsia="Nimbus Sans" w:cs="Nimbus Sans"/>
        </w:rPr>
        <w:t xml:space="preserve">.</w:t>
      </w:r>
    </w:p>
    <w:p>
      <w:pPr>
        <w:numPr>
          <w:ilvl w:val="0"/>
          <w:numId w:val="1015"/>
        </w:numPr>
        <w:pStyle w:val="Compact"/>
        <w:spacing w:after="120" w:line="280" w:lineRule="auto"/>
      </w:pPr>
      <w:r>
        <w:rPr>
          <w:bCs/>
          <w:rFonts w:ascii="Nimbus Sans" w:hAnsi="Nimbus Sans" w:eastAsia="Nimbus Sans" w:cs="Nimbus Sans"/>
          <w:b/>
        </w:rPr>
        <w:t xml:space="preserve">Possible exemption?</w:t>
      </w:r>
      <w:r>
        <w:rPr>
          <w:rFonts w:ascii="Nimbus Sans" w:hAnsi="Nimbus Sans" w:eastAsia="Nimbus Sans" w:cs="Nimbus Sans"/>
        </w:rPr>
        <w:t xml:space="preserve"> </w:t>
      </w:r>
      <w:r>
        <w:rPr>
          <w:rFonts w:ascii="Nimbus Sans" w:hAnsi="Nimbus Sans" w:eastAsia="Nimbus Sans" w:cs="Nimbus Sans"/>
        </w:rPr>
        <w:t xml:space="preserve">Some low-risk adult survey/vignette or benign-behavioral work may fit 45 CFR 46.104, subject to identifiability, disclosure risk, prospective agreement, deception rules, and limited review. Do not self-classify an operative oath with identifiable publication and potential legal/reputational exposure as benign.</w:t>
      </w:r>
    </w:p>
    <w:p>
      <w:pPr>
        <w:numPr>
          <w:ilvl w:val="0"/>
          <w:numId w:val="1015"/>
        </w:numPr>
        <w:pStyle w:val="Compact"/>
        <w:spacing w:after="120" w:line="280" w:lineRule="auto"/>
      </w:pPr>
      <w:r>
        <w:rPr>
          <w:bCs/>
          <w:rFonts w:ascii="Nimbus Sans" w:hAnsi="Nimbus Sans" w:eastAsia="Nimbus Sans" w:cs="Nimbus Sans"/>
          <w:b/>
        </w:rPr>
        <w:t xml:space="preserve">Written determination.</w:t>
      </w:r>
      <w:r>
        <w:rPr>
          <w:rFonts w:ascii="Nimbus Sans" w:hAnsi="Nimbus Sans" w:eastAsia="Nimbus Sans" w:cs="Nimbus Sans"/>
        </w:rPr>
        <w:t xml:space="preserve"> </w:t>
      </w:r>
      <w:r>
        <w:rPr>
          <w:rFonts w:ascii="Nimbus Sans" w:hAnsi="Nimbus Sans" w:eastAsia="Nimbus Sans" w:cs="Nimbus Sans"/>
        </w:rPr>
        <w:t xml:space="preserve">Obtain a written HRPP/IRB determination before randomized or publishable data collection and before any real-person speaker experiment. Use</w:t>
      </w:r>
      <w:r>
        <w:rPr>
          <w:rFonts w:ascii="Nimbus Sans" w:hAnsi="Nimbus Sans" w:eastAsia="Nimbus Sans" w:cs="Nimbus Sans"/>
        </w:rPr>
        <w:t xml:space="preserve"> </w:t>
      </w:r>
      <w:hyperlink r:id="rId108">
        <w:r>
          <w:rPr>
            <w:rStyle w:val="Hyperlink"/>
          </w:rPr>
          <w:t xml:space="preserve">OHRP’s decision charts</w:t>
        </w:r>
      </w:hyperlink>
      <w:r>
        <w:rPr>
          <w:rFonts w:ascii="Nimbus Sans" w:hAnsi="Nimbus Sans" w:eastAsia="Nimbus Sans" w:cs="Nimbus Sans"/>
        </w:rPr>
        <w:t xml:space="preserve"> </w:t>
      </w:r>
      <w:r>
        <w:rPr>
          <w:rFonts w:ascii="Nimbus Sans" w:hAnsi="Nimbus Sans" w:eastAsia="Nimbus Sans" w:cs="Nimbus Sans"/>
        </w:rPr>
        <w:t xml:space="preserve">and the full regulatory text.</w:t>
      </w:r>
    </w:p>
    <w:p>
      <w:pPr>
        <w:numPr>
          <w:ilvl w:val="0"/>
          <w:numId w:val="1015"/>
        </w:numPr>
        <w:pStyle w:val="Compact"/>
        <w:spacing w:after="120" w:line="280" w:lineRule="auto"/>
      </w:pPr>
      <w:r>
        <w:rPr>
          <w:bCs/>
          <w:rFonts w:ascii="Nimbus Sans" w:hAnsi="Nimbus Sans" w:eastAsia="Nimbus Sans" w:cs="Nimbus Sans"/>
          <w:b/>
        </w:rPr>
        <w:t xml:space="preserve">Independent ethics even if uncovered.</w:t>
      </w:r>
      <w:r>
        <w:rPr>
          <w:rFonts w:ascii="Nimbus Sans" w:hAnsi="Nimbus Sans" w:eastAsia="Nimbus Sans" w:cs="Nimbus Sans"/>
        </w:rPr>
        <w:t xml:space="preserve"> </w:t>
      </w:r>
      <w:r>
        <w:rPr>
          <w:rFonts w:ascii="Nimbus Sans" w:hAnsi="Nimbus Sans" w:eastAsia="Nimbus Sans" w:cs="Nimbus Sans"/>
        </w:rPr>
        <w:t xml:space="preserve">Consent, risk minimization, equitable selection, monitoring, privacy, confidentiality, third-party/community harm, and adverse-event review remain necessary even if federal regulation does not attach.</w:t>
      </w:r>
    </w:p>
    <w:bookmarkEnd w:id="109"/>
    <w:bookmarkStart w:id="110" w:name="X1ebbf65a6ef7222622ba9f31fdfecdb6762992c"/>
    <w:p>
      <w:pPr>
        <w:pStyle w:val="Heading2"/>
      </w:pPr>
      <w:r>
        <w:rPr>
          <w:rFonts w:ascii="Nimbus Sans" w:hAnsi="Nimbus Sans" w:eastAsia="Nimbus Sans" w:cs="Nimbus Sans"/>
        </w:rPr>
        <w:t xml:space="preserve">31. Measurement rules</w:t>
      </w:r>
    </w:p>
    <w:p>
      <w:pPr>
        <w:pStyle w:val="FirstParagraph"/>
      </w:pPr>
      <w:r>
        <w:rPr>
          <w:rFonts w:ascii="Nimbus Sans" w:hAnsi="Nimbus Sans" w:eastAsia="Nimbus Sans" w:cs="Nimbus Sans"/>
        </w:rPr>
        <w:t xml:space="preserve">The speaker primary endpoint should be false assertions across</w:t>
      </w:r>
      <w:r>
        <w:rPr>
          <w:rFonts w:ascii="Nimbus Sans" w:hAnsi="Nimbus Sans" w:eastAsia="Nimbus Sans" w:cs="Nimbus Sans"/>
        </w:rPr>
        <w:t xml:space="preserve"> </w:t>
      </w:r>
      <w:r>
        <w:rPr>
          <w:bCs/>
          <w:rFonts w:ascii="Nimbus Sans" w:hAnsi="Nimbus Sans" w:eastAsia="Nimbus Sans" w:cs="Nimbus Sans"/>
          <w:b/>
        </w:rPr>
        <w:t xml:space="preserve">all assigned objectively resolvable items</w:t>
      </w:r>
      <w:r>
        <w:rPr>
          <w:rFonts w:ascii="Nimbus Sans" w:hAnsi="Nimbus Sans" w:eastAsia="Nimbus Sans" w:cs="Nimbus Sans"/>
        </w:rPr>
        <w:t xml:space="preserve">, not accuracy only among answered items, which rewards selective decline. Code accurate assertion, false assertion, appropriate qualification, appropriate unknown/not-verifiable, decline, evasion/irrelevance, and indeterminate reference status separately.</w:t>
      </w:r>
    </w:p>
    <w:p>
      <w:pPr>
        <w:pStyle w:val="BodyText"/>
      </w:pPr>
      <w:r>
        <w:rPr>
          <w:rFonts w:ascii="Nimbus Sans" w:hAnsi="Nimbus Sans" w:eastAsia="Nimbus Sans" w:cs="Nimbus Sans"/>
        </w:rPr>
        <w:t xml:space="preserve">Use a preregistered reference-adjudication protocol, not a claim of “ground truth” for disputed political facts: defined evidence packet, two blinded coders, independent adjudicator, disagreement/uncertainty code, and public criteria. Audience models should account for participant, item, and speaker variation. Report intent-to-treat, uptake, attrition, exclusions, missingness, coder reliability, effect sizes, confidence intervals, multiplicity, and partisan interactions.</w:t>
      </w:r>
    </w:p>
    <w:p>
      <w:pPr>
        <w:pStyle w:val="BodyText"/>
      </w:pPr>
      <w:r>
        <w:rPr>
          <w:rFonts w:ascii="Nimbus Sans" w:hAnsi="Nimbus Sans" w:eastAsia="Nimbus Sans" w:cs="Nimbus Sans"/>
        </w:rPr>
        <w:t xml:space="preserve">Do not exclude participants from primary analyses merely because they fail a post-treatment manipulation check.</w:t>
      </w:r>
    </w:p>
    <w:bookmarkEnd w:id="110"/>
    <w:bookmarkStart w:id="111" w:name="X019bdd44ad20737a77b97a67d896ce20b70ef49"/>
    <w:p>
      <w:pPr>
        <w:pStyle w:val="Heading2"/>
      </w:pPr>
      <w:r>
        <w:rPr>
          <w:rFonts w:ascii="Nimbus Sans" w:hAnsi="Nimbus Sans" w:eastAsia="Nimbus Sans" w:cs="Nimbus Sans"/>
        </w:rPr>
        <w:t xml:space="preserve">32. Candidate safety bounds and stopping rules</w:t>
      </w:r>
    </w:p>
    <w:p>
      <w:pPr>
        <w:pStyle w:val="FirstParagraph"/>
      </w:pPr>
      <w:r>
        <w:rPr>
          <w:rFonts w:ascii="Nimbus Sans" w:hAnsi="Nimbus Sans" w:eastAsia="Nimbus Sans" w:cs="Nimbus Sans"/>
        </w:rPr>
        <w:t xml:space="preserve">An independent statistician must finalize powered thresholds. Candidate gates are:</w:t>
      </w:r>
    </w:p>
    <w:p>
      <w:pPr>
        <w:numPr>
          <w:ilvl w:val="0"/>
          <w:numId w:val="1016"/>
        </w:numPr>
        <w:pStyle w:val="Compact"/>
        <w:spacing w:after="120" w:line="280" w:lineRule="auto"/>
      </w:pPr>
      <w:r>
        <w:rPr>
          <w:rFonts w:ascii="Nimbus Sans" w:hAnsi="Nimbus Sans" w:eastAsia="Nimbus Sans" w:cs="Nimbus Sans"/>
        </w:rPr>
        <w:t xml:space="preserve">observed notary-role comprehension at least 90%, with a one-sided 95% lower confidence bound at least 85%;</w:t>
      </w:r>
    </w:p>
    <w:p>
      <w:pPr>
        <w:numPr>
          <w:ilvl w:val="0"/>
          <w:numId w:val="1016"/>
        </w:numPr>
        <w:pStyle w:val="Compact"/>
        <w:spacing w:after="120" w:line="280" w:lineRule="auto"/>
      </w:pPr>
      <w:r>
        <w:rPr>
          <w:rFonts w:ascii="Nimbus Sans" w:hAnsi="Nimbus Sans" w:eastAsia="Nimbus Sans" w:cs="Nimbus Sans"/>
        </w:rPr>
        <w:t xml:space="preserve">upper 95% confidence bound for increased false truth-certification belief below 5 percentage points;</w:t>
      </w:r>
    </w:p>
    <w:p>
      <w:pPr>
        <w:numPr>
          <w:ilvl w:val="0"/>
          <w:numId w:val="1016"/>
        </w:numPr>
        <w:pStyle w:val="Compact"/>
        <w:spacing w:after="120" w:line="280" w:lineRule="auto"/>
      </w:pPr>
      <w:r>
        <w:rPr>
          <w:rFonts w:ascii="Nimbus Sans" w:hAnsi="Nimbus Sans" w:eastAsia="Nimbus Sans" w:cs="Nimbus Sans"/>
        </w:rPr>
        <w:t xml:space="preserve">upper 95% confidence bound for status-label dishonesty inference below standardized</w:t>
      </w:r>
      <w:r>
        <w:rPr>
          <w:rFonts w:ascii="Nimbus Sans" w:hAnsi="Nimbus Sans" w:eastAsia="Nimbus Sans" w:cs="Nimbus Sans"/>
        </w:rPr>
        <w:t xml:space="preserve"> </w:t>
      </w:r>
      <w:r>
        <w:rPr>
          <w:rStyle w:val="VerbatimChar"/>
          <w:rFonts w:ascii="Nimbus Sans" w:hAnsi="Nimbus Sans" w:eastAsia="Nimbus Sans" w:cs="Nimbus Sans"/>
        </w:rPr>
        <w:t xml:space="preserve">d = 0.15</w:t>
      </w:r>
      <w:r>
        <w:rPr>
          <w:rFonts w:ascii="Nimbus Sans" w:hAnsi="Nimbus Sans" w:eastAsia="Nimbus Sans" w:cs="Nimbus Sans"/>
        </w:rPr>
        <w:t xml:space="preserve">;</w:t>
      </w:r>
    </w:p>
    <w:p>
      <w:pPr>
        <w:numPr>
          <w:ilvl w:val="0"/>
          <w:numId w:val="1016"/>
        </w:numPr>
        <w:pStyle w:val="Compact"/>
        <w:spacing w:after="120" w:line="280" w:lineRule="auto"/>
      </w:pPr>
      <w:r>
        <w:rPr>
          <w:rFonts w:ascii="Nimbus Sans" w:hAnsi="Nimbus Sans" w:eastAsia="Nimbus Sans" w:cs="Nimbus Sans"/>
        </w:rPr>
        <w:t xml:space="preserve">no practically meaningful partisan interaction under preregistered equivalence bounds;</w:t>
      </w:r>
    </w:p>
    <w:p>
      <w:pPr>
        <w:numPr>
          <w:ilvl w:val="0"/>
          <w:numId w:val="1016"/>
        </w:numPr>
        <w:pStyle w:val="Compact"/>
        <w:spacing w:after="120" w:line="280" w:lineRule="auto"/>
      </w:pPr>
      <w:r>
        <w:rPr>
          <w:rFonts w:ascii="Nimbus Sans" w:hAnsi="Nimbus Sans" w:eastAsia="Nimbus Sans" w:cs="Nimbus Sans"/>
        </w:rPr>
        <w:t xml:space="preserve">a prespecified accuracy or calibration benefit over a plain accuracy commitment, not merely an ordinary interview; and</w:t>
      </w:r>
    </w:p>
    <w:p>
      <w:pPr>
        <w:numPr>
          <w:ilvl w:val="0"/>
          <w:numId w:val="1016"/>
        </w:numPr>
        <w:pStyle w:val="Compact"/>
        <w:spacing w:after="120" w:line="280" w:lineRule="auto"/>
      </w:pPr>
      <w:r>
        <w:rPr>
          <w:rFonts w:ascii="Nimbus Sans" w:hAnsi="Nimbus Sans" w:eastAsia="Nimbus Sans" w:cs="Nimbus Sans"/>
        </w:rPr>
        <w:t xml:space="preserve">zero critical operational incidents.</w:t>
      </w:r>
    </w:p>
    <w:p>
      <w:pPr>
        <w:pStyle w:val="FirstParagraph"/>
      </w:pPr>
      <w:r>
        <w:rPr>
          <w:rFonts w:ascii="Nimbus Sans" w:hAnsi="Nimbus Sans" w:eastAsia="Nimbus Sans" w:cs="Nimbus Sans"/>
        </w:rPr>
        <w:t xml:space="preserve">Immediately suspend enrollment and publication after unconsented capture; ID/journal exposure; wrong-version execution; post-freeze alteration; participant confusion about legal consequences at execution; coercive prosecution/referral rhetoric; identifiable unapproved allegation; known-false/fabricated source; data breach, doxxing, credible threat or severe related distress; or inadvertent public release.</w:t>
      </w:r>
    </w:p>
    <w:p>
      <w:pPr>
        <w:pStyle w:val="BodyText"/>
      </w:pPr>
      <w:r>
        <w:rPr>
          <w:rFonts w:ascii="Nimbus Sans" w:hAnsi="Nimbus Sans" w:eastAsia="Nimbus Sans" w:cs="Nimbus Sans"/>
        </w:rPr>
        <w:t xml:space="preserve">Report critical events within 24 hours to the research lead, safety officer, counsel, and HRPP/IRB when applicable. Restart only after independent review and documented corrective action. Use a prespecified independent harm look; do not repeatedly peek at accumulating results informally.</w:t>
      </w:r>
    </w:p>
    <w:bookmarkEnd w:id="111"/>
    <w:bookmarkStart w:id="112" w:name="Xb381d5cd92dd54ae57e7bbc9daf4d728fb24cd8"/>
    <w:p>
      <w:pPr>
        <w:pStyle w:val="Heading2"/>
      </w:pPr>
      <w:r>
        <w:rPr>
          <w:rFonts w:ascii="Nimbus Sans" w:hAnsi="Nimbus Sans" w:eastAsia="Nimbus Sans" w:cs="Nimbus Sans"/>
        </w:rPr>
        <w:t xml:space="preserve">33. Evidence needed before expansion</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2400"/>
        <w:gridCol w:w="6960"/>
      </w:tblGrid>
      <w:tr>
        <w:trPr>
          <w:tblHeader w:val="true"/>
          <w:cantSplit w:val="true"/>
        </w:trPr>
        <w:tc>
          <w:tcPr>
            <w:tcW w:type="dxa" w:w="24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Next phase</w:t>
            </w:r>
          </w:p>
        </w:tc>
        <w:tc>
          <w:tcPr>
            <w:tcW w:type="dxa" w:w="696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Required evidence and approvals</w:t>
            </w: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Nonpublic feasibility</w:t>
            </w:r>
          </w:p>
        </w:tc>
        <w:tc>
          <w:tcPr>
            <w:tcW w:type="dxa" w:w="696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Repeated synthetic/tabletop passes; counsel-approved form; notary procedure approval; consent/accessibility/security/custody pass; zero critical events</w:t>
            </w: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Audience research</w:t>
            </w:r>
          </w:p>
        </w:tc>
        <w:tc>
          <w:tcPr>
            <w:tcW w:type="dxa" w:w="696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Preregistration and HRPP/IRB determination; powered comprehension/no-halo/no-stigma/correction/symmetry design; null/adverse publication commitment</w:t>
            </w: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Speaker research</w:t>
            </w:r>
          </w:p>
        </w:tc>
        <w:tc>
          <w:tcPr>
            <w:tcW w:type="dxa" w:w="696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Simulated process first; enough independent speakers/items; benefit over plain commitment without higher evasion, coercion, or correction resistance</w:t>
            </w: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Named public use</w:t>
            </w:r>
          </w:p>
        </w:tc>
        <w:tc>
          <w:tcPr>
            <w:tcW w:type="dxa" w:w="696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Separate participant/matter legal review; media/research consent; harassment/correction plan; no high-risk allegations in first case; public-copy redaction; no unresolved serious event</w:t>
            </w:r>
          </w:p>
        </w:tc>
      </w:tr>
      <w:tr>
        <w:trPr>
          <w:cantSplit w:val="true"/>
        </w:trPr>
        <w:tc>
          <w:tcPr>
            <w:tcW w:type="dxa" w:w="24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Government-connected use</w:t>
            </w:r>
          </w:p>
        </w:tc>
        <w:tc>
          <w:tcPr>
            <w:tcW w:type="dxa" w:w="696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Independent replication; government-cue safety study; civil-rights/ethics/PRA/procurement/accessibility/data-governance memo; absolute prohibition on tying participation to government benefits or access</w:t>
            </w:r>
          </w:p>
        </w:tc>
      </w:tr>
    </w:tbl>
    <w:bookmarkEnd w:id="112"/>
    <w:bookmarkEnd w:id="113"/>
    <w:bookmarkStart w:id="120" w:name="Xbcd4677e07ae9860df8227b75724178aa132a93"/>
    <w:p>
      <w:pPr>
        <w:pStyle w:val="Heading1"/>
      </w:pPr>
      <w:r>
        <w:rPr>
          <w:rFonts w:ascii="Nimbus Sans" w:hAnsi="Nimbus Sans" w:eastAsia="Nimbus Sans" w:cs="Nimbus Sans"/>
        </w:rPr>
        <w:t xml:space="preserve">VII. Operations, decisions, and launch blockers</w:t>
      </w:r>
    </w:p>
    <w:bookmarkStart w:id="114" w:name="Xdb390311f8efc618235065df49b5770b0f77082"/>
    <w:p>
      <w:pPr>
        <w:pStyle w:val="Heading2"/>
      </w:pPr>
      <w:r>
        <w:rPr>
          <w:rFonts w:ascii="Nimbus Sans" w:hAnsi="Nimbus Sans" w:eastAsia="Nimbus Sans" w:cs="Nimbus Sans"/>
        </w:rPr>
        <w:t xml:space="preserve">34. Required roles</w:t>
      </w:r>
    </w:p>
    <w:tbl>
      <w:tblPr>
        <w:tblStyle w:val="Table"/>
        <w:tblW w:type="dxa" w:w="9360"/>
        <w:jc w:val="left"/>
        <w:tblLayout w:type="fixed"/>
        <w:tblLook w:firstRow="1" w:lastRow="0" w:firstColumn="0" w:lastColumn="0" w:noHBand="0" w:noVBand="0" w:val="0020"/>
        <w:tblInd w:w="120" w:type="dxa"/>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Pr>
      <w:tblGrid>
        <w:gridCol w:w="2500"/>
        <w:gridCol w:w="3430"/>
        <w:gridCol w:w="3430"/>
      </w:tblGrid>
      <w:tr>
        <w:trPr>
          <w:tblHeader w:val="true"/>
          <w:cantSplit w:val="true"/>
        </w:trPr>
        <w:tc>
          <w:tcPr>
            <w:tcW w:type="dxa" w:w="250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Role</w:t>
            </w:r>
          </w:p>
        </w:tc>
        <w:tc>
          <w:tcPr>
            <w:tcW w:type="dxa" w:w="343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Responsibility</w:t>
            </w:r>
          </w:p>
        </w:tc>
        <w:tc>
          <w:tcPr>
            <w:tcW w:type="dxa" w:w="3430"/>
            <w:tcMar>
              <w:top w:w="80" w:type="dxa"/>
              <w:start w:w="120" w:type="dxa"/>
              <w:bottom w:w="80" w:type="dxa"/>
              <w:end w:w="120" w:type="dxa"/>
            </w:tcMar>
            <w:vAlign w:val="center"/>
            <w:shd w:fill="F2F4F7" w:val="clear"/>
          </w:tcPr>
          <w:p>
            <w:pPr>
              <w:pStyle w:val="Compact"/>
              <w:keepNext/>
              <w:spacing w:before="0" w:after="50" w:line="252" w:lineRule="auto"/>
              <w:jc w:val="left"/>
            </w:pPr>
            <w:r>
              <w:rPr>
                <w:rFonts w:ascii="Nimbus Sans" w:hAnsi="Nimbus Sans" w:eastAsia="Nimbus Sans" w:cs="Nimbus Sans"/>
                <w:b/>
                <w:color w:val="0B2545"/>
                <w:sz w:val="18"/>
              </w:rPr>
              <w:t xml:space="preserve">Must not do</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Project owner</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Scope, budget, phase order</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Override legal/notarial/release stop</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Participant</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Author/adopt answer, basis, qualification</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Control notary certificate or DGG source assessment</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Participant counsel</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Advise participant under separate client relationship</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Act as DGG’s counsel unless conflicts are resolved in writing</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Fact editor</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Neutral question/source/counter-source work</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Coach a preferred answer or suppress adverse sources</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Media counsel</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Defamation/privacy/IP/publication review</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Represent participant without engagement/conflict analysis</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Washington notary</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Statutory act and independent refusal</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Approve question content, truth, criminal theory, or publicity</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Record controller</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Version, paper, manifest, custody</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Edit substance after freeze</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Accessibility/language lead</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Equivalent access and semantic fidelity</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Infer capacity or honesty from accommodation</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Privacy/security lead</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Data map, minimization, incident response</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Obtain notary journal/ID for production</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Legal-demand custodian</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Subpoena/discovery/PRA/government-contact routing</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Promise secrecy or produce voluntarily without counsel</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Methods/ethics reviewer</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Preregistration, thresholds, adverse reporting</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Convert exploratory results into marketing claims</w:t>
            </w:r>
          </w:p>
        </w:tc>
      </w:tr>
      <w:tr>
        <w:trPr>
          <w:cantSplit w:val="true"/>
        </w:trPr>
        <w:tc>
          <w:tcPr>
            <w:tcW w:type="dxa" w:w="250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Independent release authority</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Final phase/publication decision</w:t>
            </w:r>
          </w:p>
        </w:tc>
        <w:tc>
          <w:tcPr>
            <w:tcW w:type="dxa" w:w="3430"/>
            <w:tcMar>
              <w:top w:w="80" w:type="dxa"/>
              <w:start w:w="120" w:type="dxa"/>
              <w:bottom w:w="80" w:type="dxa"/>
              <w:end w:w="120" w:type="dxa"/>
            </w:tcMar>
            <w:vAlign w:val="center"/>
          </w:tcPr>
          <w:p>
            <w:pPr>
              <w:pStyle w:val="Compact"/>
              <w:spacing w:before="0" w:after="50" w:line="252" w:lineRule="auto"/>
              <w:jc w:val="left"/>
            </w:pPr>
            <w:r>
              <w:rPr>
                <w:rFonts w:ascii="Nimbus Sans" w:hAnsi="Nimbus Sans" w:eastAsia="Nimbus Sans" w:cs="Nimbus Sans"/>
                <w:color w:val="111111"/>
                <w:sz w:val="18"/>
              </w:rPr>
              <w:t xml:space="preserve">Alter CSR or overrule a legal/privacy block</w:t>
            </w:r>
          </w:p>
        </w:tc>
      </w:tr>
    </w:tbl>
    <w:bookmarkEnd w:id="114"/>
    <w:bookmarkStart w:id="115" w:name="X452f3fdc379117bdff14c6d64b16b05b03d5321"/>
    <w:p>
      <w:pPr>
        <w:pStyle w:val="Heading2"/>
      </w:pPr>
      <w:r>
        <w:rPr>
          <w:rFonts w:ascii="Nimbus Sans" w:hAnsi="Nimbus Sans" w:eastAsia="Nimbus Sans" w:cs="Nimbus Sans"/>
        </w:rPr>
        <w:t xml:space="preserve">35. Counsel questions requiring written answers</w:t>
      </w:r>
    </w:p>
    <w:p>
      <w:pPr>
        <w:numPr>
          <w:ilvl w:val="0"/>
          <w:numId w:val="1017"/>
        </w:numPr>
        <w:pStyle w:val="Compact"/>
        <w:spacing w:after="120" w:line="280" w:lineRule="auto"/>
      </w:pPr>
      <w:r>
        <w:rPr>
          <w:rFonts w:ascii="Nimbus Sans" w:hAnsi="Nimbus Sans" w:eastAsia="Nimbus Sans" w:cs="Nimbus Sans"/>
        </w:rPr>
        <w:t xml:space="preserve">Does the final adoption, oath/affirmation, signature, certificate, attachment, and venue constitute the intended Washington verification?</w:t>
      </w:r>
    </w:p>
    <w:p>
      <w:pPr>
        <w:numPr>
          <w:ilvl w:val="0"/>
          <w:numId w:val="1017"/>
        </w:numPr>
        <w:pStyle w:val="Compact"/>
        <w:spacing w:after="120" w:line="280" w:lineRule="auto"/>
      </w:pPr>
      <w:r>
        <w:rPr>
          <w:rFonts w:ascii="Nimbus Sans" w:hAnsi="Nimbus Sans" w:eastAsia="Nimbus Sans" w:cs="Nimbus Sans"/>
        </w:rPr>
        <w:t xml:space="preserve">What exact content is sworn and excluded, including U/R/V responses, definitions, bases, qualifications, translations, and incorporated records?</w:t>
      </w:r>
    </w:p>
    <w:p>
      <w:pPr>
        <w:numPr>
          <w:ilvl w:val="0"/>
          <w:numId w:val="1017"/>
        </w:numPr>
        <w:pStyle w:val="Compact"/>
        <w:spacing w:after="120" w:line="280" w:lineRule="auto"/>
      </w:pPr>
      <w:r>
        <w:rPr>
          <w:rFonts w:ascii="Nimbus Sans" w:hAnsi="Nimbus Sans" w:eastAsia="Nimbus Sans" w:cs="Nimbus Sans"/>
        </w:rPr>
        <w:t xml:space="preserve">What participant-facing description of chapter 9A.72 RCW informs without coercion or legal advice?</w:t>
      </w:r>
    </w:p>
    <w:p>
      <w:pPr>
        <w:numPr>
          <w:ilvl w:val="0"/>
          <w:numId w:val="1017"/>
        </w:numPr>
        <w:pStyle w:val="Compact"/>
        <w:spacing w:after="120" w:line="280" w:lineRule="auto"/>
      </w:pPr>
      <w:r>
        <w:rPr>
          <w:rFonts w:ascii="Nimbus Sans" w:hAnsi="Nimbus Sans" w:eastAsia="Nimbus Sans" w:cs="Nimbus Sans"/>
        </w:rPr>
        <w:t xml:space="preserve">Does any first-degree-perjury theory remain supportable, and should it remain exclusively privileged?</w:t>
      </w:r>
    </w:p>
    <w:p>
      <w:pPr>
        <w:numPr>
          <w:ilvl w:val="0"/>
          <w:numId w:val="1017"/>
        </w:numPr>
        <w:pStyle w:val="Compact"/>
        <w:spacing w:after="120" w:line="280" w:lineRule="auto"/>
      </w:pPr>
      <w:r>
        <w:rPr>
          <w:rFonts w:ascii="Nimbus Sans" w:hAnsi="Nimbus Sans" w:eastAsia="Nimbus Sans" w:cs="Nimbus Sans"/>
        </w:rPr>
        <w:t xml:space="preserve">What evidence-law claims, if any, may be made about the CSR?</w:t>
      </w:r>
    </w:p>
    <w:p>
      <w:pPr>
        <w:numPr>
          <w:ilvl w:val="0"/>
          <w:numId w:val="1017"/>
        </w:numPr>
        <w:pStyle w:val="Compact"/>
        <w:spacing w:after="120" w:line="280" w:lineRule="auto"/>
      </w:pPr>
      <w:r>
        <w:rPr>
          <w:rFonts w:ascii="Nimbus Sans" w:hAnsi="Nimbus Sans" w:eastAsia="Nimbus Sans" w:cs="Nimbus Sans"/>
        </w:rPr>
        <w:t xml:space="preserve">Who is each lawyer’s client; who pays; what channels/people preserve or waive privilege; and what conflicts exist?</w:t>
      </w:r>
    </w:p>
    <w:p>
      <w:pPr>
        <w:numPr>
          <w:ilvl w:val="0"/>
          <w:numId w:val="1017"/>
        </w:numPr>
        <w:pStyle w:val="Compact"/>
        <w:spacing w:after="120" w:line="280" w:lineRule="auto"/>
      </w:pPr>
      <w:r>
        <w:rPr>
          <w:rFonts w:ascii="Nimbus Sans" w:hAnsi="Nimbus Sans" w:eastAsia="Nimbus Sans" w:cs="Nimbus Sans"/>
        </w:rPr>
        <w:t xml:space="preserve">What categories are excluded due to active cases, self-incrimination, privilege, sealed/classified/protected material, third-party rights, or safety?</w:t>
      </w:r>
    </w:p>
    <w:p>
      <w:pPr>
        <w:numPr>
          <w:ilvl w:val="0"/>
          <w:numId w:val="1017"/>
        </w:numPr>
        <w:pStyle w:val="Compact"/>
        <w:spacing w:after="120" w:line="280" w:lineRule="auto"/>
      </w:pPr>
      <w:r>
        <w:rPr>
          <w:rFonts w:ascii="Nimbus Sans" w:hAnsi="Nimbus Sans" w:eastAsia="Nimbus Sans" w:cs="Nimbus Sans"/>
        </w:rPr>
        <w:t xml:space="preserve">What recording, research, media, AI/biometric, translation, promotion, fundraising, syndication, correction, withdrawal, and retention permissions are required?</w:t>
      </w:r>
    </w:p>
    <w:p>
      <w:pPr>
        <w:numPr>
          <w:ilvl w:val="0"/>
          <w:numId w:val="1017"/>
        </w:numPr>
        <w:pStyle w:val="Compact"/>
        <w:spacing w:after="120" w:line="280" w:lineRule="auto"/>
      </w:pPr>
      <w:r>
        <w:rPr>
          <w:rFonts w:ascii="Nimbus Sans" w:hAnsi="Nimbus Sans" w:eastAsia="Nimbus Sans" w:cs="Nimbus Sans"/>
        </w:rPr>
        <w:t xml:space="preserve">What public-copy redactions and provenance method protect signatures, stamps, IDs, security details, and third parties?</w:t>
      </w:r>
    </w:p>
    <w:p>
      <w:pPr>
        <w:numPr>
          <w:ilvl w:val="0"/>
          <w:numId w:val="1017"/>
        </w:numPr>
        <w:pStyle w:val="Compact"/>
        <w:spacing w:after="120" w:line="280" w:lineRule="auto"/>
      </w:pPr>
      <w:r>
        <w:rPr>
          <w:rFonts w:ascii="Nimbus Sans" w:hAnsi="Nimbus Sans" w:eastAsia="Nimbus Sans" w:cs="Nimbus Sans"/>
        </w:rPr>
        <w:t xml:space="preserve">What entity, campaign, press, contribution/expenditure, tax, lobbying, gift, honorarium, insurance, and valuation rules apply?</w:t>
      </w:r>
    </w:p>
    <w:p>
      <w:pPr>
        <w:numPr>
          <w:ilvl w:val="0"/>
          <w:numId w:val="1017"/>
        </w:numPr>
        <w:pStyle w:val="Compact"/>
        <w:spacing w:after="120" w:line="280" w:lineRule="auto"/>
      </w:pPr>
      <w:r>
        <w:rPr>
          <w:rFonts w:ascii="Nimbus Sans" w:hAnsi="Nimbus Sans" w:eastAsia="Nimbus Sans" w:cs="Nimbus Sans"/>
        </w:rPr>
        <w:t xml:space="preserve">What multistate law applies to national publication or a participant/resident outside Washington?</w:t>
      </w:r>
    </w:p>
    <w:p>
      <w:pPr>
        <w:numPr>
          <w:ilvl w:val="0"/>
          <w:numId w:val="1017"/>
        </w:numPr>
        <w:pStyle w:val="Compact"/>
        <w:spacing w:after="120" w:line="280" w:lineRule="auto"/>
      </w:pPr>
      <w:r>
        <w:rPr>
          <w:rFonts w:ascii="Nimbus Sans" w:hAnsi="Nimbus Sans" w:eastAsia="Nimbus Sans" w:cs="Nimbus Sans"/>
        </w:rPr>
        <w:t xml:space="preserve">Does DGG qualify as news media under RCW 5.68.010 for this activity and each record category?</w:t>
      </w:r>
    </w:p>
    <w:p>
      <w:pPr>
        <w:numPr>
          <w:ilvl w:val="0"/>
          <w:numId w:val="1017"/>
        </w:numPr>
        <w:pStyle w:val="Compact"/>
        <w:spacing w:after="120" w:line="280" w:lineRule="auto"/>
      </w:pPr>
      <w:r>
        <w:rPr>
          <w:rFonts w:ascii="Nimbus Sans" w:hAnsi="Nimbus Sans" w:eastAsia="Nimbus Sans" w:cs="Nimbus Sans"/>
        </w:rPr>
        <w:t xml:space="preserve">What records are retained, where, by whom, for how long, under what deletion/legal-hold rule, and with what vendor copies?</w:t>
      </w:r>
    </w:p>
    <w:p>
      <w:pPr>
        <w:numPr>
          <w:ilvl w:val="0"/>
          <w:numId w:val="1017"/>
        </w:numPr>
        <w:pStyle w:val="Compact"/>
        <w:spacing w:after="120" w:line="280" w:lineRule="auto"/>
      </w:pPr>
      <w:r>
        <w:rPr>
          <w:rFonts w:ascii="Nimbus Sans" w:hAnsi="Nimbus Sans" w:eastAsia="Nimbus Sans" w:cs="Nimbus Sans"/>
        </w:rPr>
        <w:t xml:space="preserve">What HRPP/IRB determination controls each feasibility, audience, and speaker activity?</w:t>
      </w:r>
    </w:p>
    <w:p>
      <w:pPr>
        <w:numPr>
          <w:ilvl w:val="0"/>
          <w:numId w:val="1017"/>
        </w:numPr>
        <w:pStyle w:val="Compact"/>
        <w:spacing w:after="120" w:line="280" w:lineRule="auto"/>
      </w:pPr>
      <w:r>
        <w:rPr>
          <w:rFonts w:ascii="Nimbus Sans" w:hAnsi="Nimbus Sans" w:eastAsia="Nimbus Sans" w:cs="Nimbus Sans"/>
        </w:rPr>
        <w:t xml:space="preserve">What accommodations, interpreters, and language controls are mandatory?</w:t>
      </w:r>
    </w:p>
    <w:p>
      <w:pPr>
        <w:numPr>
          <w:ilvl w:val="0"/>
          <w:numId w:val="1017"/>
        </w:numPr>
        <w:pStyle w:val="Compact"/>
        <w:spacing w:after="120" w:line="280" w:lineRule="auto"/>
      </w:pPr>
      <w:r>
        <w:rPr>
          <w:rFonts w:ascii="Nimbus Sans" w:hAnsi="Nimbus Sans" w:eastAsia="Nimbus Sans" w:cs="Nimbus Sans"/>
        </w:rPr>
        <w:t xml:space="preserve">What changes if a government funds, co-designs, receives, relies upon, republishes, or conditions anything on the CSR?</w:t>
      </w:r>
    </w:p>
    <w:bookmarkEnd w:id="115"/>
    <w:bookmarkStart w:id="118" w:name="X67d9dce2ea70379a5e823056d5c2805a15f946a"/>
    <w:p>
      <w:pPr>
        <w:pStyle w:val="Heading2"/>
      </w:pPr>
      <w:r>
        <w:rPr>
          <w:rFonts w:ascii="Nimbus Sans" w:hAnsi="Nimbus Sans" w:eastAsia="Nimbus Sans" w:cs="Nimbus Sans"/>
        </w:rPr>
        <w:t xml:space="preserve">36. Counsel decision sheet</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POTENTIALLY PRIVILEGED — KEEP SEPARATE FROM EXECUTED/PUBLIC CSR</w:t>
      </w:r>
    </w:p>
    <w:bookmarkStart w:id="116" w:name="form-approval"/>
    <w:p>
      <w:pPr>
        <w:pStyle w:val="Heading3"/>
      </w:pPr>
      <w:r>
        <w:rPr>
          <w:rFonts w:ascii="Nimbus Sans" w:hAnsi="Nimbus Sans" w:eastAsia="Nimbus Sans" w:cs="Nimbus Sans"/>
        </w:rPr>
        <w:t xml:space="preserve">Form approval</w:t>
      </w:r>
    </w:p>
    <w:p>
      <w:pPr>
        <w:numPr>
          <w:ilvl w:val="0"/>
          <w:numId w:val="1018"/>
        </w:numPr>
        <w:pStyle w:val="Compact"/>
        <w:spacing w:after="120" w:line="280" w:lineRule="auto"/>
      </w:pPr>
      <w:r>
        <w:rPr>
          <w:rFonts w:ascii="Nimbus Sans" w:hAnsi="Nimbus Sans" w:eastAsia="Nimbus Sans" w:cs="Nimbus Sans"/>
        </w:rPr>
        <w:t xml:space="preserve">☐ Participant notice and rights approved</w:t>
      </w:r>
    </w:p>
    <w:p>
      <w:pPr>
        <w:numPr>
          <w:ilvl w:val="0"/>
          <w:numId w:val="1018"/>
        </w:numPr>
        <w:pStyle w:val="Compact"/>
        <w:spacing w:after="120" w:line="280" w:lineRule="auto"/>
      </w:pPr>
      <w:r>
        <w:rPr>
          <w:rFonts w:ascii="Nimbus Sans" w:hAnsi="Nimbus Sans" w:eastAsia="Nimbus Sans" w:cs="Nimbus Sans"/>
        </w:rPr>
        <w:t xml:space="preserve">☐ Standalone statement/basis/qualification structure approved</w:t>
      </w:r>
    </w:p>
    <w:p>
      <w:pPr>
        <w:numPr>
          <w:ilvl w:val="0"/>
          <w:numId w:val="1018"/>
        </w:numPr>
        <w:pStyle w:val="Compact"/>
        <w:spacing w:after="120" w:line="280" w:lineRule="auto"/>
      </w:pPr>
      <w:r>
        <w:rPr>
          <w:rFonts w:ascii="Nimbus Sans" w:hAnsi="Nimbus Sans" w:eastAsia="Nimbus Sans" w:cs="Nimbus Sans"/>
        </w:rPr>
        <w:t xml:space="preserve">☐ Adoption and U/R/V treatment approved</w:t>
      </w:r>
    </w:p>
    <w:p>
      <w:pPr>
        <w:numPr>
          <w:ilvl w:val="0"/>
          <w:numId w:val="1018"/>
        </w:numPr>
        <w:pStyle w:val="Compact"/>
        <w:spacing w:after="120" w:line="280" w:lineRule="auto"/>
      </w:pPr>
      <w:r>
        <w:rPr>
          <w:rFonts w:ascii="Nimbus Sans" w:hAnsi="Nimbus Sans" w:eastAsia="Nimbus Sans" w:cs="Nimbus Sans"/>
        </w:rPr>
        <w:t xml:space="preserve">☐ Oath or affirmation language approved</w:t>
      </w:r>
    </w:p>
    <w:p>
      <w:pPr>
        <w:numPr>
          <w:ilvl w:val="0"/>
          <w:numId w:val="1018"/>
        </w:numPr>
        <w:pStyle w:val="Compact"/>
        <w:spacing w:after="120" w:line="280" w:lineRule="auto"/>
      </w:pPr>
      <w:r>
        <w:rPr>
          <w:rFonts w:ascii="Nimbus Sans" w:hAnsi="Nimbus Sans" w:eastAsia="Nimbus Sans" w:cs="Nimbus Sans"/>
        </w:rPr>
        <w:t xml:space="preserve">☐ Verification-on-oath certificate selected</w:t>
      </w:r>
    </w:p>
    <w:p>
      <w:pPr>
        <w:numPr>
          <w:ilvl w:val="0"/>
          <w:numId w:val="1018"/>
        </w:numPr>
        <w:pStyle w:val="Compact"/>
        <w:spacing w:after="120" w:line="280" w:lineRule="auto"/>
      </w:pPr>
      <w:r>
        <w:rPr>
          <w:rFonts w:ascii="Nimbus Sans" w:hAnsi="Nimbus Sans" w:eastAsia="Nimbus Sans" w:cs="Nimbus Sans"/>
        </w:rPr>
        <w:t xml:space="preserve">☐ Paper attachment, original custody, public-copy redaction, and correction method approved</w:t>
      </w:r>
    </w:p>
    <w:p>
      <w:pPr>
        <w:numPr>
          <w:ilvl w:val="0"/>
          <w:numId w:val="1018"/>
        </w:numPr>
        <w:pStyle w:val="Compact"/>
        <w:spacing w:after="120" w:line="280" w:lineRule="auto"/>
      </w:pPr>
      <w:r>
        <w:rPr>
          <w:rFonts w:ascii="Nimbus Sans" w:hAnsi="Nimbus Sans" w:eastAsia="Nimbus Sans" w:cs="Nimbus Sans"/>
        </w:rPr>
        <w:t xml:space="preserve">☐ Notary role limited to lawful procedure</w:t>
      </w:r>
    </w:p>
    <w:bookmarkEnd w:id="116"/>
    <w:bookmarkStart w:id="117" w:name="matter-specific-approval"/>
    <w:p>
      <w:pPr>
        <w:pStyle w:val="Heading3"/>
      </w:pPr>
      <w:r>
        <w:rPr>
          <w:rFonts w:ascii="Nimbus Sans" w:hAnsi="Nimbus Sans" w:eastAsia="Nimbus Sans" w:cs="Nimbus Sans"/>
        </w:rPr>
        <w:t xml:space="preserve">Matter-specific approval</w:t>
      </w:r>
    </w:p>
    <w:p>
      <w:pPr>
        <w:numPr>
          <w:ilvl w:val="0"/>
          <w:numId w:val="1019"/>
        </w:numPr>
        <w:pStyle w:val="Compact"/>
        <w:spacing w:after="120" w:line="280" w:lineRule="auto"/>
      </w:pPr>
      <w:r>
        <w:rPr>
          <w:rFonts w:ascii="Nimbus Sans" w:hAnsi="Nimbus Sans" w:eastAsia="Nimbus Sans" w:cs="Nimbus Sans"/>
        </w:rPr>
        <w:t xml:space="preserve">☐ Question-admission worksheets complete</w:t>
      </w:r>
    </w:p>
    <w:p>
      <w:pPr>
        <w:numPr>
          <w:ilvl w:val="0"/>
          <w:numId w:val="1019"/>
        </w:numPr>
        <w:pStyle w:val="Compact"/>
        <w:spacing w:after="120" w:line="280" w:lineRule="auto"/>
      </w:pPr>
      <w:r>
        <w:rPr>
          <w:rFonts w:ascii="Nimbus Sans" w:hAnsi="Nimbus Sans" w:eastAsia="Nimbus Sans" w:cs="Nimbus Sans"/>
        </w:rPr>
        <w:t xml:space="preserve">☐ Defamation/false-light/private-party/source/IP review complete</w:t>
      </w:r>
    </w:p>
    <w:p>
      <w:pPr>
        <w:numPr>
          <w:ilvl w:val="0"/>
          <w:numId w:val="1019"/>
        </w:numPr>
        <w:pStyle w:val="Compact"/>
        <w:spacing w:after="120" w:line="280" w:lineRule="auto"/>
      </w:pPr>
      <w:r>
        <w:rPr>
          <w:rFonts w:ascii="Nimbus Sans" w:hAnsi="Nimbus Sans" w:eastAsia="Nimbus Sans" w:cs="Nimbus Sans"/>
        </w:rPr>
        <w:t xml:space="preserve">☐ Participant capacity, privilege, self-incrimination, and active-matter review complete</w:t>
      </w:r>
    </w:p>
    <w:p>
      <w:pPr>
        <w:numPr>
          <w:ilvl w:val="0"/>
          <w:numId w:val="1019"/>
        </w:numPr>
        <w:pStyle w:val="Compact"/>
        <w:spacing w:after="120" w:line="280" w:lineRule="auto"/>
      </w:pPr>
      <w:r>
        <w:rPr>
          <w:rFonts w:ascii="Nimbus Sans" w:hAnsi="Nimbus Sans" w:eastAsia="Nimbus Sans" w:cs="Nimbus Sans"/>
        </w:rPr>
        <w:t xml:space="preserve">☐ Recording, media, research, AI/biometric, accessibility, privacy, retention, and security gates complete</w:t>
      </w:r>
    </w:p>
    <w:p>
      <w:pPr>
        <w:numPr>
          <w:ilvl w:val="0"/>
          <w:numId w:val="1019"/>
        </w:numPr>
        <w:pStyle w:val="Compact"/>
        <w:spacing w:after="120" w:line="280" w:lineRule="auto"/>
      </w:pPr>
      <w:r>
        <w:rPr>
          <w:rFonts w:ascii="Nimbus Sans" w:hAnsi="Nimbus Sans" w:eastAsia="Nimbus Sans" w:cs="Nimbus Sans"/>
        </w:rPr>
        <w:t xml:space="preserve">☐ Entity/campaign/tax/press/insurance and government-nexus gates complete</w:t>
      </w:r>
    </w:p>
    <w:p>
      <w:pPr>
        <w:numPr>
          <w:ilvl w:val="0"/>
          <w:numId w:val="1019"/>
        </w:numPr>
        <w:pStyle w:val="Compact"/>
        <w:spacing w:after="120" w:line="280" w:lineRule="auto"/>
      </w:pPr>
      <w:r>
        <w:rPr>
          <w:rFonts w:ascii="Nimbus Sans" w:hAnsi="Nimbus Sans" w:eastAsia="Nimbus Sans" w:cs="Nimbus Sans"/>
        </w:rPr>
        <w:t xml:space="preserve">☐ No known/probable falsity, fabricated source, or material unresolved contradiction</w:t>
      </w:r>
    </w:p>
    <w:p>
      <w:pPr>
        <w:numPr>
          <w:ilvl w:val="0"/>
          <w:numId w:val="1019"/>
        </w:numPr>
        <w:pStyle w:val="Compact"/>
        <w:spacing w:after="120" w:line="280" w:lineRule="auto"/>
      </w:pPr>
      <w:r>
        <w:rPr>
          <w:rFonts w:ascii="Nimbus Sans" w:hAnsi="Nimbus Sans" w:eastAsia="Nimbus Sans" w:cs="Nimbus Sans"/>
        </w:rPr>
        <w:t xml:space="preserve">☐ Public explanation limits notary role and makes no admissibility/automatic-liability claim</w:t>
      </w:r>
    </w:p>
    <w:p>
      <w:pPr>
        <w:pStyle w:val="FirstParagraph"/>
      </w:pPr>
      <w:r>
        <w:rPr>
          <w:bCs/>
          <w:rFonts w:ascii="Nimbus Sans" w:hAnsi="Nimbus Sans" w:eastAsia="Nimbus Sans" w:cs="Nimbus Sans"/>
          <w:b/>
        </w:rPr>
        <w:t xml:space="preserve">Decision:</w:t>
      </w:r>
      <w:r>
        <w:rPr>
          <w:rFonts w:ascii="Nimbus Sans" w:hAnsi="Nimbus Sans" w:eastAsia="Nimbus Sans" w:cs="Nimbus Sans"/>
        </w:rPr>
        <w:t xml:space="preserve"> </w:t>
      </w:r>
      <w:r>
        <w:rPr>
          <w:rFonts w:ascii="Nimbus Sans" w:hAnsi="Nimbus Sans" w:eastAsia="Nimbus Sans" w:cs="Nimbus Sans"/>
        </w:rPr>
        <w:t xml:space="preserve">[ ] approve as drafted [ ] approve with conditions [ ] hold for facts/research [ ] do not approve</w:t>
      </w:r>
    </w:p>
    <w:p>
      <w:pPr>
        <w:pStyle w:val="BodyText"/>
      </w:pPr>
      <w:r>
        <w:rPr>
          <w:bCs/>
          <w:rFonts w:ascii="Nimbus Sans" w:hAnsi="Nimbus Sans" w:eastAsia="Nimbus Sans" w:cs="Nimbus Sans"/>
          <w:b/>
        </w:rPr>
        <w:t xml:space="preserve">Counsel/reviewer:</w:t>
      </w:r>
      <w:r>
        <w:rPr>
          <w:rFonts w:ascii="Nimbus Sans" w:hAnsi="Nimbus Sans" w:eastAsia="Nimbus Sans" w:cs="Nimbus Sans"/>
        </w:rPr>
        <w:t xml:space="preserve"> </w:t>
      </w:r>
      <w:r>
        <w:rPr>
          <w:rFonts w:ascii="Nimbus Sans" w:hAnsi="Nimbus Sans" w:eastAsia="Nimbus Sans" w:cs="Nimbus Sans"/>
        </w:rPr>
        <w:t xml:space="preserve">__________________</w:t>
      </w:r>
      <w:r>
        <w:rPr>
          <w:rFonts w:ascii="Nimbus Sans" w:hAnsi="Nimbus Sans" w:eastAsia="Nimbus Sans" w:cs="Nimbus Sans"/>
        </w:rPr>
        <w:t xml:space="preserve"> </w:t>
      </w:r>
      <w:r>
        <w:rPr>
          <w:bCs/>
          <w:rFonts w:ascii="Nimbus Sans" w:hAnsi="Nimbus Sans" w:eastAsia="Nimbus Sans" w:cs="Nimbus Sans"/>
          <w:b/>
        </w:rPr>
        <w:t xml:space="preserve">Date:</w:t>
      </w:r>
      <w:r>
        <w:rPr>
          <w:rFonts w:ascii="Nimbus Sans" w:hAnsi="Nimbus Sans" w:eastAsia="Nimbus Sans" w:cs="Nimbus Sans"/>
        </w:rPr>
        <w:t xml:space="preserve"> </w:t>
      </w:r>
      <w:r>
        <w:rPr>
          <w:rFonts w:ascii="Nimbus Sans" w:hAnsi="Nimbus Sans" w:eastAsia="Nimbus Sans" w:cs="Nimbus Sans"/>
        </w:rPr>
        <w:t xml:space="preserve">__________</w:t>
      </w:r>
      <w:r>
        <w:rPr>
          <w:rFonts w:ascii="Nimbus Sans" w:hAnsi="Nimbus Sans" w:eastAsia="Nimbus Sans" w:cs="Nimbus Sans"/>
        </w:rPr>
        <w:br/>
      </w:r>
      <w:r>
        <w:rPr>
          <w:bCs/>
          <w:rFonts w:ascii="Nimbus Sans" w:hAnsi="Nimbus Sans" w:eastAsia="Nimbus Sans" w:cs="Nimbus Sans"/>
          <w:b/>
        </w:rPr>
        <w:t xml:space="preserve">Client and scope:</w:t>
      </w:r>
      <w:r>
        <w:rPr>
          <w:rFonts w:ascii="Nimbus Sans" w:hAnsi="Nimbus Sans" w:eastAsia="Nimbus Sans" w:cs="Nimbus Sans"/>
        </w:rPr>
        <w:t xml:space="preserve"> </w:t>
      </w:r>
      <w:r>
        <w:rPr>
          <w:rFonts w:ascii="Nimbus Sans" w:hAnsi="Nimbus Sans" w:eastAsia="Nimbus Sans" w:cs="Nimbus Sans"/>
        </w:rPr>
        <w:t xml:space="preserve">________________________________________________</w:t>
      </w:r>
      <w:r>
        <w:rPr>
          <w:rFonts w:ascii="Nimbus Sans" w:hAnsi="Nimbus Sans" w:eastAsia="Nimbus Sans" w:cs="Nimbus Sans"/>
        </w:rPr>
        <w:br/>
      </w:r>
      <w:r>
        <w:rPr>
          <w:bCs/>
          <w:rFonts w:ascii="Nimbus Sans" w:hAnsi="Nimbus Sans" w:eastAsia="Nimbus Sans" w:cs="Nimbus Sans"/>
          <w:b/>
        </w:rPr>
        <w:t xml:space="preserve">Assumptions, unresolved issues, and conditions:</w:t>
      </w:r>
      <w:r>
        <w:rPr>
          <w:rFonts w:ascii="Nimbus Sans" w:hAnsi="Nimbus Sans" w:eastAsia="Nimbus Sans" w:cs="Nimbus Sans"/>
        </w:rPr>
        <w:t xml:space="preserve"> </w:t>
      </w:r>
      <w:r>
        <w:rPr>
          <w:rFonts w:ascii="Nimbus Sans" w:hAnsi="Nimbus Sans" w:eastAsia="Nimbus Sans" w:cs="Nimbus Sans"/>
        </w:rPr>
        <w:t xml:space="preserve">____________________</w:t>
      </w:r>
    </w:p>
    <w:bookmarkEnd w:id="117"/>
    <w:bookmarkEnd w:id="118"/>
    <w:bookmarkStart w:id="119" w:name="X3b5b9a447e23218b72f36c752b7ebd55bc0690c"/>
    <w:p>
      <w:pPr>
        <w:pStyle w:val="Heading2"/>
      </w:pPr>
      <w:r>
        <w:rPr>
          <w:rFonts w:ascii="Nimbus Sans" w:hAnsi="Nimbus Sans" w:eastAsia="Nimbus Sans" w:cs="Nimbus Sans"/>
        </w:rPr>
        <w:t xml:space="preserve">37. Current outside-counsel red-team disposition</w:t>
      </w:r>
    </w:p>
    <w:p>
      <w:pPr>
        <w:numPr>
          <w:ilvl w:val="0"/>
          <w:numId w:val="1020"/>
        </w:numPr>
        <w:pStyle w:val="Compact"/>
        <w:spacing w:after="120" w:line="280" w:lineRule="auto"/>
      </w:pPr>
      <w:r>
        <w:rPr>
          <w:bCs/>
          <w:rFonts w:ascii="Nimbus Sans" w:hAnsi="Nimbus Sans" w:eastAsia="Nimbus Sans" w:cs="Nimbus Sans"/>
          <w:b/>
        </w:rPr>
        <w:t xml:space="preserve">Approve:</w:t>
      </w:r>
      <w:r>
        <w:rPr>
          <w:rFonts w:ascii="Nimbus Sans" w:hAnsi="Nimbus Sans" w:eastAsia="Nimbus Sans" w:cs="Nimbus Sans"/>
        </w:rPr>
        <w:t xml:space="preserve"> </w:t>
      </w:r>
      <w:r>
        <w:rPr>
          <w:rFonts w:ascii="Nimbus Sans" w:hAnsi="Nimbus Sans" w:eastAsia="Nimbus Sans" w:cs="Nimbus Sans"/>
        </w:rPr>
        <w:t xml:space="preserve">repository drafting, blank forms, synthetic examples, and Phase 0 tabletop testing.</w:t>
      </w:r>
    </w:p>
    <w:p>
      <w:pPr>
        <w:numPr>
          <w:ilvl w:val="0"/>
          <w:numId w:val="1020"/>
        </w:numPr>
        <w:pStyle w:val="Compact"/>
        <w:spacing w:after="120" w:line="280" w:lineRule="auto"/>
      </w:pPr>
      <w:r>
        <w:rPr>
          <w:bCs/>
          <w:rFonts w:ascii="Nimbus Sans" w:hAnsi="Nimbus Sans" w:eastAsia="Nimbus Sans" w:cs="Nimbus Sans"/>
          <w:b/>
        </w:rPr>
        <w:t xml:space="preserve">Revise before use:</w:t>
      </w:r>
      <w:r>
        <w:rPr>
          <w:rFonts w:ascii="Nimbus Sans" w:hAnsi="Nimbus Sans" w:eastAsia="Nimbus Sans" w:cs="Nimbus Sans"/>
        </w:rPr>
        <w:t xml:space="preserve"> </w:t>
      </w:r>
      <w:r>
        <w:rPr>
          <w:rFonts w:ascii="Nimbus Sans" w:hAnsi="Nimbus Sans" w:eastAsia="Nimbus Sans" w:cs="Nimbus Sans"/>
        </w:rPr>
        <w:t xml:space="preserve">any nonpublic session involving a real person, operative oath, recording, or identifiable data.</w:t>
      </w:r>
    </w:p>
    <w:p>
      <w:pPr>
        <w:numPr>
          <w:ilvl w:val="0"/>
          <w:numId w:val="1020"/>
        </w:numPr>
        <w:pStyle w:val="Compact"/>
        <w:spacing w:after="120" w:line="280" w:lineRule="auto"/>
      </w:pPr>
      <w:r>
        <w:rPr>
          <w:bCs/>
          <w:rFonts w:ascii="Nimbus Sans" w:hAnsi="Nimbus Sans" w:eastAsia="Nimbus Sans" w:cs="Nimbus Sans"/>
          <w:b/>
        </w:rPr>
        <w:t xml:space="preserve">Block:</w:t>
      </w:r>
      <w:r>
        <w:rPr>
          <w:rFonts w:ascii="Nimbus Sans" w:hAnsi="Nimbus Sans" w:eastAsia="Nimbus Sans" w:cs="Nimbus Sans"/>
        </w:rPr>
        <w:t xml:space="preserve"> </w:t>
      </w:r>
      <w:r>
        <w:rPr>
          <w:rFonts w:ascii="Nimbus Sans" w:hAnsi="Nimbus Sans" w:eastAsia="Nimbus Sans" w:cs="Nimbus Sans"/>
        </w:rPr>
        <w:t xml:space="preserve">named/public use, government partnership, candidate coordination, remote/interstate execution, or claims that the packet is airtight, universally valid, perjury-backed, government-verified, or automatically admissible.</w:t>
      </w:r>
    </w:p>
    <w:p>
      <w:pPr>
        <w:pStyle w:val="FirstParagraph"/>
      </w:pPr>
      <w:r>
        <w:rPr>
          <w:rFonts w:ascii="Nimbus Sans" w:hAnsi="Nimbus Sans" w:eastAsia="Nimbus Sans" w:cs="Nimbus Sans"/>
        </w:rPr>
        <w:t xml:space="preserve">No model form validates its own execution. Validity and risk depend on the exact participant, proposition, source set, oath, certificate, venue, notary, consent, custody, record use, and publication facts.</w:t>
      </w:r>
    </w:p>
    <w:bookmarkEnd w:id="119"/>
    <w:bookmarkEnd w:id="120"/>
    <w:bookmarkStart w:id="143" w:name="X0eda1bfefc82d8289c617d56d979514d1d4b194"/>
    <w:p>
      <w:pPr>
        <w:pStyle w:val="Heading1"/>
      </w:pPr>
      <w:r>
        <w:rPr>
          <w:rFonts w:ascii="Nimbus Sans" w:hAnsi="Nimbus Sans" w:eastAsia="Nimbus Sans" w:cs="Nimbus Sans"/>
        </w:rPr>
        <w:t xml:space="preserve">VIII. Authorities and research architecture</w:t>
      </w:r>
    </w:p>
    <w:bookmarkStart w:id="140" w:name="Xdbde3805987d1dcf89edfa966fb3d8d4fd1616a"/>
    <w:p>
      <w:pPr>
        <w:pStyle w:val="Heading2"/>
      </w:pPr>
      <w:r>
        <w:rPr>
          <w:rFonts w:ascii="Nimbus Sans" w:hAnsi="Nimbus Sans" w:eastAsia="Nimbus Sans" w:cs="Nimbus Sans"/>
        </w:rPr>
        <w:t xml:space="preserve">38. Core primary authorities</w:t>
      </w:r>
    </w:p>
    <w:bookmarkStart w:id="128" w:name="X0e707d9bfc68fb9672b2950d117c44c3045abdb"/>
    <w:p>
      <w:pPr>
        <w:pStyle w:val="Heading3"/>
      </w:pPr>
      <w:r>
        <w:rPr>
          <w:rFonts w:ascii="Nimbus Sans" w:hAnsi="Nimbus Sans" w:eastAsia="Nimbus Sans" w:cs="Nimbus Sans"/>
        </w:rPr>
        <w:t xml:space="preserve">Washington notary, oath, and criminal statutes</w:t>
      </w:r>
    </w:p>
    <w:p>
      <w:pPr>
        <w:numPr>
          <w:ilvl w:val="0"/>
          <w:numId w:val="1021"/>
        </w:numPr>
        <w:pStyle w:val="Compact"/>
        <w:spacing w:after="120" w:line="280" w:lineRule="auto"/>
      </w:pPr>
      <w:hyperlink r:id="rId121">
        <w:r>
          <w:rPr>
            <w:rStyle w:val="Hyperlink"/>
          </w:rPr>
          <w:t xml:space="preserve">Chapter 42.45 RCW — Revised Uniform Law on Notarial Acts</w:t>
        </w:r>
      </w:hyperlink>
    </w:p>
    <w:p>
      <w:pPr>
        <w:numPr>
          <w:ilvl w:val="0"/>
          <w:numId w:val="1021"/>
        </w:numPr>
        <w:pStyle w:val="Compact"/>
        <w:spacing w:after="120" w:line="280" w:lineRule="auto"/>
      </w:pPr>
      <w:hyperlink r:id="rId90">
        <w:r>
          <w:rPr>
            <w:rStyle w:val="Hyperlink"/>
          </w:rPr>
          <w:t xml:space="preserve">RCW 42.45.130 — certificate requirements</w:t>
        </w:r>
      </w:hyperlink>
    </w:p>
    <w:p>
      <w:pPr>
        <w:numPr>
          <w:ilvl w:val="0"/>
          <w:numId w:val="1021"/>
        </w:numPr>
        <w:pStyle w:val="Compact"/>
        <w:spacing w:after="120" w:line="280" w:lineRule="auto"/>
      </w:pPr>
      <w:hyperlink r:id="rId91">
        <w:r>
          <w:rPr>
            <w:rStyle w:val="Hyperlink"/>
          </w:rPr>
          <w:t xml:space="preserve">RCW 42.45.140(3) — verification short form</w:t>
        </w:r>
      </w:hyperlink>
    </w:p>
    <w:p>
      <w:pPr>
        <w:numPr>
          <w:ilvl w:val="0"/>
          <w:numId w:val="1021"/>
        </w:numPr>
        <w:pStyle w:val="Compact"/>
        <w:spacing w:after="120" w:line="280" w:lineRule="auto"/>
      </w:pPr>
      <w:hyperlink r:id="rId122">
        <w:r>
          <w:rPr>
            <w:rStyle w:val="Hyperlink"/>
          </w:rPr>
          <w:t xml:space="preserve">RCW 42.45.180 — journal; attorney-notary exception</w:t>
        </w:r>
      </w:hyperlink>
    </w:p>
    <w:p>
      <w:pPr>
        <w:numPr>
          <w:ilvl w:val="0"/>
          <w:numId w:val="1021"/>
        </w:numPr>
        <w:pStyle w:val="Compact"/>
        <w:spacing w:after="120" w:line="280" w:lineRule="auto"/>
      </w:pPr>
      <w:hyperlink r:id="rId123">
        <w:r>
          <w:rPr>
            <w:rStyle w:val="Hyperlink"/>
          </w:rPr>
          <w:t xml:space="preserve">RCW 42.45.230 — nonlawyer notary limitations</w:t>
        </w:r>
      </w:hyperlink>
    </w:p>
    <w:p>
      <w:pPr>
        <w:numPr>
          <w:ilvl w:val="0"/>
          <w:numId w:val="1021"/>
        </w:numPr>
        <w:pStyle w:val="Compact"/>
        <w:spacing w:after="120" w:line="280" w:lineRule="auto"/>
      </w:pPr>
      <w:hyperlink r:id="rId124">
        <w:r>
          <w:rPr>
            <w:rStyle w:val="Hyperlink"/>
          </w:rPr>
          <w:t xml:space="preserve">RCW 5.28.010 — officers authorized to administer oaths</w:t>
        </w:r>
      </w:hyperlink>
    </w:p>
    <w:p>
      <w:pPr>
        <w:numPr>
          <w:ilvl w:val="0"/>
          <w:numId w:val="1021"/>
        </w:numPr>
        <w:pStyle w:val="Compact"/>
        <w:spacing w:after="120" w:line="280" w:lineRule="auto"/>
      </w:pPr>
      <w:hyperlink r:id="rId125">
        <w:r>
          <w:rPr>
            <w:rStyle w:val="Hyperlink"/>
          </w:rPr>
          <w:t xml:space="preserve">Chapter 9A.72 RCW — perjury and false swearing</w:t>
        </w:r>
      </w:hyperlink>
    </w:p>
    <w:p>
      <w:pPr>
        <w:numPr>
          <w:ilvl w:val="0"/>
          <w:numId w:val="1021"/>
        </w:numPr>
        <w:pStyle w:val="Compact"/>
        <w:spacing w:after="120" w:line="280" w:lineRule="auto"/>
      </w:pPr>
      <w:hyperlink r:id="rId126">
        <w:r>
          <w:rPr>
            <w:rStyle w:val="Hyperlink"/>
          </w:rPr>
          <w:t xml:space="preserve">RCW 9A.04.030 — territorial jurisdiction</w:t>
        </w:r>
      </w:hyperlink>
    </w:p>
    <w:p>
      <w:pPr>
        <w:numPr>
          <w:ilvl w:val="0"/>
          <w:numId w:val="1021"/>
        </w:numPr>
        <w:pStyle w:val="Compact"/>
        <w:spacing w:after="120" w:line="280" w:lineRule="auto"/>
      </w:pPr>
      <w:hyperlink r:id="rId127">
        <w:r>
          <w:rPr>
            <w:rStyle w:val="Hyperlink"/>
          </w:rPr>
          <w:t xml:space="preserve">Chapter 308-30 WAC — notaries public</w:t>
        </w:r>
      </w:hyperlink>
    </w:p>
    <w:bookmarkEnd w:id="128"/>
    <w:bookmarkStart w:id="136" w:name="Xec7fc1240702e0143c53fe58701ebad2ef1a44b"/>
    <w:p>
      <w:pPr>
        <w:pStyle w:val="Heading3"/>
      </w:pPr>
      <w:r>
        <w:rPr>
          <w:rFonts w:ascii="Nimbus Sans" w:hAnsi="Nimbus Sans" w:eastAsia="Nimbus Sans" w:cs="Nimbus Sans"/>
        </w:rPr>
        <w:t xml:space="preserve">Publication, government, records, and process</w:t>
      </w:r>
    </w:p>
    <w:p>
      <w:pPr>
        <w:numPr>
          <w:ilvl w:val="0"/>
          <w:numId w:val="1022"/>
        </w:numPr>
        <w:pStyle w:val="Compact"/>
        <w:spacing w:after="120" w:line="280" w:lineRule="auto"/>
      </w:pPr>
      <w:hyperlink r:id="rId129">
        <w:r>
          <w:rPr>
            <w:rStyle w:val="Hyperlink"/>
          </w:rPr>
          <w:t xml:space="preserve">RCW 9.73.030 — recording consent</w:t>
        </w:r>
      </w:hyperlink>
    </w:p>
    <w:p>
      <w:pPr>
        <w:numPr>
          <w:ilvl w:val="0"/>
          <w:numId w:val="1022"/>
        </w:numPr>
        <w:pStyle w:val="Compact"/>
        <w:spacing w:after="120" w:line="280" w:lineRule="auto"/>
      </w:pPr>
      <w:hyperlink r:id="rId130">
        <w:r>
          <w:rPr>
            <w:rStyle w:val="Hyperlink"/>
          </w:rPr>
          <w:t xml:space="preserve">Chapter 63.60 RCW — personality rights</w:t>
        </w:r>
      </w:hyperlink>
    </w:p>
    <w:p>
      <w:pPr>
        <w:numPr>
          <w:ilvl w:val="0"/>
          <w:numId w:val="1022"/>
        </w:numPr>
        <w:pStyle w:val="Compact"/>
        <w:spacing w:after="120" w:line="280" w:lineRule="auto"/>
      </w:pPr>
      <w:hyperlink r:id="rId99">
        <w:r>
          <w:rPr>
            <w:rStyle w:val="Hyperlink"/>
          </w:rPr>
          <w:t xml:space="preserve">Washington Rules of Evidence</w:t>
        </w:r>
      </w:hyperlink>
    </w:p>
    <w:p>
      <w:pPr>
        <w:numPr>
          <w:ilvl w:val="0"/>
          <w:numId w:val="1022"/>
        </w:numPr>
        <w:pStyle w:val="Compact"/>
        <w:spacing w:after="120" w:line="280" w:lineRule="auto"/>
      </w:pPr>
      <w:hyperlink r:id="rId131">
        <w:r>
          <w:rPr>
            <w:rStyle w:val="Hyperlink"/>
          </w:rPr>
          <w:t xml:space="preserve">RCW 5.68.010 — news-media shield</w:t>
        </w:r>
      </w:hyperlink>
    </w:p>
    <w:p>
      <w:pPr>
        <w:numPr>
          <w:ilvl w:val="0"/>
          <w:numId w:val="1022"/>
        </w:numPr>
        <w:pStyle w:val="Compact"/>
        <w:spacing w:after="120" w:line="280" w:lineRule="auto"/>
      </w:pPr>
      <w:hyperlink r:id="rId132">
        <w:r>
          <w:rPr>
            <w:rStyle w:val="Hyperlink"/>
          </w:rPr>
          <w:t xml:space="preserve">Chapter 4.105 RCW — Uniform Public Expression Protection Act</w:t>
        </w:r>
      </w:hyperlink>
    </w:p>
    <w:p>
      <w:pPr>
        <w:numPr>
          <w:ilvl w:val="0"/>
          <w:numId w:val="1022"/>
        </w:numPr>
        <w:pStyle w:val="Compact"/>
        <w:spacing w:after="120" w:line="280" w:lineRule="auto"/>
      </w:pPr>
      <w:hyperlink r:id="rId42">
        <w:r>
          <w:rPr>
            <w:rStyle w:val="Hyperlink"/>
          </w:rPr>
          <w:t xml:space="preserve">Chapter 42.56 RCW — Public Records Act</w:t>
        </w:r>
      </w:hyperlink>
    </w:p>
    <w:p>
      <w:pPr>
        <w:numPr>
          <w:ilvl w:val="0"/>
          <w:numId w:val="1022"/>
        </w:numPr>
        <w:pStyle w:val="Compact"/>
        <w:spacing w:after="120" w:line="280" w:lineRule="auto"/>
      </w:pPr>
      <w:hyperlink r:id="rId45">
        <w:r>
          <w:rPr>
            <w:rStyle w:val="Hyperlink"/>
          </w:rPr>
          <w:t xml:space="preserve">Chapter 42.52 RCW — Ethics in Public Service</w:t>
        </w:r>
      </w:hyperlink>
    </w:p>
    <w:p>
      <w:pPr>
        <w:numPr>
          <w:ilvl w:val="0"/>
          <w:numId w:val="1022"/>
        </w:numPr>
        <w:pStyle w:val="Compact"/>
        <w:spacing w:after="120" w:line="280" w:lineRule="auto"/>
      </w:pPr>
      <w:hyperlink r:id="rId47">
        <w:r>
          <w:rPr>
            <w:rStyle w:val="Hyperlink"/>
          </w:rPr>
          <w:t xml:space="preserve">Chapter 39.26 RCW — procurement</w:t>
        </w:r>
      </w:hyperlink>
    </w:p>
    <w:p>
      <w:pPr>
        <w:numPr>
          <w:ilvl w:val="0"/>
          <w:numId w:val="1022"/>
        </w:numPr>
        <w:pStyle w:val="Compact"/>
        <w:spacing w:after="120" w:line="280" w:lineRule="auto"/>
      </w:pPr>
      <w:hyperlink r:id="rId49">
        <w:r>
          <w:rPr>
            <w:rStyle w:val="Hyperlink"/>
          </w:rPr>
          <w:t xml:space="preserve">Chapter 40.14 RCW — public retention</w:t>
        </w:r>
      </w:hyperlink>
    </w:p>
    <w:p>
      <w:pPr>
        <w:numPr>
          <w:ilvl w:val="0"/>
          <w:numId w:val="1022"/>
        </w:numPr>
        <w:pStyle w:val="Compact"/>
        <w:spacing w:after="120" w:line="280" w:lineRule="auto"/>
      </w:pPr>
      <w:hyperlink r:id="rId133">
        <w:r>
          <w:rPr>
            <w:rStyle w:val="Hyperlink"/>
          </w:rPr>
          <w:t xml:space="preserve">Chapter 19.375 RCW — biometric identifiers</w:t>
        </w:r>
      </w:hyperlink>
    </w:p>
    <w:p>
      <w:pPr>
        <w:numPr>
          <w:ilvl w:val="0"/>
          <w:numId w:val="1022"/>
        </w:numPr>
        <w:pStyle w:val="Compact"/>
        <w:spacing w:after="120" w:line="280" w:lineRule="auto"/>
      </w:pPr>
      <w:hyperlink r:id="rId134">
        <w:r>
          <w:rPr>
            <w:rStyle w:val="Hyperlink"/>
          </w:rPr>
          <w:t xml:space="preserve">Chapter 19.373 RCW — consumer health data</w:t>
        </w:r>
      </w:hyperlink>
    </w:p>
    <w:p>
      <w:pPr>
        <w:numPr>
          <w:ilvl w:val="0"/>
          <w:numId w:val="1022"/>
        </w:numPr>
        <w:pStyle w:val="Compact"/>
        <w:spacing w:after="120" w:line="280" w:lineRule="auto"/>
      </w:pPr>
      <w:hyperlink r:id="rId135">
        <w:r>
          <w:rPr>
            <w:rStyle w:val="Hyperlink"/>
          </w:rPr>
          <w:t xml:space="preserve">Chapter 19.255 RCW — private-sector breach notification</w:t>
        </w:r>
      </w:hyperlink>
    </w:p>
    <w:bookmarkEnd w:id="136"/>
    <w:bookmarkStart w:id="137" w:name="state-action-and-open-government-cases"/>
    <w:p>
      <w:pPr>
        <w:pStyle w:val="Heading3"/>
      </w:pPr>
      <w:r>
        <w:rPr>
          <w:rFonts w:ascii="Nimbus Sans" w:hAnsi="Nimbus Sans" w:eastAsia="Nimbus Sans" w:cs="Nimbus Sans"/>
        </w:rPr>
        <w:t xml:space="preserve">State action and open-government cases</w:t>
      </w:r>
    </w:p>
    <w:p>
      <w:pPr>
        <w:numPr>
          <w:ilvl w:val="0"/>
          <w:numId w:val="1023"/>
        </w:numPr>
        <w:pStyle w:val="Compact"/>
        <w:spacing w:after="120" w:line="280" w:lineRule="auto"/>
      </w:pPr>
      <w:hyperlink r:id="rId35">
        <w:r>
          <w:rPr>
            <w:rStyle w:val="Hyperlink"/>
            <w:iCs/>
            <w:i/>
          </w:rPr>
          <w:t xml:space="preserve">Manhattan Community Access Corp. v. Halleck</w:t>
        </w:r>
        <w:r>
          <w:rPr>
            <w:rStyle w:val="Hyperlink"/>
          </w:rPr>
          <w:t xml:space="preserve">, 587 U.S. 802 (2019)</w:t>
        </w:r>
      </w:hyperlink>
    </w:p>
    <w:p>
      <w:pPr>
        <w:numPr>
          <w:ilvl w:val="0"/>
          <w:numId w:val="1023"/>
        </w:numPr>
        <w:pStyle w:val="Compact"/>
        <w:spacing w:after="120" w:line="280" w:lineRule="auto"/>
      </w:pPr>
      <w:hyperlink r:id="rId36">
        <w:r>
          <w:rPr>
            <w:rStyle w:val="Hyperlink"/>
            <w:iCs/>
            <w:i/>
          </w:rPr>
          <w:t xml:space="preserve">Lugar v. Edmondson Oil Co.</w:t>
        </w:r>
        <w:r>
          <w:rPr>
            <w:rStyle w:val="Hyperlink"/>
          </w:rPr>
          <w:t xml:space="preserve">, 457 U.S. 922 (1982)</w:t>
        </w:r>
      </w:hyperlink>
    </w:p>
    <w:p>
      <w:pPr>
        <w:numPr>
          <w:ilvl w:val="0"/>
          <w:numId w:val="1023"/>
        </w:numPr>
        <w:pStyle w:val="Compact"/>
        <w:spacing w:after="120" w:line="280" w:lineRule="auto"/>
      </w:pPr>
      <w:hyperlink r:id="rId37">
        <w:r>
          <w:rPr>
            <w:rStyle w:val="Hyperlink"/>
            <w:iCs/>
            <w:i/>
          </w:rPr>
          <w:t xml:space="preserve">Blum v. Yaretsky</w:t>
        </w:r>
        <w:r>
          <w:rPr>
            <w:rStyle w:val="Hyperlink"/>
          </w:rPr>
          <w:t xml:space="preserve">, 457 U.S. 991 (1982)</w:t>
        </w:r>
      </w:hyperlink>
    </w:p>
    <w:p>
      <w:pPr>
        <w:numPr>
          <w:ilvl w:val="0"/>
          <w:numId w:val="1023"/>
        </w:numPr>
        <w:pStyle w:val="Compact"/>
        <w:spacing w:after="120" w:line="280" w:lineRule="auto"/>
      </w:pPr>
      <w:hyperlink r:id="rId38">
        <w:r>
          <w:rPr>
            <w:rStyle w:val="Hyperlink"/>
            <w:iCs/>
            <w:i/>
          </w:rPr>
          <w:t xml:space="preserve">Rendell-Baker v. Kohn</w:t>
        </w:r>
        <w:r>
          <w:rPr>
            <w:rStyle w:val="Hyperlink"/>
          </w:rPr>
          <w:t xml:space="preserve">, 457 U.S. 830 (1982)</w:t>
        </w:r>
      </w:hyperlink>
    </w:p>
    <w:p>
      <w:pPr>
        <w:numPr>
          <w:ilvl w:val="0"/>
          <w:numId w:val="1023"/>
        </w:numPr>
        <w:pStyle w:val="Compact"/>
        <w:spacing w:after="120" w:line="280" w:lineRule="auto"/>
      </w:pPr>
      <w:hyperlink r:id="rId39">
        <w:r>
          <w:rPr>
            <w:rStyle w:val="Hyperlink"/>
            <w:iCs/>
            <w:i/>
          </w:rPr>
          <w:t xml:space="preserve">Brentwood Academy v. TSSAA</w:t>
        </w:r>
        <w:r>
          <w:rPr>
            <w:rStyle w:val="Hyperlink"/>
          </w:rPr>
          <w:t xml:space="preserve">, 531 U.S. 288 (2001)</w:t>
        </w:r>
      </w:hyperlink>
    </w:p>
    <w:p>
      <w:pPr>
        <w:numPr>
          <w:ilvl w:val="0"/>
          <w:numId w:val="1023"/>
        </w:numPr>
        <w:pStyle w:val="Compact"/>
        <w:spacing w:after="120" w:line="280" w:lineRule="auto"/>
      </w:pPr>
      <w:hyperlink r:id="rId43">
        <w:r>
          <w:rPr>
            <w:rStyle w:val="Hyperlink"/>
            <w:iCs/>
            <w:i/>
          </w:rPr>
          <w:t xml:space="preserve">Nissen v. Pierce County</w:t>
        </w:r>
        <w:r>
          <w:rPr>
            <w:rStyle w:val="Hyperlink"/>
          </w:rPr>
          <w:t xml:space="preserve">, 183 Wn.2d 863 (2015)</w:t>
        </w:r>
      </w:hyperlink>
    </w:p>
    <w:p>
      <w:pPr>
        <w:numPr>
          <w:ilvl w:val="0"/>
          <w:numId w:val="1023"/>
        </w:numPr>
        <w:pStyle w:val="Compact"/>
        <w:spacing w:after="120" w:line="280" w:lineRule="auto"/>
      </w:pPr>
      <w:hyperlink r:id="rId44">
        <w:r>
          <w:rPr>
            <w:rStyle w:val="Hyperlink"/>
            <w:iCs/>
            <w:i/>
          </w:rPr>
          <w:t xml:space="preserve">Horvath v. DBIA Services</w:t>
        </w:r>
        <w:r>
          <w:rPr>
            <w:rStyle w:val="Hyperlink"/>
          </w:rPr>
          <w:t xml:space="preserve">, No. 103339-7 (Wash. Dec. 18, 2025)</w:t>
        </w:r>
      </w:hyperlink>
    </w:p>
    <w:bookmarkEnd w:id="137"/>
    <w:bookmarkStart w:id="139" w:name="research-regulation"/>
    <w:p>
      <w:pPr>
        <w:pStyle w:val="Heading3"/>
      </w:pPr>
      <w:r>
        <w:rPr>
          <w:rFonts w:ascii="Nimbus Sans" w:hAnsi="Nimbus Sans" w:eastAsia="Nimbus Sans" w:cs="Nimbus Sans"/>
        </w:rPr>
        <w:t xml:space="preserve">Research regulation</w:t>
      </w:r>
    </w:p>
    <w:p>
      <w:pPr>
        <w:numPr>
          <w:ilvl w:val="0"/>
          <w:numId w:val="1024"/>
        </w:numPr>
        <w:pStyle w:val="Compact"/>
        <w:spacing w:after="120" w:line="280" w:lineRule="auto"/>
      </w:pPr>
      <w:hyperlink r:id="rId138">
        <w:r>
          <w:rPr>
            <w:rStyle w:val="Hyperlink"/>
          </w:rPr>
          <w:t xml:space="preserve">45 CFR part 46 — Common Rule</w:t>
        </w:r>
      </w:hyperlink>
    </w:p>
    <w:p>
      <w:pPr>
        <w:numPr>
          <w:ilvl w:val="0"/>
          <w:numId w:val="1024"/>
        </w:numPr>
        <w:pStyle w:val="Compact"/>
        <w:spacing w:after="120" w:line="280" w:lineRule="auto"/>
      </w:pPr>
      <w:hyperlink r:id="rId108">
        <w:r>
          <w:rPr>
            <w:rStyle w:val="Hyperlink"/>
          </w:rPr>
          <w:t xml:space="preserve">HHS OHRP 2018 decision charts</w:t>
        </w:r>
      </w:hyperlink>
    </w:p>
    <w:p>
      <w:pPr>
        <w:numPr>
          <w:ilvl w:val="0"/>
          <w:numId w:val="1024"/>
        </w:numPr>
        <w:pStyle w:val="Compact"/>
        <w:spacing w:after="120" w:line="280" w:lineRule="auto"/>
      </w:pPr>
      <w:hyperlink r:id="rId107">
        <w:r>
          <w:rPr>
            <w:rStyle w:val="Hyperlink"/>
          </w:rPr>
          <w:t xml:space="preserve">HHS OHRP lesson: What is Human Subjects Research?</w:t>
        </w:r>
      </w:hyperlink>
    </w:p>
    <w:bookmarkEnd w:id="139"/>
    <w:bookmarkEnd w:id="140"/>
    <w:bookmarkStart w:id="141" w:name="Xb27df453d9e69a68efcbb632fa51d0272cc6eb6"/>
    <w:p>
      <w:pPr>
        <w:pStyle w:val="Heading2"/>
      </w:pPr>
      <w:r>
        <w:rPr>
          <w:rFonts w:ascii="Nimbus Sans" w:hAnsi="Nimbus Sans" w:eastAsia="Nimbus Sans" w:cs="Nimbus Sans"/>
        </w:rPr>
        <w:t xml:space="preserve">39. Citation-control warnings</w:t>
      </w:r>
    </w:p>
    <w:p>
      <w:pPr>
        <w:numPr>
          <w:ilvl w:val="0"/>
          <w:numId w:val="1025"/>
        </w:numPr>
        <w:pStyle w:val="Compact"/>
        <w:spacing w:after="120" w:line="280" w:lineRule="auto"/>
      </w:pPr>
      <w:r>
        <w:rPr>
          <w:rFonts w:ascii="Nimbus Sans" w:hAnsi="Nimbus Sans" w:eastAsia="Nimbus Sans" w:cs="Nimbus Sans"/>
        </w:rPr>
        <w:t xml:space="preserve">Run Shepard’s/KeyCite or an equivalent current citator before live use.</w:t>
      </w:r>
    </w:p>
    <w:p>
      <w:pPr>
        <w:numPr>
          <w:ilvl w:val="0"/>
          <w:numId w:val="1025"/>
        </w:numPr>
        <w:pStyle w:val="Compact"/>
        <w:spacing w:after="120" w:line="280" w:lineRule="auto"/>
      </w:pPr>
      <w:r>
        <w:rPr>
          <w:rFonts w:ascii="Nimbus Sans" w:hAnsi="Nimbus Sans" w:eastAsia="Nimbus Sans" w:cs="Nimbus Sans"/>
        </w:rPr>
        <w:t xml:space="preserve">Verify official reporter text and pinpoints for</w:t>
      </w:r>
      <w:r>
        <w:rPr>
          <w:rFonts w:ascii="Nimbus Sans" w:hAnsi="Nimbus Sans" w:eastAsia="Nimbus Sans" w:cs="Nimbus Sans"/>
        </w:rPr>
        <w:t xml:space="preserve"> </w:t>
      </w:r>
      <w:r>
        <w:rPr>
          <w:iCs/>
          <w:rFonts w:ascii="Nimbus Sans" w:hAnsi="Nimbus Sans" w:eastAsia="Nimbus Sans" w:cs="Nimbus Sans"/>
          <w:i/>
        </w:rPr>
        <w:t xml:space="preserve">Lewis</w:t>
      </w:r>
      <w:r>
        <w:rPr>
          <w:rFonts w:ascii="Nimbus Sans" w:hAnsi="Nimbus Sans" w:eastAsia="Nimbus Sans" w:cs="Nimbus Sans"/>
        </w:rPr>
        <w:t xml:space="preserve">,</w:t>
      </w:r>
      <w:r>
        <w:rPr>
          <w:rFonts w:ascii="Nimbus Sans" w:hAnsi="Nimbus Sans" w:eastAsia="Nimbus Sans" w:cs="Nimbus Sans"/>
        </w:rPr>
        <w:t xml:space="preserve"> </w:t>
      </w:r>
      <w:r>
        <w:rPr>
          <w:iCs/>
          <w:rFonts w:ascii="Nimbus Sans" w:hAnsi="Nimbus Sans" w:eastAsia="Nimbus Sans" w:cs="Nimbus Sans"/>
          <w:i/>
        </w:rPr>
        <w:t xml:space="preserve">Smith</w:t>
      </w:r>
      <w:r>
        <w:rPr>
          <w:rFonts w:ascii="Nimbus Sans" w:hAnsi="Nimbus Sans" w:eastAsia="Nimbus Sans" w:cs="Nimbus Sans"/>
        </w:rPr>
        <w:t xml:space="preserve">,</w:t>
      </w:r>
      <w:r>
        <w:rPr>
          <w:rFonts w:ascii="Nimbus Sans" w:hAnsi="Nimbus Sans" w:eastAsia="Nimbus Sans" w:cs="Nimbus Sans"/>
        </w:rPr>
        <w:t xml:space="preserve"> </w:t>
      </w:r>
      <w:r>
        <w:rPr>
          <w:iCs/>
          <w:rFonts w:ascii="Nimbus Sans" w:hAnsi="Nimbus Sans" w:eastAsia="Nimbus Sans" w:cs="Nimbus Sans"/>
          <w:i/>
        </w:rPr>
        <w:t xml:space="preserve">Otton</w:t>
      </w:r>
      <w:r>
        <w:rPr>
          <w:rFonts w:ascii="Nimbus Sans" w:hAnsi="Nimbus Sans" w:eastAsia="Nimbus Sans" w:cs="Nimbus Sans"/>
        </w:rPr>
        <w:t xml:space="preserve">,</w:t>
      </w:r>
      <w:r>
        <w:rPr>
          <w:rFonts w:ascii="Nimbus Sans" w:hAnsi="Nimbus Sans" w:eastAsia="Nimbus Sans" w:cs="Nimbus Sans"/>
        </w:rPr>
        <w:t xml:space="preserve"> </w:t>
      </w:r>
      <w:r>
        <w:rPr>
          <w:iCs/>
          <w:rFonts w:ascii="Nimbus Sans" w:hAnsi="Nimbus Sans" w:eastAsia="Nimbus Sans" w:cs="Nimbus Sans"/>
          <w:i/>
        </w:rPr>
        <w:t xml:space="preserve">Pearsall-Stipek</w:t>
      </w:r>
      <w:r>
        <w:rPr>
          <w:rFonts w:ascii="Nimbus Sans" w:hAnsi="Nimbus Sans" w:eastAsia="Nimbus Sans" w:cs="Nimbus Sans"/>
        </w:rPr>
        <w:t xml:space="preserve">,</w:t>
      </w:r>
      <w:r>
        <w:rPr>
          <w:rFonts w:ascii="Nimbus Sans" w:hAnsi="Nimbus Sans" w:eastAsia="Nimbus Sans" w:cs="Nimbus Sans"/>
        </w:rPr>
        <w:t xml:space="preserve"> </w:t>
      </w:r>
      <w:r>
        <w:rPr>
          <w:iCs/>
          <w:rFonts w:ascii="Nimbus Sans" w:hAnsi="Nimbus Sans" w:eastAsia="Nimbus Sans" w:cs="Nimbus Sans"/>
          <w:i/>
        </w:rPr>
        <w:t xml:space="preserve">Hovrud</w:t>
      </w:r>
      <w:r>
        <w:rPr>
          <w:rFonts w:ascii="Nimbus Sans" w:hAnsi="Nimbus Sans" w:eastAsia="Nimbus Sans" w:cs="Nimbus Sans"/>
        </w:rPr>
        <w:t xml:space="preserve">,</w:t>
      </w:r>
      <w:r>
        <w:rPr>
          <w:rFonts w:ascii="Nimbus Sans" w:hAnsi="Nimbus Sans" w:eastAsia="Nimbus Sans" w:cs="Nimbus Sans"/>
        </w:rPr>
        <w:t xml:space="preserve"> </w:t>
      </w:r>
      <w:r>
        <w:rPr>
          <w:iCs/>
          <w:rFonts w:ascii="Nimbus Sans" w:hAnsi="Nimbus Sans" w:eastAsia="Nimbus Sans" w:cs="Nimbus Sans"/>
          <w:i/>
        </w:rPr>
        <w:t xml:space="preserve">Rickert</w:t>
      </w:r>
      <w:r>
        <w:rPr>
          <w:rFonts w:ascii="Nimbus Sans" w:hAnsi="Nimbus Sans" w:eastAsia="Nimbus Sans" w:cs="Nimbus Sans"/>
        </w:rPr>
        <w:t xml:space="preserve">, privacy/defamation cases, and every newly added case.</w:t>
      </w:r>
    </w:p>
    <w:p>
      <w:pPr>
        <w:numPr>
          <w:ilvl w:val="0"/>
          <w:numId w:val="1025"/>
        </w:numPr>
        <w:pStyle w:val="Compact"/>
        <w:spacing w:after="120" w:line="280" w:lineRule="auto"/>
      </w:pPr>
      <w:r>
        <w:rPr>
          <w:rFonts w:ascii="Nimbus Sans" w:hAnsi="Nimbus Sans" w:eastAsia="Nimbus Sans" w:cs="Nimbus Sans"/>
        </w:rPr>
        <w:t xml:space="preserve">Correct</w:t>
      </w:r>
      <w:r>
        <w:rPr>
          <w:rFonts w:ascii="Nimbus Sans" w:hAnsi="Nimbus Sans" w:eastAsia="Nimbus Sans" w:cs="Nimbus Sans"/>
        </w:rPr>
        <w:t xml:space="preserve"> </w:t>
      </w:r>
      <w:r>
        <w:rPr>
          <w:iCs/>
          <w:rFonts w:ascii="Nimbus Sans" w:hAnsi="Nimbus Sans" w:eastAsia="Nimbus Sans" w:cs="Nimbus Sans"/>
          <w:i/>
        </w:rPr>
        <w:t xml:space="preserve">State v. Lewis</w:t>
      </w:r>
      <w:r>
        <w:rPr>
          <w:rFonts w:ascii="Nimbus Sans" w:hAnsi="Nimbus Sans" w:eastAsia="Nimbus Sans" w:cs="Nimbus Sans"/>
        </w:rPr>
        <w:t xml:space="preserve"> </w:t>
      </w:r>
      <w:r>
        <w:rPr>
          <w:rFonts w:ascii="Nimbus Sans" w:hAnsi="Nimbus Sans" w:eastAsia="Nimbus Sans" w:cs="Nimbus Sans"/>
        </w:rPr>
        <w:t xml:space="preserve">to 85 Wn.2d 769, 539 P.2d 677 (1975), subject to final verification.</w:t>
      </w:r>
    </w:p>
    <w:p>
      <w:pPr>
        <w:numPr>
          <w:ilvl w:val="0"/>
          <w:numId w:val="1025"/>
        </w:numPr>
        <w:pStyle w:val="Compact"/>
        <w:spacing w:after="120" w:line="280" w:lineRule="auto"/>
      </w:pPr>
      <w:r>
        <w:rPr>
          <w:rFonts w:ascii="Nimbus Sans" w:hAnsi="Nimbus Sans" w:eastAsia="Nimbus Sans" w:cs="Nimbus Sans"/>
        </w:rPr>
        <w:t xml:space="preserve">Cite</w:t>
      </w:r>
      <w:r>
        <w:rPr>
          <w:rFonts w:ascii="Nimbus Sans" w:hAnsi="Nimbus Sans" w:eastAsia="Nimbus Sans" w:cs="Nimbus Sans"/>
        </w:rPr>
        <w:t xml:space="preserve"> </w:t>
      </w:r>
      <w:r>
        <w:rPr>
          <w:iCs/>
          <w:rFonts w:ascii="Nimbus Sans" w:hAnsi="Nimbus Sans" w:eastAsia="Nimbus Sans" w:cs="Nimbus Sans"/>
          <w:i/>
        </w:rPr>
        <w:t xml:space="preserve">Rickert v. State, Public Disclosure Commission</w:t>
      </w:r>
      <w:r>
        <w:rPr>
          <w:rFonts w:ascii="Nimbus Sans" w:hAnsi="Nimbus Sans" w:eastAsia="Nimbus Sans" w:cs="Nimbus Sans"/>
        </w:rPr>
        <w:t xml:space="preserve"> </w:t>
      </w:r>
      <w:r>
        <w:rPr>
          <w:rFonts w:ascii="Nimbus Sans" w:hAnsi="Nimbus Sans" w:eastAsia="Nimbus Sans" w:cs="Nimbus Sans"/>
        </w:rPr>
        <w:t xml:space="preserve">as 161 Wn.2d 843, 168 P.3d 826 (2007), subject to current citator review.</w:t>
      </w:r>
    </w:p>
    <w:p>
      <w:pPr>
        <w:numPr>
          <w:ilvl w:val="0"/>
          <w:numId w:val="1025"/>
        </w:numPr>
        <w:pStyle w:val="Compact"/>
        <w:spacing w:after="120" w:line="280" w:lineRule="auto"/>
      </w:pPr>
      <w:r>
        <w:rPr>
          <w:rFonts w:ascii="Nimbus Sans" w:hAnsi="Nimbus Sans" w:eastAsia="Nimbus Sans" w:cs="Nimbus Sans"/>
        </w:rPr>
        <w:t xml:space="preserve">Treat</w:t>
      </w:r>
      <w:r>
        <w:rPr>
          <w:rFonts w:ascii="Nimbus Sans" w:hAnsi="Nimbus Sans" w:eastAsia="Nimbus Sans" w:cs="Nimbus Sans"/>
        </w:rPr>
        <w:t xml:space="preserve"> </w:t>
      </w:r>
      <w:r>
        <w:rPr>
          <w:iCs/>
          <w:rFonts w:ascii="Nimbus Sans" w:hAnsi="Nimbus Sans" w:eastAsia="Nimbus Sans" w:cs="Nimbus Sans"/>
          <w:i/>
        </w:rPr>
        <w:t xml:space="preserve">Smith</w:t>
      </w:r>
      <w:r>
        <w:rPr>
          <w:rFonts w:ascii="Nimbus Sans" w:hAnsi="Nimbus Sans" w:eastAsia="Nimbus Sans" w:cs="Nimbus Sans"/>
        </w:rPr>
        <w:t xml:space="preserve"> </w:t>
      </w:r>
      <w:r>
        <w:rPr>
          <w:rFonts w:ascii="Nimbus Sans" w:hAnsi="Nimbus Sans" w:eastAsia="Nimbus Sans" w:cs="Nimbus Sans"/>
        </w:rPr>
        <w:t xml:space="preserve">and</w:t>
      </w:r>
      <w:r>
        <w:rPr>
          <w:rFonts w:ascii="Nimbus Sans" w:hAnsi="Nimbus Sans" w:eastAsia="Nimbus Sans" w:cs="Nimbus Sans"/>
        </w:rPr>
        <w:t xml:space="preserve"> </w:t>
      </w:r>
      <w:r>
        <w:rPr>
          <w:iCs/>
          <w:rFonts w:ascii="Nimbus Sans" w:hAnsi="Nimbus Sans" w:eastAsia="Nimbus Sans" w:cs="Nimbus Sans"/>
          <w:i/>
        </w:rPr>
        <w:t xml:space="preserve">Otton</w:t>
      </w:r>
      <w:r>
        <w:rPr>
          <w:rFonts w:ascii="Nimbus Sans" w:hAnsi="Nimbus Sans" w:eastAsia="Nimbus Sans" w:cs="Nimbus Sans"/>
        </w:rPr>
        <w:t xml:space="preserve"> </w:t>
      </w:r>
      <w:r>
        <w:rPr>
          <w:rFonts w:ascii="Nimbus Sans" w:hAnsi="Nimbus Sans" w:eastAsia="Nimbus Sans" w:cs="Nimbus Sans"/>
        </w:rPr>
        <w:t xml:space="preserve">as evidence-rule context, not direct private-media perjury holdings.</w:t>
      </w:r>
    </w:p>
    <w:p>
      <w:pPr>
        <w:numPr>
          <w:ilvl w:val="0"/>
          <w:numId w:val="1025"/>
        </w:numPr>
        <w:pStyle w:val="Compact"/>
        <w:spacing w:after="120" w:line="280" w:lineRule="auto"/>
      </w:pPr>
      <w:r>
        <w:rPr>
          <w:rFonts w:ascii="Nimbus Sans" w:hAnsi="Nimbus Sans" w:eastAsia="Nimbus Sans" w:cs="Nimbus Sans"/>
        </w:rPr>
        <w:t xml:space="preserve">Recheck RCW/WAC text immediately before use and again at the January 1, 2027 remote-law boundary.</w:t>
      </w:r>
    </w:p>
    <w:p>
      <w:pPr>
        <w:numPr>
          <w:ilvl w:val="0"/>
          <w:numId w:val="1025"/>
        </w:numPr>
        <w:pStyle w:val="Compact"/>
        <w:spacing w:after="120" w:line="280" w:lineRule="auto"/>
      </w:pPr>
      <w:r>
        <w:rPr>
          <w:rFonts w:ascii="Nimbus Sans" w:hAnsi="Nimbus Sans" w:eastAsia="Nimbus Sans" w:cs="Nimbus Sans"/>
        </w:rPr>
        <w:t xml:space="preserve">Do not cite a project draft as legal authority; cite its statute, rule, case, agency source, or study.</w:t>
      </w:r>
    </w:p>
    <w:bookmarkEnd w:id="141"/>
    <w:bookmarkStart w:id="142" w:name="Xa5513b253ed127113b55f3b058d7b3bdd1661c0"/>
    <w:p>
      <w:pPr>
        <w:pStyle w:val="Heading2"/>
        <w:pageBreakBefore/>
      </w:pPr>
      <w:r>
        <w:rPr>
          <w:rFonts w:ascii="Nimbus Sans" w:hAnsi="Nimbus Sans" w:eastAsia="Nimbus Sans" w:cs="Nimbus Sans"/>
        </w:rPr>
        <w:t xml:space="preserve">40. Zotero and Obsidian integration</w:t>
      </w:r>
    </w:p>
    <w:p>
      <w:pPr>
        <w:pStyle w:val="FirstParagraph"/>
      </w:pPr>
      <w:r>
        <w:rPr>
          <w:rFonts w:ascii="Nimbus Sans" w:hAnsi="Nimbus Sans" w:eastAsia="Nimbus Sans" w:cs="Nimbus Sans"/>
        </w:rPr>
        <w:t xml:space="preserve">Use stable citekeys and store, for every authority: exact proposition supported, strongest adverse reading, controlling/persuasive/analogy status, date checked, and affected claim/section IDs. Suggested new citekeys include:</w:t>
      </w:r>
    </w:p>
    <w:p>
      <w:pPr>
        <w:pStyle w:val="BodyText"/>
      </w:pPr>
      <w:r>
        <w:rPr>
          <w:rStyle w:val="VerbatimChar"/>
          <w:rFonts w:ascii="Nimbus Sans" w:hAnsi="Nimbus Sans" w:eastAsia="Nimbus Sans" w:cs="Nimbus Sans"/>
        </w:rPr>
        <w:t xml:space="preserve">washington_rcw_42_45_2026</w:t>
      </w:r>
      <w:r>
        <w:rPr>
          <w:rFonts w:ascii="Nimbus Sans" w:hAnsi="Nimbus Sans" w:eastAsia="Nimbus Sans" w:cs="Nimbus Sans"/>
        </w:rPr>
        <w:t xml:space="preserve">;</w:t>
      </w:r>
      <w:r>
        <w:rPr>
          <w:rFonts w:ascii="Nimbus Sans" w:hAnsi="Nimbus Sans" w:eastAsia="Nimbus Sans" w:cs="Nimbus Sans"/>
        </w:rPr>
        <w:t xml:space="preserve"> </w:t>
      </w:r>
      <w:r>
        <w:rPr>
          <w:rStyle w:val="VerbatimChar"/>
          <w:rFonts w:ascii="Nimbus Sans" w:hAnsi="Nimbus Sans" w:eastAsia="Nimbus Sans" w:cs="Nimbus Sans"/>
        </w:rPr>
        <w:t xml:space="preserve">washington_rcw_9A_72_2026</w:t>
      </w:r>
      <w:r>
        <w:rPr>
          <w:rFonts w:ascii="Nimbus Sans" w:hAnsi="Nimbus Sans" w:eastAsia="Nimbus Sans" w:cs="Nimbus Sans"/>
        </w:rPr>
        <w:t xml:space="preserve">;</w:t>
      </w:r>
      <w:r>
        <w:rPr>
          <w:rFonts w:ascii="Nimbus Sans" w:hAnsi="Nimbus Sans" w:eastAsia="Nimbus Sans" w:cs="Nimbus Sans"/>
        </w:rPr>
        <w:t xml:space="preserve"> </w:t>
      </w:r>
      <w:r>
        <w:rPr>
          <w:rStyle w:val="VerbatimChar"/>
          <w:rFonts w:ascii="Nimbus Sans" w:hAnsi="Nimbus Sans" w:eastAsia="Nimbus Sans" w:cs="Nimbus Sans"/>
        </w:rPr>
        <w:t xml:space="preserve">washington_rcw_42_56_2026</w:t>
      </w:r>
      <w:r>
        <w:rPr>
          <w:rFonts w:ascii="Nimbus Sans" w:hAnsi="Nimbus Sans" w:eastAsia="Nimbus Sans" w:cs="Nimbus Sans"/>
        </w:rPr>
        <w:t xml:space="preserve">;</w:t>
      </w:r>
      <w:r>
        <w:rPr>
          <w:rFonts w:ascii="Nimbus Sans" w:hAnsi="Nimbus Sans" w:eastAsia="Nimbus Sans" w:cs="Nimbus Sans"/>
        </w:rPr>
        <w:t xml:space="preserve"> </w:t>
      </w:r>
      <w:r>
        <w:rPr>
          <w:rStyle w:val="VerbatimChar"/>
          <w:rFonts w:ascii="Nimbus Sans" w:hAnsi="Nimbus Sans" w:eastAsia="Nimbus Sans" w:cs="Nimbus Sans"/>
        </w:rPr>
        <w:t xml:space="preserve">scotus_halleck_2019</w:t>
      </w:r>
      <w:r>
        <w:rPr>
          <w:rFonts w:ascii="Nimbus Sans" w:hAnsi="Nimbus Sans" w:eastAsia="Nimbus Sans" w:cs="Nimbus Sans"/>
        </w:rPr>
        <w:t xml:space="preserve">;</w:t>
      </w:r>
      <w:r>
        <w:rPr>
          <w:rFonts w:ascii="Nimbus Sans" w:hAnsi="Nimbus Sans" w:eastAsia="Nimbus Sans" w:cs="Nimbus Sans"/>
        </w:rPr>
        <w:t xml:space="preserve"> </w:t>
      </w:r>
      <w:r>
        <w:rPr>
          <w:rStyle w:val="VerbatimChar"/>
          <w:rFonts w:ascii="Nimbus Sans" w:hAnsi="Nimbus Sans" w:eastAsia="Nimbus Sans" w:cs="Nimbus Sans"/>
        </w:rPr>
        <w:t xml:space="preserve">scotus_lugar_1982</w:t>
      </w:r>
      <w:r>
        <w:rPr>
          <w:rFonts w:ascii="Nimbus Sans" w:hAnsi="Nimbus Sans" w:eastAsia="Nimbus Sans" w:cs="Nimbus Sans"/>
        </w:rPr>
        <w:t xml:space="preserve">;</w:t>
      </w:r>
      <w:r>
        <w:rPr>
          <w:rFonts w:ascii="Nimbus Sans" w:hAnsi="Nimbus Sans" w:eastAsia="Nimbus Sans" w:cs="Nimbus Sans"/>
        </w:rPr>
        <w:t xml:space="preserve"> </w:t>
      </w:r>
      <w:r>
        <w:rPr>
          <w:rStyle w:val="VerbatimChar"/>
          <w:rFonts w:ascii="Nimbus Sans" w:hAnsi="Nimbus Sans" w:eastAsia="Nimbus Sans" w:cs="Nimbus Sans"/>
        </w:rPr>
        <w:t xml:space="preserve">scotus_blum_1982</w:t>
      </w:r>
      <w:r>
        <w:rPr>
          <w:rFonts w:ascii="Nimbus Sans" w:hAnsi="Nimbus Sans" w:eastAsia="Nimbus Sans" w:cs="Nimbus Sans"/>
        </w:rPr>
        <w:t xml:space="preserve">;</w:t>
      </w:r>
      <w:r>
        <w:rPr>
          <w:rFonts w:ascii="Nimbus Sans" w:hAnsi="Nimbus Sans" w:eastAsia="Nimbus Sans" w:cs="Nimbus Sans"/>
        </w:rPr>
        <w:t xml:space="preserve"> </w:t>
      </w:r>
      <w:r>
        <w:rPr>
          <w:rStyle w:val="VerbatimChar"/>
          <w:rFonts w:ascii="Nimbus Sans" w:hAnsi="Nimbus Sans" w:eastAsia="Nimbus Sans" w:cs="Nimbus Sans"/>
        </w:rPr>
        <w:t xml:space="preserve">scotus_brentwood_2001</w:t>
      </w:r>
      <w:r>
        <w:rPr>
          <w:rFonts w:ascii="Nimbus Sans" w:hAnsi="Nimbus Sans" w:eastAsia="Nimbus Sans" w:cs="Nimbus Sans"/>
        </w:rPr>
        <w:t xml:space="preserve">;</w:t>
      </w:r>
      <w:r>
        <w:rPr>
          <w:rFonts w:ascii="Nimbus Sans" w:hAnsi="Nimbus Sans" w:eastAsia="Nimbus Sans" w:cs="Nimbus Sans"/>
        </w:rPr>
        <w:t xml:space="preserve"> </w:t>
      </w:r>
      <w:r>
        <w:rPr>
          <w:rStyle w:val="VerbatimChar"/>
          <w:rFonts w:ascii="Nimbus Sans" w:hAnsi="Nimbus Sans" w:eastAsia="Nimbus Sans" w:cs="Nimbus Sans"/>
        </w:rPr>
        <w:t xml:space="preserve">wash_nissen_2015</w:t>
      </w:r>
      <w:r>
        <w:rPr>
          <w:rFonts w:ascii="Nimbus Sans" w:hAnsi="Nimbus Sans" w:eastAsia="Nimbus Sans" w:cs="Nimbus Sans"/>
        </w:rPr>
        <w:t xml:space="preserve">;</w:t>
      </w:r>
      <w:r>
        <w:rPr>
          <w:rFonts w:ascii="Nimbus Sans" w:hAnsi="Nimbus Sans" w:eastAsia="Nimbus Sans" w:cs="Nimbus Sans"/>
        </w:rPr>
        <w:t xml:space="preserve"> </w:t>
      </w:r>
      <w:r>
        <w:rPr>
          <w:rStyle w:val="VerbatimChar"/>
          <w:rFonts w:ascii="Nimbus Sans" w:hAnsi="Nimbus Sans" w:eastAsia="Nimbus Sans" w:cs="Nimbus Sans"/>
        </w:rPr>
        <w:t xml:space="preserve">wash_horvath_2025</w:t>
      </w:r>
      <w:r>
        <w:rPr>
          <w:rFonts w:ascii="Nimbus Sans" w:hAnsi="Nimbus Sans" w:eastAsia="Nimbus Sans" w:cs="Nimbus Sans"/>
        </w:rPr>
        <w:t xml:space="preserve">;</w:t>
      </w:r>
      <w:r>
        <w:rPr>
          <w:rFonts w:ascii="Nimbus Sans" w:hAnsi="Nimbus Sans" w:eastAsia="Nimbus Sans" w:cs="Nimbus Sans"/>
        </w:rPr>
        <w:t xml:space="preserve"> </w:t>
      </w:r>
      <w:r>
        <w:rPr>
          <w:rStyle w:val="VerbatimChar"/>
          <w:rFonts w:ascii="Nimbus Sans" w:hAnsi="Nimbus Sans" w:eastAsia="Nimbus Sans" w:cs="Nimbus Sans"/>
        </w:rPr>
        <w:t xml:space="preserve">hhs_common_rule_2018</w:t>
      </w:r>
      <w:r>
        <w:rPr>
          <w:rFonts w:ascii="Nimbus Sans" w:hAnsi="Nimbus Sans" w:eastAsia="Nimbus Sans" w:cs="Nimbus Sans"/>
        </w:rPr>
        <w:t xml:space="preserve">;</w:t>
      </w:r>
      <w:r>
        <w:rPr>
          <w:rFonts w:ascii="Nimbus Sans" w:hAnsi="Nimbus Sans" w:eastAsia="Nimbus Sans" w:cs="Nimbus Sans"/>
        </w:rPr>
        <w:t xml:space="preserve"> </w:t>
      </w:r>
      <w:r>
        <w:rPr>
          <w:rStyle w:val="VerbatimChar"/>
          <w:rFonts w:ascii="Nimbus Sans" w:hAnsi="Nimbus Sans" w:eastAsia="Nimbus Sans" w:cs="Nimbus Sans"/>
        </w:rPr>
        <w:t xml:space="preserve">hhs_ohrp_decision_charts_2020</w:t>
      </w:r>
      <w:r>
        <w:rPr>
          <w:rFonts w:ascii="Nimbus Sans" w:hAnsi="Nimbus Sans" w:eastAsia="Nimbus Sans" w:cs="Nimbus Sans"/>
        </w:rPr>
        <w:t xml:space="preserve">.</w:t>
      </w:r>
    </w:p>
    <w:p>
      <w:pPr>
        <w:pStyle w:val="BodyText"/>
      </w:pPr>
      <w:r>
        <w:rPr>
          <w:rFonts w:ascii="Nimbus Sans" w:hAnsi="Nimbus Sans" w:eastAsia="Nimbus Sans" w:cs="Nimbus Sans"/>
        </w:rPr>
        <w:t xml:space="preserve">Recommended Obsidian notes:</w:t>
      </w:r>
    </w:p>
    <w:p>
      <w:pPr>
        <w:numPr>
          <w:ilvl w:val="0"/>
          <w:numId w:val="1026"/>
        </w:numPr>
        <w:pStyle w:val="Compact"/>
        <w:spacing w:after="120" w:line="280" w:lineRule="auto"/>
      </w:pPr>
      <w:r>
        <w:rPr>
          <w:rStyle w:val="VerbatimChar"/>
          <w:rFonts w:ascii="Nimbus Sans" w:hAnsi="Nimbus Sans" w:eastAsia="Nimbus Sans" w:cs="Nimbus Sans"/>
        </w:rPr>
        <w:t xml:space="preserve">[[CSR scope - standalone adopted statements]]</w:t>
      </w:r>
    </w:p>
    <w:p>
      <w:pPr>
        <w:numPr>
          <w:ilvl w:val="0"/>
          <w:numId w:val="1026"/>
        </w:numPr>
        <w:pStyle w:val="Compact"/>
        <w:spacing w:after="120" w:line="280" w:lineRule="auto"/>
      </w:pPr>
      <w:r>
        <w:rPr>
          <w:rStyle w:val="VerbatimChar"/>
          <w:rFonts w:ascii="Nimbus Sans" w:hAnsi="Nimbus Sans" w:eastAsia="Nimbus Sans" w:cs="Nimbus Sans"/>
        </w:rPr>
        <w:t xml:space="preserve">[[Verification versus truth certification]]</w:t>
      </w:r>
    </w:p>
    <w:p>
      <w:pPr>
        <w:numPr>
          <w:ilvl w:val="0"/>
          <w:numId w:val="1026"/>
        </w:numPr>
        <w:pStyle w:val="Compact"/>
        <w:spacing w:after="120" w:line="280" w:lineRule="auto"/>
      </w:pPr>
      <w:r>
        <w:rPr>
          <w:rStyle w:val="VerbatimChar"/>
          <w:rFonts w:ascii="Nimbus Sans" w:hAnsi="Nimbus Sans" w:eastAsia="Nimbus Sans" w:cs="Nimbus Sans"/>
        </w:rPr>
        <w:t xml:space="preserve">[[False swearing candidate offense - unresolved application]]</w:t>
      </w:r>
    </w:p>
    <w:p>
      <w:pPr>
        <w:numPr>
          <w:ilvl w:val="0"/>
          <w:numId w:val="1026"/>
        </w:numPr>
        <w:pStyle w:val="Compact"/>
        <w:spacing w:after="120" w:line="280" w:lineRule="auto"/>
      </w:pPr>
      <w:r>
        <w:rPr>
          <w:rStyle w:val="VerbatimChar"/>
          <w:rFonts w:ascii="Nimbus Sans" w:hAnsi="Nimbus Sans" w:eastAsia="Nimbus Sans" w:cs="Nimbus Sans"/>
        </w:rPr>
        <w:t xml:space="preserve">[[Evidence and admissibility are separate from notarization]]</w:t>
      </w:r>
    </w:p>
    <w:p>
      <w:pPr>
        <w:numPr>
          <w:ilvl w:val="0"/>
          <w:numId w:val="1026"/>
        </w:numPr>
        <w:pStyle w:val="Compact"/>
        <w:spacing w:after="120" w:line="280" w:lineRule="auto"/>
      </w:pPr>
      <w:r>
        <w:rPr>
          <w:rStyle w:val="VerbatimChar"/>
          <w:rFonts w:ascii="Nimbus Sans" w:hAnsi="Nimbus Sans" w:eastAsia="Nimbus Sans" w:cs="Nimbus Sans"/>
        </w:rPr>
        <w:t xml:space="preserve">[[Private notary interface versus state action]]</w:t>
      </w:r>
    </w:p>
    <w:p>
      <w:pPr>
        <w:numPr>
          <w:ilvl w:val="0"/>
          <w:numId w:val="1026"/>
        </w:numPr>
        <w:pStyle w:val="Compact"/>
        <w:spacing w:after="120" w:line="280" w:lineRule="auto"/>
      </w:pPr>
      <w:r>
        <w:rPr>
          <w:rStyle w:val="VerbatimChar"/>
          <w:rFonts w:ascii="Nimbus Sans" w:hAnsi="Nimbus Sans" w:eastAsia="Nimbus Sans" w:cs="Nimbus Sans"/>
        </w:rPr>
        <w:t xml:space="preserve">[[Government partnership - new memorandum triggers]]</w:t>
      </w:r>
    </w:p>
    <w:p>
      <w:pPr>
        <w:numPr>
          <w:ilvl w:val="0"/>
          <w:numId w:val="1026"/>
        </w:numPr>
        <w:pStyle w:val="Compact"/>
        <w:spacing w:after="120" w:line="280" w:lineRule="auto"/>
      </w:pPr>
      <w:r>
        <w:rPr>
          <w:rStyle w:val="VerbatimChar"/>
          <w:rFonts w:ascii="Nimbus Sans" w:hAnsi="Nimbus Sans" w:eastAsia="Nimbus Sans" w:cs="Nimbus Sans"/>
        </w:rPr>
        <w:t xml:space="preserve">[[PRA functional equivalency - Horvath and Telford]]</w:t>
      </w:r>
    </w:p>
    <w:p>
      <w:pPr>
        <w:numPr>
          <w:ilvl w:val="0"/>
          <w:numId w:val="1026"/>
        </w:numPr>
        <w:pStyle w:val="Compact"/>
        <w:spacing w:after="120" w:line="280" w:lineRule="auto"/>
      </w:pPr>
      <w:r>
        <w:rPr>
          <w:rStyle w:val="VerbatimChar"/>
          <w:rFonts w:ascii="Nimbus Sans" w:hAnsi="Nimbus Sans" w:eastAsia="Nimbus Sans" w:cs="Nimbus Sans"/>
        </w:rPr>
        <w:t xml:space="preserve">[[Audience truth halo and refusal stigma]]</w:t>
      </w:r>
    </w:p>
    <w:p>
      <w:pPr>
        <w:numPr>
          <w:ilvl w:val="0"/>
          <w:numId w:val="1026"/>
        </w:numPr>
        <w:pStyle w:val="Compact"/>
        <w:spacing w:after="120" w:line="280" w:lineRule="auto"/>
      </w:pPr>
      <w:r>
        <w:rPr>
          <w:rStyle w:val="VerbatimChar"/>
          <w:rFonts w:ascii="Nimbus Sans" w:hAnsi="Nimbus Sans" w:eastAsia="Nimbus Sans" w:cs="Nimbus Sans"/>
        </w:rPr>
        <w:t xml:space="preserve">[[Accessibility and semantic equivalence]]</w:t>
      </w:r>
    </w:p>
    <w:p>
      <w:pPr>
        <w:numPr>
          <w:ilvl w:val="0"/>
          <w:numId w:val="1026"/>
        </w:numPr>
        <w:pStyle w:val="Compact"/>
        <w:spacing w:after="120" w:line="280" w:lineRule="auto"/>
      </w:pPr>
      <w:r>
        <w:rPr>
          <w:rStyle w:val="VerbatimChar"/>
          <w:rFonts w:ascii="Nimbus Sans" w:hAnsi="Nimbus Sans" w:eastAsia="Nimbus Sans" w:cs="Nimbus Sans"/>
        </w:rPr>
        <w:t xml:space="preserve">[[Counsel client and privilege map]]</w:t>
      </w:r>
    </w:p>
    <w:bookmarkEnd w:id="142"/>
    <w:bookmarkEnd w:id="143"/>
    <w:bookmarkStart w:id="147" w:name="ix-process-integrity-review"/>
    <w:p>
      <w:pPr>
        <w:pStyle w:val="Heading1"/>
      </w:pPr>
      <w:r>
        <w:rPr>
          <w:rFonts w:ascii="Nimbus Sans" w:hAnsi="Nimbus Sans" w:eastAsia="Nimbus Sans" w:cs="Nimbus Sans"/>
        </w:rPr>
        <w:t xml:space="preserve">IX. Process-integrity review</w:t>
      </w:r>
    </w:p>
    <w:bookmarkStart w:id="144" w:name="Xf03f06021070b4f8078f1196cea9edba8f7666e"/>
    <w:p>
      <w:pPr>
        <w:pStyle w:val="Heading2"/>
      </w:pPr>
      <w:r>
        <w:rPr>
          <w:rFonts w:ascii="Nimbus Sans" w:hAnsi="Nimbus Sans" w:eastAsia="Nimbus Sans" w:cs="Nimbus Sans"/>
        </w:rPr>
        <w:t xml:space="preserve">41. Systematic-review audit</w:t>
      </w:r>
    </w:p>
    <w:p>
      <w:pPr>
        <w:pStyle w:val="FirstParagraph"/>
      </w:pPr>
      <w:r>
        <w:rPr>
          <w:rFonts w:ascii="Nimbus Sans" w:hAnsi="Nimbus Sans" w:eastAsia="Nimbus Sans" w:cs="Nimbus Sans"/>
        </w:rPr>
        <w:t xml:space="preserve">This packet is a</w:t>
      </w:r>
      <w:r>
        <w:rPr>
          <w:rFonts w:ascii="Nimbus Sans" w:hAnsi="Nimbus Sans" w:eastAsia="Nimbus Sans" w:cs="Nimbus Sans"/>
        </w:rPr>
        <w:t xml:space="preserve"> </w:t>
      </w:r>
      <w:r>
        <w:rPr>
          <w:bCs/>
          <w:rFonts w:ascii="Nimbus Sans" w:hAnsi="Nimbus Sans" w:eastAsia="Nimbus Sans" w:cs="Nimbus Sans"/>
          <w:b/>
        </w:rPr>
        <w:t xml:space="preserve">targeted, issue-driven legal and empirical synthesis</w:t>
      </w:r>
      <w:r>
        <w:rPr>
          <w:rFonts w:ascii="Nimbus Sans" w:hAnsi="Nimbus Sans" w:eastAsia="Nimbus Sans" w:cs="Nimbus Sans"/>
        </w:rPr>
        <w:t xml:space="preserve">, not a preregistered systematic review. It used the supplied project files, candidate v1.1 reconciliation, current official statutes/rules, official court opinions where available, official agency materials, and independent adversarial review lanes. It did not claim exhaustive database coverage, duplicate blinded screening, or a complete commercial citator history.</w:t>
      </w:r>
    </w:p>
    <w:p>
      <w:pPr>
        <w:pStyle w:val="BodyText"/>
      </w:pPr>
      <w:r>
        <w:rPr>
          <w:rFonts w:ascii="Nimbus Sans" w:hAnsi="Nimbus Sans" w:eastAsia="Nimbus Sans" w:cs="Nimbus Sans"/>
        </w:rPr>
        <w:t xml:space="preserve">For a publication-grade legal review, counsel should record databases, date limits, jurisdiction filters, terms, citator results, negative treatment, and an adverse-authority log. For the behavioral review, preregister databases, strings, eligibility, duplicate screening, extraction, risk-of-bias assessment, and synthesis; report under PRISMA 2020 where applicable.</w:t>
      </w:r>
    </w:p>
    <w:p>
      <w:pPr>
        <w:pStyle w:val="BodyText"/>
      </w:pPr>
      <w:r>
        <w:rPr>
          <w:bCs/>
          <w:rFonts w:ascii="Nimbus Sans" w:hAnsi="Nimbus Sans" w:eastAsia="Nimbus Sans" w:cs="Nimbus Sans"/>
          <w:b/>
        </w:rPr>
        <w:t xml:space="preserve">Process-integrity judgment:</w:t>
      </w:r>
      <w:r>
        <w:rPr>
          <w:rFonts w:ascii="Nimbus Sans" w:hAnsi="Nimbus Sans" w:eastAsia="Nimbus Sans" w:cs="Nimbus Sans"/>
        </w:rPr>
        <w:t xml:space="preserve"> </w:t>
      </w:r>
      <w:r>
        <w:rPr>
          <w:rFonts w:ascii="Nimbus Sans" w:hAnsi="Nimbus Sans" w:eastAsia="Nimbus Sans" w:cs="Nimbus Sans"/>
        </w:rPr>
        <w:t xml:space="preserve">strong enough for a counsel-review candidate and Phase 0 design; not sufficient for live legal reliance or a claim of exhaustive authority.</w:t>
      </w:r>
    </w:p>
    <w:bookmarkEnd w:id="144"/>
    <w:bookmarkStart w:id="145" w:name="X5da4cf0daa239fd44f8b3f166e219b6e80d18d2"/>
    <w:p>
      <w:pPr>
        <w:pStyle w:val="Heading2"/>
      </w:pPr>
      <w:r>
        <w:rPr>
          <w:rFonts w:ascii="Nimbus Sans" w:hAnsi="Nimbus Sans" w:eastAsia="Nimbus Sans" w:cs="Nimbus Sans"/>
        </w:rPr>
        <w:t xml:space="preserve">42. Robustness and meta-analysis critique</w:t>
      </w:r>
    </w:p>
    <w:p>
      <w:pPr>
        <w:pStyle w:val="FirstParagraph"/>
      </w:pPr>
      <w:r>
        <w:rPr>
          <w:rFonts w:ascii="Nimbus Sans" w:hAnsi="Nimbus Sans" w:eastAsia="Nimbus Sans" w:cs="Nimbus Sans"/>
        </w:rPr>
        <w:t xml:space="preserve">The cited evidence streams concern different interventions and outcomes: laboratory honesty commitments, social-media accuracy prompts, political fact-checking, and misinformation correction. Their effect sizes must not be pooled or used directly to power the full DGG intervention. The honesty-commitment literature is heterogeneous and has publication-bias concerns; accuracy-prompt work measures sharing discernment rather than sworn political testimony; political fact-checking weakens in campaign/motivated contexts; corrections often leave residual influence.</w:t>
      </w:r>
    </w:p>
    <w:p>
      <w:pPr>
        <w:pStyle w:val="BodyText"/>
      </w:pPr>
      <w:r>
        <w:rPr>
          <w:rFonts w:ascii="Nimbus Sans" w:hAnsi="Nimbus Sans" w:eastAsia="Nimbus Sans" w:cs="Nimbus Sans"/>
        </w:rPr>
        <w:t xml:space="preserve">There is no defensible meta-analytic effect estimate for the complete DGG protocol. A future review should separately map honesty commitment, accuracy salience, advance disclosure, source transparency, authority/notarial halo, refusal stigma, chilling/selection, and correction. A DGG-specific meta-analysis should wait for multiple independent comparable studies and then use multilevel random-effects methods, dependent-effect handling, heterogeneity and prediction intervals, and sensitivity analyses.</w:t>
      </w:r>
    </w:p>
    <w:p>
      <w:pPr>
        <w:pStyle w:val="BodyText"/>
      </w:pPr>
      <w:r>
        <w:rPr>
          <w:rFonts w:ascii="Nimbus Sans" w:hAnsi="Nimbus Sans" w:eastAsia="Nimbus Sans" w:cs="Nimbus Sans"/>
        </w:rPr>
        <w:t xml:space="preserve">The most important adverse hypotheses are that notarization adds no value over a plain accuracy commitment; increases false certainty; suppresses participation or correction; shifts error into legalistic evasion; or creates partisan/asymmetric invitation and interpretation effects. A credible project must preregister and publish those tests.</w:t>
      </w:r>
    </w:p>
    <w:bookmarkEnd w:id="145"/>
    <w:bookmarkStart w:id="146" w:name="Xc5b859b4bf7a709deefbc88e4cdf84a4a4e8e26"/>
    <w:p>
      <w:pPr>
        <w:pStyle w:val="Heading2"/>
        <w:pageBreakBefore/>
      </w:pPr>
      <w:r>
        <w:rPr>
          <w:rFonts w:ascii="Nimbus Sans" w:hAnsi="Nimbus Sans" w:eastAsia="Nimbus Sans" w:cs="Nimbus Sans"/>
        </w:rPr>
        <w:t xml:space="preserve">43. Final design conclusion</w:t>
      </w:r>
    </w:p>
    <w:p>
      <w:pPr>
        <w:pStyle w:val="FirstParagraph"/>
      </w:pPr>
      <w:r>
        <w:rPr>
          <w:rFonts w:ascii="Nimbus Sans" w:hAnsi="Nimbus Sans" w:eastAsia="Nimbus Sans" w:cs="Nimbus Sans"/>
        </w:rPr>
        <w:t xml:space="preserve">The project has a legally plausible Washington notarial architecture and a serious research rationale. Its strongest form is a private, voluntary, exact, source-linked, participant-controlled record with visible uncertainty and correction. Its weakest form is a dramatic “perjury interview” that depends on a government truth halo or public punishment for declining.</w:t>
      </w:r>
    </w:p>
    <w:p>
      <w:pPr>
        <w:pStyle w:val="BodyText"/>
      </w:pPr>
      <w:r>
        <w:rPr>
          <w:rFonts w:ascii="Nimbus Sans" w:hAnsi="Nimbus Sans" w:eastAsia="Nimbus Sans" w:cs="Nimbus Sans"/>
        </w:rPr>
        <w:t xml:space="preserve">The present packet is therefore</w:t>
      </w:r>
      <w:r>
        <w:rPr>
          <w:rFonts w:ascii="Nimbus Sans" w:hAnsi="Nimbus Sans" w:eastAsia="Nimbus Sans" w:cs="Nimbus Sans"/>
        </w:rPr>
        <w:t xml:space="preserve"> </w:t>
      </w:r>
      <w:r>
        <w:rPr>
          <w:bCs/>
          <w:rFonts w:ascii="Nimbus Sans" w:hAnsi="Nimbus Sans" w:eastAsia="Nimbus Sans" w:cs="Nimbus Sans"/>
          <w:b/>
        </w:rPr>
        <w:t xml:space="preserve">lawyer-facing but not lawyer-approved</w:t>
      </w:r>
      <w:r>
        <w:rPr>
          <w:rFonts w:ascii="Nimbus Sans" w:hAnsi="Nimbus Sans" w:eastAsia="Nimbus Sans" w:cs="Nimbus Sans"/>
        </w:rPr>
        <w:t xml:space="preserve">. It should let a lawyer see the complete affirmative theory, the strongest objections, the professional form, the government boundary, the research needed, and the decisions still required. Until those decisions are signed, the authorized use remains blank forms, synthetic examples, and Phase 0 tabletop work.</w:t>
      </w:r>
    </w:p>
    <w:bookmarkEnd w:id="146"/>
    <w:bookmarkEnd w:id="147"/>
    <w:bookmarkStart w:id="149" w:name="X33362a4ae7d7627c1d094e4726291ed3afe35e4"/>
    <w:p>
      <w:pPr>
        <w:pStyle w:val="Heading1"/>
        <w:pageBreakBefore/>
      </w:pPr>
      <w:r>
        <w:rPr>
          <w:rFonts w:ascii="Nimbus Sans" w:hAnsi="Nimbus Sans" w:eastAsia="Nimbus Sans" w:cs="Nimbus Sans"/>
        </w:rPr>
        <w:t xml:space="preserve">Appendix A. Synthetic worked question block</w:t>
      </w:r>
    </w:p>
    <w:bookmarkStart w:id="148" w:name="X0c88220fe7717d7c012a6528d01a2c0c62a3a2c"/>
    <w:p>
      <w:pPr>
        <w:pStyle w:val="Heading2"/>
      </w:pPr>
      <w:r>
        <w:rPr>
          <w:rFonts w:ascii="Nimbus Sans" w:hAnsi="Nimbus Sans" w:eastAsia="Nimbus Sans" w:cs="Nimbus Sans"/>
        </w:rPr>
        <w:t xml:space="preserve">44. Example purpose and limits</w:t>
      </w:r>
    </w:p>
    <w:p>
      <w:pPr>
        <w:pStyle w:val="FirstParagraph"/>
      </w:pPr>
      <w:r>
        <w:rPr>
          <w:rFonts w:ascii="Nimbus Sans" w:hAnsi="Nimbus Sans" w:eastAsia="Nimbus Sans" w:cs="Nimbus Sans"/>
        </w:rPr>
        <w:t xml:space="preserve">This fictional example demonstrates scope and qualification. It does not involve a real person, campaign, payment, or allegation, and it must not be represented as an executed or legally approved CSR.</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QUESTION AND SOURCE AREA — UNSWORN</w:t>
      </w:r>
    </w:p>
    <w:p>
      <w:pPr>
        <w:pStyle w:val="FirstParagraph"/>
      </w:pPr>
      <w:r>
        <w:rPr>
          <w:bCs/>
          <w:rFonts w:ascii="Nimbus Sans" w:hAnsi="Nimbus Sans" w:eastAsia="Nimbus Sans" w:cs="Nimbus Sans"/>
          <w:b/>
        </w:rPr>
        <w:t xml:space="preserve">Question ID:</w:t>
      </w:r>
      <w:r>
        <w:rPr>
          <w:rFonts w:ascii="Nimbus Sans" w:hAnsi="Nimbus Sans" w:eastAsia="Nimbus Sans" w:cs="Nimbus Sans"/>
        </w:rPr>
        <w:t xml:space="preserve"> </w:t>
      </w:r>
      <w:r>
        <w:rPr>
          <w:rFonts w:ascii="Nimbus Sans" w:hAnsi="Nimbus Sans" w:eastAsia="Nimbus Sans" w:cs="Nimbus Sans"/>
        </w:rPr>
        <w:t xml:space="preserve">Q-SYN-001</w:t>
      </w:r>
      <w:r>
        <w:rPr>
          <w:rFonts w:ascii="Nimbus Sans" w:hAnsi="Nimbus Sans" w:eastAsia="Nimbus Sans" w:cs="Nimbus Sans"/>
        </w:rPr>
        <w:br/>
      </w:r>
      <w:r>
        <w:rPr>
          <w:bCs/>
          <w:rFonts w:ascii="Nimbus Sans" w:hAnsi="Nimbus Sans" w:eastAsia="Nimbus Sans" w:cs="Nimbus Sans"/>
          <w:b/>
        </w:rPr>
        <w:t xml:space="preserve">Proposed Proposition ID:</w:t>
      </w:r>
      <w:r>
        <w:rPr>
          <w:rFonts w:ascii="Nimbus Sans" w:hAnsi="Nimbus Sans" w:eastAsia="Nimbus Sans" w:cs="Nimbus Sans"/>
        </w:rPr>
        <w:t xml:space="preserve"> </w:t>
      </w:r>
      <w:r>
        <w:rPr>
          <w:rFonts w:ascii="Nimbus Sans" w:hAnsi="Nimbus Sans" w:eastAsia="Nimbus Sans" w:cs="Nimbus Sans"/>
        </w:rPr>
        <w:t xml:space="preserve">P-SYN-001</w:t>
      </w:r>
      <w:r>
        <w:rPr>
          <w:rFonts w:ascii="Nimbus Sans" w:hAnsi="Nimbus Sans" w:eastAsia="Nimbus Sans" w:cs="Nimbus Sans"/>
        </w:rPr>
        <w:br/>
      </w:r>
      <w:r>
        <w:rPr>
          <w:bCs/>
          <w:rFonts w:ascii="Nimbus Sans" w:hAnsi="Nimbus Sans" w:eastAsia="Nimbus Sans" w:cs="Nimbus Sans"/>
          <w:b/>
        </w:rPr>
        <w:t xml:space="preserve">Source packet:</w:t>
      </w:r>
      <w:r>
        <w:rPr>
          <w:rFonts w:ascii="Nimbus Sans" w:hAnsi="Nimbus Sans" w:eastAsia="Nimbus Sans" w:cs="Nimbus Sans"/>
        </w:rPr>
        <w:t xml:space="preserve"> </w:t>
      </w:r>
      <w:r>
        <w:rPr>
          <w:rFonts w:ascii="Nimbus Sans" w:hAnsi="Nimbus Sans" w:eastAsia="Nimbus Sans" w:cs="Nimbus Sans"/>
        </w:rPr>
        <w:t xml:space="preserve">SYN-SRC-001 v1</w:t>
      </w:r>
      <w:r>
        <w:rPr>
          <w:rFonts w:ascii="Nimbus Sans" w:hAnsi="Nimbus Sans" w:eastAsia="Nimbus Sans" w:cs="Nimbus Sans"/>
        </w:rPr>
        <w:br/>
      </w:r>
      <w:r>
        <w:rPr>
          <w:bCs/>
          <w:rFonts w:ascii="Nimbus Sans" w:hAnsi="Nimbus Sans" w:eastAsia="Nimbus Sans" w:cs="Nimbus Sans"/>
          <w:b/>
        </w:rPr>
        <w:t xml:space="preserve">Contrary packet:</w:t>
      </w:r>
      <w:r>
        <w:rPr>
          <w:rFonts w:ascii="Nimbus Sans" w:hAnsi="Nimbus Sans" w:eastAsia="Nimbus Sans" w:cs="Nimbus Sans"/>
        </w:rPr>
        <w:t xml:space="preserve"> </w:t>
      </w:r>
      <w:r>
        <w:rPr>
          <w:rFonts w:ascii="Nimbus Sans" w:hAnsi="Nimbus Sans" w:eastAsia="Nimbus Sans" w:cs="Nimbus Sans"/>
        </w:rPr>
        <w:t xml:space="preserve">SYN-CTR-001 v1</w:t>
      </w:r>
    </w:p>
    <w:p>
      <w:pPr>
        <w:pStyle w:val="BodyText"/>
      </w:pPr>
      <w:r>
        <w:rPr>
          <w:bCs/>
          <w:rFonts w:ascii="Nimbus Sans" w:hAnsi="Nimbus Sans" w:eastAsia="Nimbus Sans" w:cs="Nimbus Sans"/>
          <w:b/>
        </w:rPr>
        <w:t xml:space="preserve">Interviewer’s exact question:</w:t>
      </w:r>
      <w:r>
        <w:rPr>
          <w:rFonts w:ascii="Nimbus Sans" w:hAnsi="Nimbus Sans" w:eastAsia="Nimbus Sans" w:cs="Nimbus Sans"/>
        </w:rPr>
        <w:t xml:space="preserve"> </w:t>
      </w:r>
      <w:r>
        <w:rPr>
          <w:rFonts w:ascii="Nimbus Sans" w:hAnsi="Nimbus Sans" w:eastAsia="Nimbus Sans" w:cs="Nimbus Sans"/>
        </w:rPr>
        <w:t xml:space="preserve">“On April 10, 2026, did you personally approve the final text of fictional Memorandum A-17 before it was sent to the five recipients listed in its distribution field?”</w:t>
      </w:r>
    </w:p>
    <w:p>
      <w:pPr>
        <w:pStyle w:val="BodyText"/>
      </w:pPr>
      <w:r>
        <w:rPr>
          <w:bCs/>
          <w:rFonts w:ascii="Nimbus Sans" w:hAnsi="Nimbus Sans" w:eastAsia="Nimbus Sans" w:cs="Nimbus Sans"/>
          <w:b/>
        </w:rPr>
        <w:t xml:space="preserve">Definitions and scope:</w:t>
      </w:r>
      <w:r>
        <w:rPr>
          <w:rFonts w:ascii="Nimbus Sans" w:hAnsi="Nimbus Sans" w:eastAsia="Nimbus Sans" w:cs="Nimbus Sans"/>
        </w:rPr>
        <w:t xml:space="preserve"> </w:t>
      </w:r>
      <w:r>
        <w:rPr>
          <w:rFonts w:ascii="Nimbus Sans" w:hAnsi="Nimbus Sans" w:eastAsia="Nimbus Sans" w:cs="Nimbus Sans"/>
        </w:rPr>
        <w:t xml:space="preserve">“Approve” means personally communicate authorization to send the text. “Final text” excludes attachments. The question concerns the version time-stamped 3:15 p.m. Pacific Time and does not ask who approved Attachment 1.</w:t>
      </w:r>
    </w:p>
    <w:p>
      <w:pPr>
        <w:pStyle w:val="BodyText"/>
      </w:pPr>
      <w:r>
        <w:rPr>
          <w:bCs/>
          <w:rFonts w:ascii="Nimbus Sans" w:hAnsi="Nimbus Sans" w:eastAsia="Nimbus Sans" w:cs="Nimbus Sans"/>
          <w:b/>
        </w:rPr>
        <w:t xml:space="preserve">Supporting source:</w:t>
      </w:r>
      <w:r>
        <w:rPr>
          <w:rFonts w:ascii="Nimbus Sans" w:hAnsi="Nimbus Sans" w:eastAsia="Nimbus Sans" w:cs="Nimbus Sans"/>
        </w:rPr>
        <w:t xml:space="preserve"> </w:t>
      </w:r>
      <w:r>
        <w:rPr>
          <w:rFonts w:ascii="Nimbus Sans" w:hAnsi="Nimbus Sans" w:eastAsia="Nimbus Sans" w:cs="Nimbus Sans"/>
        </w:rPr>
        <w:t xml:space="preserve">S-001, fictional email showing “Approved to send,” time-stamped 2:58 p.m.</w:t>
      </w:r>
      <w:r>
        <w:rPr>
          <w:rFonts w:ascii="Nimbus Sans" w:hAnsi="Nimbus Sans" w:eastAsia="Nimbus Sans" w:cs="Nimbus Sans"/>
        </w:rPr>
        <w:br/>
      </w:r>
      <w:r>
        <w:rPr>
          <w:bCs/>
          <w:rFonts w:ascii="Nimbus Sans" w:hAnsi="Nimbus Sans" w:eastAsia="Nimbus Sans" w:cs="Nimbus Sans"/>
          <w:b/>
        </w:rPr>
        <w:t xml:space="preserve">Contrary/limiting source:</w:t>
      </w:r>
      <w:r>
        <w:rPr>
          <w:rFonts w:ascii="Nimbus Sans" w:hAnsi="Nimbus Sans" w:eastAsia="Nimbus Sans" w:cs="Nimbus Sans"/>
        </w:rPr>
        <w:t xml:space="preserve"> </w:t>
      </w:r>
      <w:r>
        <w:rPr>
          <w:rFonts w:ascii="Nimbus Sans" w:hAnsi="Nimbus Sans" w:eastAsia="Nimbus Sans" w:cs="Nimbus Sans"/>
        </w:rPr>
        <w:t xml:space="preserve">C-001, fictional revision log showing Attachment 1 changed at 3:07 p.m.</w:t>
      </w:r>
    </w:p>
    <w:p>
      <w:pPr>
        <w:pStyle w:val="BlockText"/>
        <w:shd w:fill="F4F6F9" w:val="clear"/>
        <w:pBdr>
          <w:left w:val="single" w:sz="18" w:space="8" w:color="2E74B5"/>
        </w:pBdr>
        <w:spacing w:before="100" w:after="120"/>
        <w:ind w:left="317" w:right="115"/>
      </w:pPr>
      <w:r>
        <w:rPr>
          <w:bCs/>
          <w:rFonts w:ascii="Nimbus Sans" w:hAnsi="Nimbus Sans" w:eastAsia="Nimbus Sans" w:cs="Nimbus Sans"/>
          <w:b/>
        </w:rPr>
        <w:t xml:space="preserve">PARTICIPANT STATEMENT AREA — POTENTIALLY SWORN</w:t>
      </w:r>
    </w:p>
    <w:p>
      <w:pPr>
        <w:pStyle w:val="FirstParagraph"/>
      </w:pPr>
      <w:r>
        <w:rPr>
          <w:bCs/>
          <w:rFonts w:ascii="Nimbus Sans" w:hAnsi="Nimbus Sans" w:eastAsia="Nimbus Sans" w:cs="Nimbus Sans"/>
          <w:b/>
        </w:rPr>
        <w:t xml:space="preserve">Response path:</w:t>
      </w:r>
      <w:r>
        <w:rPr>
          <w:rFonts w:ascii="Nimbus Sans" w:hAnsi="Nimbus Sans" w:eastAsia="Nimbus Sans" w:cs="Nimbus Sans"/>
        </w:rPr>
        <w:t xml:space="preserve"> </w:t>
      </w:r>
      <w:r>
        <w:rPr>
          <w:rFonts w:ascii="Nimbus Sans" w:hAnsi="Nimbus Sans" w:eastAsia="Nimbus Sans" w:cs="Nimbus Sans"/>
        </w:rPr>
        <w:t xml:space="preserve">Qualified answer — personal knowledge and identified records.</w:t>
      </w:r>
    </w:p>
    <w:p>
      <w:pPr>
        <w:pStyle w:val="BodyText"/>
      </w:pPr>
      <w:r>
        <w:rPr>
          <w:bCs/>
          <w:rFonts w:ascii="Nimbus Sans" w:hAnsi="Nimbus Sans" w:eastAsia="Nimbus Sans" w:cs="Nimbus Sans"/>
          <w:b/>
        </w:rPr>
        <w:t xml:space="preserve">Exact adopted statement:</w:t>
      </w:r>
      <w:r>
        <w:rPr>
          <w:rFonts w:ascii="Nimbus Sans" w:hAnsi="Nimbus Sans" w:eastAsia="Nimbus Sans" w:cs="Nimbus Sans"/>
        </w:rPr>
        <w:t xml:space="preserve"> </w:t>
      </w:r>
      <w:r>
        <w:rPr>
          <w:rFonts w:ascii="Nimbus Sans" w:hAnsi="Nimbus Sans" w:eastAsia="Nimbus Sans" w:cs="Nimbus Sans"/>
        </w:rPr>
        <w:t xml:space="preserve">“On April 10, 2026, I personally approved the final text of fictional Memorandum A-17 before it was sent to the five listed recipients. My approval did not include Attachment 1, which was revised after my approval, and I do not state who approved that attachment.”</w:t>
      </w:r>
    </w:p>
    <w:p>
      <w:pPr>
        <w:pStyle w:val="BodyText"/>
      </w:pPr>
      <w:r>
        <w:rPr>
          <w:bCs/>
          <w:rFonts w:ascii="Nimbus Sans" w:hAnsi="Nimbus Sans" w:eastAsia="Nimbus Sans" w:cs="Nimbus Sans"/>
          <w:b/>
        </w:rPr>
        <w:t xml:space="preserve">Basis:</w:t>
      </w:r>
      <w:r>
        <w:rPr>
          <w:rFonts w:ascii="Nimbus Sans" w:hAnsi="Nimbus Sans" w:eastAsia="Nimbus Sans" w:cs="Nimbus Sans"/>
        </w:rPr>
        <w:t xml:space="preserve"> </w:t>
      </w:r>
      <w:r>
        <w:rPr>
          <w:rFonts w:ascii="Nimbus Sans" w:hAnsi="Nimbus Sans" w:eastAsia="Nimbus Sans" w:cs="Nimbus Sans"/>
        </w:rPr>
        <w:t xml:space="preserve">Personal communication reflected in fictional source S-001. The participant adopts the described personal act; the source is evidence of the act but is not incorporated wholesale.</w:t>
      </w:r>
    </w:p>
    <w:p>
      <w:pPr>
        <w:pStyle w:val="BodyText"/>
      </w:pPr>
      <w:r>
        <w:rPr>
          <w:bCs/>
          <w:rFonts w:ascii="Nimbus Sans" w:hAnsi="Nimbus Sans" w:eastAsia="Nimbus Sans" w:cs="Nimbus Sans"/>
          <w:b/>
        </w:rPr>
        <w:t xml:space="preserve">Qualification:</w:t>
      </w:r>
      <w:r>
        <w:rPr>
          <w:rFonts w:ascii="Nimbus Sans" w:hAnsi="Nimbus Sans" w:eastAsia="Nimbus Sans" w:cs="Nimbus Sans"/>
        </w:rPr>
        <w:t xml:space="preserve"> </w:t>
      </w:r>
      <w:r>
        <w:rPr>
          <w:rFonts w:ascii="Nimbus Sans" w:hAnsi="Nimbus Sans" w:eastAsia="Nimbus Sans" w:cs="Nimbus Sans"/>
        </w:rPr>
        <w:t xml:space="preserve">Approval excluded Attachment 1. No statement is made about the attachment’s approver or substantive accuracy.</w:t>
      </w:r>
    </w:p>
    <w:p>
      <w:pPr>
        <w:pStyle w:val="BodyText"/>
      </w:pPr>
      <w:r>
        <w:rPr>
          <w:bCs/>
          <w:rFonts w:ascii="Nimbus Sans" w:hAnsi="Nimbus Sans" w:eastAsia="Nimbus Sans" w:cs="Nimbus Sans"/>
          <w:b/>
        </w:rPr>
        <w:t xml:space="preserve">Why this is better than “Yes”:</w:t>
      </w:r>
      <w:r>
        <w:rPr>
          <w:rFonts w:ascii="Nimbus Sans" w:hAnsi="Nimbus Sans" w:eastAsia="Nimbus Sans" w:cs="Nimbus Sans"/>
        </w:rPr>
        <w:t xml:space="preserve"> </w:t>
      </w:r>
      <w:r>
        <w:rPr>
          <w:rFonts w:ascii="Nimbus Sans" w:hAnsi="Nimbus Sans" w:eastAsia="Nimbus Sans" w:cs="Nimbus Sans"/>
        </w:rPr>
        <w:t xml:space="preserve">The standalone statement identifies the act, date, document version, recipients, and excluded attachment; it resolves the strongest contrary source without hiding the limitation; and it does not import an accusation or a conclusion about motive.</w:t>
      </w:r>
    </w:p>
    <w:bookmarkEnd w:id="148"/>
    <w:bookmarkEnd w:id="149"/>
    <w:sectPr>
      <w:headerReference w:type="default" r:id="rId9"/>
      <w:footerReference w:type="default" r:id="rId10"/>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imbus Sans" w:hAnsi="Nimbus Sans" w:eastAsia="Nimbus Sans" w:cs="Nimbus Sans"/>
        <w:color w:val="5F6B76"/>
        <w:sz w:val="17"/>
      </w:rPr>
      <w:t xml:space="preserve">Page </w:t>
    </w:r>
    <w:fldSimple w:instr="PAGE">
      <w:r>
        <w:rPr>
          <w:rFonts w:ascii="Nimbus Sans" w:hAnsi="Nimbus Sans"/>
          <w:color w:val="5F6B76"/>
          <w:sz w:val="17"/>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7DEE7"/>
      </w:pBdr>
    </w:pPr>
    <w:r>
      <w:rPr>
        <w:rFonts w:ascii="Nimbus Sans" w:hAnsi="Nimbus Sans" w:eastAsia="Nimbus Sans" w:cs="Nimbus Sans"/>
        <w:b/>
        <w:color w:val="5F6B76"/>
        <w:sz w:val="16"/>
      </w:rPr>
      <w:t>DGG COUNSEL REVIEW PACKET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360"/>
        <w:tabs>
          <w:tab w:val="num" w:pos="720"/>
        </w:tabs>
      </w:pPr>
      <w:rPr>
        <w:rFonts w:ascii="Nimbus Sans" w:hAnsi="Nimbus Sans"/>
      </w:rPr>
    </w:lvl>
    <w:lvl w:ilvl="1">
      <w:numFmt w:val="bullet"/>
      <w:lvlText w:val=" "/>
      <w:lvlJc w:val="left"/>
      <w:pPr>
        <w:ind w:left="720" w:hanging="360"/>
        <w:tabs>
          <w:tab w:val="num" w:pos="720"/>
        </w:tabs>
      </w:pPr>
      <w:rPr>
        <w:rFonts w:ascii="Nimbus Sans" w:hAnsi="Nimbus Sans"/>
      </w:rPr>
    </w:lvl>
    <w:lvl w:ilvl="2">
      <w:numFmt w:val="bullet"/>
      <w:lvlText w:val=" "/>
      <w:lvlJc w:val="left"/>
      <w:pPr>
        <w:ind w:left="720" w:hanging="360"/>
        <w:tabs>
          <w:tab w:val="num" w:pos="720"/>
        </w:tabs>
      </w:pPr>
      <w:rPr>
        <w:rFonts w:ascii="Nimbus Sans" w:hAnsi="Nimbus Sans"/>
      </w:rPr>
    </w:lvl>
    <w:lvl w:ilvl="3">
      <w:numFmt w:val="bullet"/>
      <w:lvlText w:val=" "/>
      <w:lvlJc w:val="left"/>
      <w:pPr>
        <w:ind w:left="720" w:hanging="360"/>
        <w:tabs>
          <w:tab w:val="num" w:pos="720"/>
        </w:tabs>
      </w:pPr>
      <w:rPr>
        <w:rFonts w:ascii="Nimbus Sans" w:hAnsi="Nimbus Sans"/>
      </w:rPr>
    </w:lvl>
    <w:lvl w:ilvl="4">
      <w:numFmt w:val="bullet"/>
      <w:lvlText w:val=" "/>
      <w:lvlJc w:val="left"/>
      <w:pPr>
        <w:ind w:left="720" w:hanging="360"/>
        <w:tabs>
          <w:tab w:val="num" w:pos="720"/>
        </w:tabs>
      </w:pPr>
      <w:rPr>
        <w:rFonts w:ascii="Nimbus Sans" w:hAnsi="Nimbus Sans"/>
      </w:rPr>
    </w:lvl>
    <w:lvl w:ilvl="5">
      <w:numFmt w:val="bullet"/>
      <w:lvlText w:val=" "/>
      <w:lvlJc w:val="left"/>
      <w:pPr>
        <w:ind w:left="720" w:hanging="360"/>
        <w:tabs>
          <w:tab w:val="num" w:pos="720"/>
        </w:tabs>
      </w:pPr>
      <w:rPr>
        <w:rFonts w:ascii="Nimbus Sans" w:hAnsi="Nimbus Sans"/>
      </w:rPr>
    </w:lvl>
    <w:lvl w:ilvl="6">
      <w:numFmt w:val="bullet"/>
      <w:lvlText w:val=" "/>
      <w:lvlJc w:val="left"/>
      <w:pPr>
        <w:ind w:left="720" w:hanging="360"/>
        <w:tabs>
          <w:tab w:val="num" w:pos="720"/>
        </w:tabs>
      </w:pPr>
      <w:rPr>
        <w:rFonts w:ascii="Nimbus Sans" w:hAnsi="Nimbus Sans"/>
      </w:rPr>
    </w:lvl>
    <w:lvl w:ilvl="7">
      <w:numFmt w:val="bullet"/>
      <w:lvlText w:val=" "/>
      <w:lvlJc w:val="left"/>
      <w:pPr>
        <w:ind w:left="720" w:hanging="360"/>
        <w:tabs>
          <w:tab w:val="num" w:pos="720"/>
        </w:tabs>
      </w:pPr>
      <w:rPr>
        <w:rFonts w:ascii="Nimbus Sans" w:hAnsi="Nimbus Sans"/>
      </w:rPr>
    </w:lvl>
    <w:lvl w:ilvl="8">
      <w:numFmt w:val="bullet"/>
      <w:lvlText w:val=" "/>
      <w:lvlJc w:val="left"/>
      <w:pPr>
        <w:ind w:left="720" w:hanging="360"/>
        <w:tabs>
          <w:tab w:val="num" w:pos="720"/>
        </w:tabs>
      </w:pPr>
      <w:rPr>
        <w:rFonts w:ascii="Nimbus Sans" w:hAnsi="Nimbus Sans"/>
      </w:rPr>
    </w:lvl>
  </w:abstractNum>
  <w:abstractNum w:abstractNumId="991">
    <w:nsid w:val="A991"/>
    <w:multiLevelType w:val="multilevel"/>
    <w:lvl w:ilvl="0">
      <w:numFmt w:val="bullet"/>
      <w:lvlText w:val="•"/>
      <w:lvlJc w:val="left"/>
      <w:pPr>
        <w:ind w:left="720" w:hanging="360"/>
        <w:tabs>
          <w:tab w:val="num" w:pos="720"/>
        </w:tabs>
      </w:pPr>
      <w:rPr>
        <w:rFonts w:ascii="Nimbus Sans" w:hAnsi="Nimbus Sans"/>
      </w:rPr>
    </w:lvl>
    <w:lvl w:ilvl="1">
      <w:numFmt w:val="bullet"/>
      <w:lvlText w:val="–"/>
      <w:lvlJc w:val="left"/>
      <w:pPr>
        <w:ind w:left="720" w:hanging="360"/>
        <w:tabs>
          <w:tab w:val="num" w:pos="720"/>
        </w:tabs>
      </w:pPr>
      <w:rPr>
        <w:rFonts w:ascii="Nimbus Sans" w:hAnsi="Nimbus Sans"/>
      </w:rPr>
    </w:lvl>
    <w:lvl w:ilvl="2">
      <w:numFmt w:val="bullet"/>
      <w:lvlText w:val="•"/>
      <w:lvlJc w:val="left"/>
      <w:pPr>
        <w:ind w:left="720" w:hanging="360"/>
        <w:tabs>
          <w:tab w:val="num" w:pos="720"/>
        </w:tabs>
      </w:pPr>
      <w:rPr>
        <w:rFonts w:ascii="Nimbus Sans" w:hAnsi="Nimbus Sans"/>
      </w:rPr>
    </w:lvl>
    <w:lvl w:ilvl="3">
      <w:numFmt w:val="bullet"/>
      <w:lvlText w:val="–"/>
      <w:lvlJc w:val="left"/>
      <w:pPr>
        <w:ind w:left="720" w:hanging="360"/>
        <w:tabs>
          <w:tab w:val="num" w:pos="720"/>
        </w:tabs>
      </w:pPr>
      <w:rPr>
        <w:rFonts w:ascii="Nimbus Sans" w:hAnsi="Nimbus Sans"/>
      </w:rPr>
    </w:lvl>
    <w:lvl w:ilvl="4">
      <w:numFmt w:val="bullet"/>
      <w:lvlText w:val="•"/>
      <w:lvlJc w:val="left"/>
      <w:pPr>
        <w:ind w:left="720" w:hanging="360"/>
        <w:tabs>
          <w:tab w:val="num" w:pos="720"/>
        </w:tabs>
      </w:pPr>
      <w:rPr>
        <w:rFonts w:ascii="Nimbus Sans" w:hAnsi="Nimbus Sans"/>
      </w:rPr>
    </w:lvl>
    <w:lvl w:ilvl="5">
      <w:numFmt w:val="bullet"/>
      <w:lvlText w:val="–"/>
      <w:lvlJc w:val="left"/>
      <w:pPr>
        <w:ind w:left="720" w:hanging="360"/>
        <w:tabs>
          <w:tab w:val="num" w:pos="720"/>
        </w:tabs>
      </w:pPr>
      <w:rPr>
        <w:rFonts w:ascii="Nimbus Sans" w:hAnsi="Nimbus Sans"/>
      </w:rPr>
    </w:lvl>
    <w:lvl w:ilvl="6">
      <w:numFmt w:val="bullet"/>
      <w:lvlText w:val="•"/>
      <w:lvlJc w:val="left"/>
      <w:pPr>
        <w:ind w:left="720" w:hanging="360"/>
        <w:tabs>
          <w:tab w:val="num" w:pos="720"/>
        </w:tabs>
      </w:pPr>
      <w:rPr>
        <w:rFonts w:ascii="Nimbus Sans" w:hAnsi="Nimbus Sans"/>
      </w:rPr>
    </w:lvl>
    <w:lvl w:ilvl="7">
      <w:numFmt w:val="bullet"/>
      <w:lvlText w:val="–"/>
      <w:lvlJc w:val="left"/>
      <w:pPr>
        <w:ind w:left="720" w:hanging="360"/>
        <w:tabs>
          <w:tab w:val="num" w:pos="720"/>
        </w:tabs>
      </w:pPr>
      <w:rPr>
        <w:rFonts w:ascii="Nimbus Sans" w:hAnsi="Nimbus Sans"/>
      </w:rPr>
    </w:lvl>
    <w:lvl w:ilvl="8">
      <w:numFmt w:val="bullet"/>
      <w:lvlText w:val="•"/>
      <w:lvlJc w:val="left"/>
      <w:pPr>
        <w:ind w:left="720" w:hanging="360"/>
        <w:tabs>
          <w:tab w:val="num" w:pos="720"/>
        </w:tabs>
      </w:pPr>
      <w:rPr>
        <w:rFonts w:ascii="Nimbus Sans" w:hAnsi="Nimbus Sans"/>
      </w:rPr>
    </w:lvl>
  </w:abstractNum>
  <w:abstractNum w:abstractNumId="99411">
    <w:nsid w:val="A99411"/>
    <w:multiLevelType w:val="multilevel"/>
    <w:lvl w:ilvl="0">
      <w:start w:val="1"/>
      <w:numFmt w:val="decimal"/>
      <w:lvlText w:val="%1."/>
      <w:lvlJc w:val="left"/>
      <w:pPr>
        <w:ind w:left="720" w:hanging="360"/>
        <w:tabs>
          <w:tab w:val="num" w:pos="720"/>
        </w:tabs>
      </w:pPr>
      <w:rPr>
        <w:rFonts w:ascii="Nimbus Sans" w:hAnsi="Nimbus Sans"/>
      </w:rPr>
    </w:lvl>
    <w:lvl w:ilvl="1">
      <w:start w:val="1"/>
      <w:numFmt w:val="decimal"/>
      <w:lvlText w:val="%2."/>
      <w:lvlJc w:val="left"/>
      <w:pPr>
        <w:ind w:left="720" w:hanging="360"/>
        <w:tabs>
          <w:tab w:val="num" w:pos="720"/>
        </w:tabs>
      </w:pPr>
      <w:rPr>
        <w:rFonts w:ascii="Nimbus Sans" w:hAnsi="Nimbus Sans"/>
      </w:rPr>
    </w:lvl>
    <w:lvl w:ilvl="2">
      <w:start w:val="1"/>
      <w:numFmt w:val="decimal"/>
      <w:lvlText w:val="%3."/>
      <w:lvlJc w:val="left"/>
      <w:pPr>
        <w:ind w:left="720" w:hanging="360"/>
        <w:tabs>
          <w:tab w:val="num" w:pos="720"/>
        </w:tabs>
      </w:pPr>
      <w:rPr>
        <w:rFonts w:ascii="Nimbus Sans" w:hAnsi="Nimbus Sans"/>
      </w:rPr>
    </w:lvl>
    <w:lvl w:ilvl="3">
      <w:start w:val="1"/>
      <w:numFmt w:val="decimal"/>
      <w:lvlText w:val="%4."/>
      <w:lvlJc w:val="left"/>
      <w:pPr>
        <w:ind w:left="720" w:hanging="360"/>
        <w:tabs>
          <w:tab w:val="num" w:pos="720"/>
        </w:tabs>
      </w:pPr>
      <w:rPr>
        <w:rFonts w:ascii="Nimbus Sans" w:hAnsi="Nimbus Sans"/>
      </w:rPr>
    </w:lvl>
    <w:lvl w:ilvl="4">
      <w:start w:val="1"/>
      <w:numFmt w:val="decimal"/>
      <w:lvlText w:val="%5."/>
      <w:lvlJc w:val="left"/>
      <w:pPr>
        <w:ind w:left="720" w:hanging="360"/>
        <w:tabs>
          <w:tab w:val="num" w:pos="720"/>
        </w:tabs>
      </w:pPr>
      <w:rPr>
        <w:rFonts w:ascii="Nimbus Sans" w:hAnsi="Nimbus Sans"/>
      </w:rPr>
    </w:lvl>
    <w:lvl w:ilvl="5">
      <w:start w:val="1"/>
      <w:numFmt w:val="decimal"/>
      <w:lvlText w:val="%6."/>
      <w:lvlJc w:val="left"/>
      <w:pPr>
        <w:ind w:left="720" w:hanging="360"/>
        <w:tabs>
          <w:tab w:val="num" w:pos="720"/>
        </w:tabs>
      </w:pPr>
      <w:rPr>
        <w:rFonts w:ascii="Nimbus Sans" w:hAnsi="Nimbus Sans"/>
      </w:rPr>
    </w:lvl>
    <w:lvl w:ilvl="6">
      <w:start w:val="1"/>
      <w:numFmt w:val="decimal"/>
      <w:lvlText w:val="%7."/>
      <w:lvlJc w:val="left"/>
      <w:pPr>
        <w:ind w:left="720" w:hanging="360"/>
        <w:tabs>
          <w:tab w:val="num" w:pos="720"/>
        </w:tabs>
      </w:pPr>
      <w:rPr>
        <w:rFonts w:ascii="Nimbus Sans" w:hAnsi="Nimbus Sans"/>
      </w:rPr>
    </w:lvl>
    <w:lvl w:ilvl="7">
      <w:start w:val="1"/>
      <w:numFmt w:val="decimal"/>
      <w:lvlText w:val="%8."/>
      <w:lvlJc w:val="left"/>
      <w:pPr>
        <w:ind w:left="720" w:hanging="360"/>
        <w:tabs>
          <w:tab w:val="num" w:pos="720"/>
        </w:tabs>
      </w:pPr>
      <w:rPr>
        <w:rFonts w:ascii="Nimbus Sans" w:hAnsi="Nimbus Sans"/>
      </w:rPr>
    </w:lvl>
    <w:lvl w:ilvl="8">
      <w:start w:val="1"/>
      <w:numFmt w:val="decimal"/>
      <w:lvlText w:val="%9."/>
      <w:lvlJc w:val="left"/>
      <w:pPr>
        <w:ind w:left="720" w:hanging="360"/>
        <w:tabs>
          <w:tab w:val="num" w:pos="720"/>
        </w:tabs>
      </w:pPr>
      <w:rPr>
        <w:rFonts w:ascii="Nimbus Sans" w:hAnsi="Nimbus Sans"/>
      </w:r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20" w:line="264" w:lineRule="auto"/>
    </w:pPr>
    <w:rPr>
      <w:rFonts w:ascii="Nimbus Sans" w:hAnsi="Nimbus Sans"/>
      <w:color w:val="111111"/>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widowControl/>
      <w:spacing w:after="160" w:before="320"/>
      <w:outlineLvl w:val="0"/>
    </w:pPr>
    <w:rPr>
      <w:rFonts w:asciiTheme="majorHAnsi" w:cstheme="majorBidi" w:eastAsiaTheme="majorEastAsia" w:hAnsiTheme="majorHAnsi" w:ascii="Nimbus Sans" w:hAnsi="Nimbus Sans"/>
      <w:b/>
      <w:bCs/>
      <w:color w:val="2E74B5"/>
      <w:sz w:val="32"/>
      <w:szCs w:val="32"/>
    </w:rPr>
  </w:style>
  <w:style w:styleId="Heading2" w:type="paragraph">
    <w:name w:val="Heading 2"/>
    <w:basedOn w:val="Normal"/>
    <w:next w:val="BodyText"/>
    <w:uiPriority w:val="9"/>
    <w:unhideWhenUsed/>
    <w:qFormat/>
    <w:pPr>
      <w:keepNext/>
      <w:keepLines/>
      <w:widowControl/>
      <w:spacing w:after="120" w:before="240"/>
      <w:outlineLvl w:val="1"/>
    </w:pPr>
    <w:rPr>
      <w:rFonts w:asciiTheme="majorHAnsi" w:cstheme="majorBidi" w:eastAsiaTheme="majorEastAsia" w:hAnsiTheme="majorHAnsi" w:ascii="Nimbus Sans" w:hAnsi="Nimbus Sans"/>
      <w:b/>
      <w:bCs/>
      <w:color w:val="2E74B5"/>
      <w:sz w:val="26"/>
      <w:szCs w:val="28"/>
    </w:rPr>
  </w:style>
  <w:style w:styleId="Heading3" w:type="paragraph">
    <w:name w:val="Heading 3"/>
    <w:basedOn w:val="Normal"/>
    <w:next w:val="BodyText"/>
    <w:uiPriority w:val="9"/>
    <w:unhideWhenUsed/>
    <w:qFormat/>
    <w:pPr>
      <w:keepNext/>
      <w:keepLines/>
      <w:widowControl/>
      <w:spacing w:after="80" w:before="160"/>
      <w:outlineLvl w:val="2"/>
    </w:pPr>
    <w:rPr>
      <w:rFonts w:asciiTheme="majorHAnsi" w:cstheme="majorBidi" w:eastAsiaTheme="majorEastAsia" w:hAnsiTheme="majorHAnsi" w:ascii="Nimbus Sans" w:hAnsi="Nimbus Sans"/>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64" w:lineRule="auto"/>
      <w:ind w:firstLine="0" w:left="480" w:right="480"/>
    </w:pPr>
    <w:rPr>
      <w:rFonts w:ascii="Nimbus Sans" w:hAnsi="Nimbus Sans"/>
      <w:color w:val="0B2545"/>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Nimbus Sans" w:hAnsi="Nimbus Sans"/>
      <w:i/>
      <w:color w:val="5F6B76"/>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4" Type="http://schemas.openxmlformats.org/officeDocument/2006/relationships/hyperlink" Target="https://app.leg.wa.gov/RCW/default.aspx?cite=19.373&amp;full=true" TargetMode="External"/><Relationship Id="rId133" Type="http://schemas.openxmlformats.org/officeDocument/2006/relationships/hyperlink" Target="https://app.leg.wa.gov/RCW/default.aspx?cite=19.375&amp;full=true" TargetMode="External"/><Relationship Id="rId48" Type="http://schemas.openxmlformats.org/officeDocument/2006/relationships/hyperlink" Target="https://app.leg.wa.gov/RCW/default.aspx?cite=39.26.340" TargetMode="External"/><Relationship Id="rId132" Type="http://schemas.openxmlformats.org/officeDocument/2006/relationships/hyperlink" Target="https://app.leg.wa.gov/RCW/default.aspx?cite=4.105&amp;full=true" TargetMode="External"/><Relationship Id="rId90" Type="http://schemas.openxmlformats.org/officeDocument/2006/relationships/hyperlink" Target="https://app.leg.wa.gov/RCW/default.aspx?cite=42.45.130" TargetMode="External"/><Relationship Id="rId91" Type="http://schemas.openxmlformats.org/officeDocument/2006/relationships/hyperlink" Target="https://app.leg.wa.gov/RCW/default.aspx?cite=42.45.140" TargetMode="External"/><Relationship Id="rId122" Type="http://schemas.openxmlformats.org/officeDocument/2006/relationships/hyperlink" Target="https://app.leg.wa.gov/RCW/default.aspx?cite=42.45.180" TargetMode="External"/><Relationship Id="rId123" Type="http://schemas.openxmlformats.org/officeDocument/2006/relationships/hyperlink" Target="https://app.leg.wa.gov/RCW/default.aspx?cite=42.45.230" TargetMode="External"/><Relationship Id="rId124" Type="http://schemas.openxmlformats.org/officeDocument/2006/relationships/hyperlink" Target="https://app.leg.wa.gov/RCW/default.aspx?cite=5.28.010" TargetMode="External"/><Relationship Id="rId129" Type="http://schemas.openxmlformats.org/officeDocument/2006/relationships/hyperlink" Target="https://app.leg.wa.gov/RCW/default.aspx?cite=9.73.030" TargetMode="External"/><Relationship Id="rId126" Type="http://schemas.openxmlformats.org/officeDocument/2006/relationships/hyperlink" Target="https://app.leg.wa.gov/RCW/default.aspx?cite=9A.04.030" TargetMode="External"/><Relationship Id="rId94" Type="http://schemas.openxmlformats.org/officeDocument/2006/relationships/hyperlink" Target="https://app.leg.wa.gov/RCW/default.aspx?cite=9A.72.060" TargetMode="External"/><Relationship Id="rId135" Type="http://schemas.openxmlformats.org/officeDocument/2006/relationships/hyperlink" Target="https://app.leg.wa.gov/rcw/default.aspx?cite=19.255&amp;full=true" TargetMode="External"/><Relationship Id="rId47" Type="http://schemas.openxmlformats.org/officeDocument/2006/relationships/hyperlink" Target="https://app.leg.wa.gov/rcw/default.aspx?cite=39.26&amp;full=true" TargetMode="External"/><Relationship Id="rId49" Type="http://schemas.openxmlformats.org/officeDocument/2006/relationships/hyperlink" Target="https://app.leg.wa.gov/rcw/default.aspx?cite=40.14&amp;full=true" TargetMode="External"/><Relationship Id="rId46" Type="http://schemas.openxmlformats.org/officeDocument/2006/relationships/hyperlink" Target="https://app.leg.wa.gov/rcw/default.aspx?cite=42.23&amp;full=true" TargetMode="External"/><Relationship Id="rId50" Type="http://schemas.openxmlformats.org/officeDocument/2006/relationships/hyperlink" Target="https://app.leg.wa.gov/rcw/default.aspx?cite=42.30&amp;full=true" TargetMode="External"/><Relationship Id="rId121" Type="http://schemas.openxmlformats.org/officeDocument/2006/relationships/hyperlink" Target="https://app.leg.wa.gov/rcw/default.aspx?cite=42.45&amp;full=true" TargetMode="External"/><Relationship Id="rId45" Type="http://schemas.openxmlformats.org/officeDocument/2006/relationships/hyperlink" Target="https://app.leg.wa.gov/rcw/default.aspx?cite=42.52&amp;full=true" TargetMode="External"/><Relationship Id="rId42" Type="http://schemas.openxmlformats.org/officeDocument/2006/relationships/hyperlink" Target="https://app.leg.wa.gov/rcw/default.aspx?cite=42.56&amp;full=true" TargetMode="External"/><Relationship Id="rId131" Type="http://schemas.openxmlformats.org/officeDocument/2006/relationships/hyperlink" Target="https://app.leg.wa.gov/rcw/default.aspx?cite=5.68.010" TargetMode="External"/><Relationship Id="rId130" Type="http://schemas.openxmlformats.org/officeDocument/2006/relationships/hyperlink" Target="https://app.leg.wa.gov/rcw/default.aspx?cite=63.60&amp;full=true" TargetMode="External"/><Relationship Id="rId125" Type="http://schemas.openxmlformats.org/officeDocument/2006/relationships/hyperlink" Target="https://app.leg.wa.gov/rcw/default.aspx?cite=9A.72&amp;full=true" TargetMode="External"/><Relationship Id="rId127" Type="http://schemas.openxmlformats.org/officeDocument/2006/relationships/hyperlink" Target="https://app.leg.wa.gov/wac/default.aspx?cite=308-30&amp;full=true" TargetMode="External"/><Relationship Id="rId56" Type="http://schemas.openxmlformats.org/officeDocument/2006/relationships/hyperlink" Target="https://tile.loc.gov/storage-services/service/ll/usrep/usrep408/usrep408564/usrep408564.pdf" TargetMode="External"/><Relationship Id="rId57" Type="http://schemas.openxmlformats.org/officeDocument/2006/relationships/hyperlink" Target="https://tile.loc.gov/storage-services/service/ll/usrep/usrep424/usrep424319/usrep424319.pdf" TargetMode="External"/><Relationship Id="rId55" Type="http://schemas.openxmlformats.org/officeDocument/2006/relationships/hyperlink" Target="https://tile.loc.gov/storage-services/service/ll/usrep/usrep424/usrep424693/usrep424693.pdf" TargetMode="External"/><Relationship Id="rId38" Type="http://schemas.openxmlformats.org/officeDocument/2006/relationships/hyperlink" Target="https://tile.loc.gov/storage-services/service/ll/usrep/usrep457/usrep457830/usrep457830.pdf" TargetMode="External"/><Relationship Id="rId36" Type="http://schemas.openxmlformats.org/officeDocument/2006/relationships/hyperlink" Target="https://tile.loc.gov/storage-services/service/ll/usrep/usrep457/usrep457922/usrep457922.pdf" TargetMode="External"/><Relationship Id="rId37" Type="http://schemas.openxmlformats.org/officeDocument/2006/relationships/hyperlink" Target="https://tile.loc.gov/storage-services/service/ll/usrep/usrep457/usrep457991/usrep457991.pdf" TargetMode="External"/><Relationship Id="rId39" Type="http://schemas.openxmlformats.org/officeDocument/2006/relationships/hyperlink" Target="https://tile.loc.gov/storage-services/service/ll/usrep/usrep531/usrep531288/usrep531288.pdf" TargetMode="External"/><Relationship Id="rId53" Type="http://schemas.openxmlformats.org/officeDocument/2006/relationships/hyperlink" Target="https://tile.loc.gov/storage-services/service/ll/usrep/usrep567/usrep567709/usrep567709.pdf" TargetMode="External"/><Relationship Id="rId54" Type="http://schemas.openxmlformats.org/officeDocument/2006/relationships/hyperlink" Target="https://tile.loc.gov/storage-services/service/ll/usrep/usrep570/usrep570205/usrep570205.pdf" TargetMode="External"/><Relationship Id="rId99" Type="http://schemas.openxmlformats.org/officeDocument/2006/relationships/hyperlink" Target="https://www.courts.wa.gov/court_rules/?fa=court_rules.list&amp;group=ga&amp;set=ER" TargetMode="External"/><Relationship Id="rId44" Type="http://schemas.openxmlformats.org/officeDocument/2006/relationships/hyperlink" Target="https://www.courts.wa.gov/opinions/pdf/1033397.pdf" TargetMode="External"/><Relationship Id="rId43" Type="http://schemas.openxmlformats.org/officeDocument/2006/relationships/hyperlink" Target="https://www.courts.wa.gov/opinions/pdf/908753.pdf" TargetMode="External"/><Relationship Id="rId138" Type="http://schemas.openxmlformats.org/officeDocument/2006/relationships/hyperlink" Target="https://www.ecfr.gov/current/title-45/subtitle-A/subchapter-A/part-46" TargetMode="External"/><Relationship Id="rId106" Type="http://schemas.openxmlformats.org/officeDocument/2006/relationships/hyperlink" Target="https://www.ecfr.gov/current/title-45/subtitle-A/subchapter-A/part-46/subpart-A/section-46.102" TargetMode="External"/><Relationship Id="rId107" Type="http://schemas.openxmlformats.org/officeDocument/2006/relationships/hyperlink" Target="https://www.hhs.gov/ohrp/education-and-outreach/online-education/human-research-protection-training/lesson-2-what-is-human-subjects-research/index.html" TargetMode="External"/><Relationship Id="rId108" Type="http://schemas.openxmlformats.org/officeDocument/2006/relationships/hyperlink" Target="https://www.hhs.gov/ohrp/regulations-and-policy/decision-charts-2018/index.html" TargetMode="External"/><Relationship Id="rId35" Type="http://schemas.openxmlformats.org/officeDocument/2006/relationships/hyperlink" Target="https://www.supremecourt.gov/opinions/18pdf/17-1702_h315.pdf"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34" Type="http://schemas.openxmlformats.org/officeDocument/2006/relationships/hyperlink" Target="https://app.leg.wa.gov/RCW/default.aspx?cite=19.373&amp;full=true" TargetMode="External"/><Relationship Id="rId133" Type="http://schemas.openxmlformats.org/officeDocument/2006/relationships/hyperlink" Target="https://app.leg.wa.gov/RCW/default.aspx?cite=19.375&amp;full=true" TargetMode="External"/><Relationship Id="rId48" Type="http://schemas.openxmlformats.org/officeDocument/2006/relationships/hyperlink" Target="https://app.leg.wa.gov/RCW/default.aspx?cite=39.26.340" TargetMode="External"/><Relationship Id="rId132" Type="http://schemas.openxmlformats.org/officeDocument/2006/relationships/hyperlink" Target="https://app.leg.wa.gov/RCW/default.aspx?cite=4.105&amp;full=true" TargetMode="External"/><Relationship Id="rId90" Type="http://schemas.openxmlformats.org/officeDocument/2006/relationships/hyperlink" Target="https://app.leg.wa.gov/RCW/default.aspx?cite=42.45.130" TargetMode="External"/><Relationship Id="rId91" Type="http://schemas.openxmlformats.org/officeDocument/2006/relationships/hyperlink" Target="https://app.leg.wa.gov/RCW/default.aspx?cite=42.45.140" TargetMode="External"/><Relationship Id="rId122" Type="http://schemas.openxmlformats.org/officeDocument/2006/relationships/hyperlink" Target="https://app.leg.wa.gov/RCW/default.aspx?cite=42.45.180" TargetMode="External"/><Relationship Id="rId123" Type="http://schemas.openxmlformats.org/officeDocument/2006/relationships/hyperlink" Target="https://app.leg.wa.gov/RCW/default.aspx?cite=42.45.230" TargetMode="External"/><Relationship Id="rId124" Type="http://schemas.openxmlformats.org/officeDocument/2006/relationships/hyperlink" Target="https://app.leg.wa.gov/RCW/default.aspx?cite=5.28.010" TargetMode="External"/><Relationship Id="rId129" Type="http://schemas.openxmlformats.org/officeDocument/2006/relationships/hyperlink" Target="https://app.leg.wa.gov/RCW/default.aspx?cite=9.73.030" TargetMode="External"/><Relationship Id="rId126" Type="http://schemas.openxmlformats.org/officeDocument/2006/relationships/hyperlink" Target="https://app.leg.wa.gov/RCW/default.aspx?cite=9A.04.030" TargetMode="External"/><Relationship Id="rId94" Type="http://schemas.openxmlformats.org/officeDocument/2006/relationships/hyperlink" Target="https://app.leg.wa.gov/RCW/default.aspx?cite=9A.72.060" TargetMode="External"/><Relationship Id="rId135" Type="http://schemas.openxmlformats.org/officeDocument/2006/relationships/hyperlink" Target="https://app.leg.wa.gov/rcw/default.aspx?cite=19.255&amp;full=true" TargetMode="External"/><Relationship Id="rId47" Type="http://schemas.openxmlformats.org/officeDocument/2006/relationships/hyperlink" Target="https://app.leg.wa.gov/rcw/default.aspx?cite=39.26&amp;full=true" TargetMode="External"/><Relationship Id="rId49" Type="http://schemas.openxmlformats.org/officeDocument/2006/relationships/hyperlink" Target="https://app.leg.wa.gov/rcw/default.aspx?cite=40.14&amp;full=true" TargetMode="External"/><Relationship Id="rId46" Type="http://schemas.openxmlformats.org/officeDocument/2006/relationships/hyperlink" Target="https://app.leg.wa.gov/rcw/default.aspx?cite=42.23&amp;full=true" TargetMode="External"/><Relationship Id="rId50" Type="http://schemas.openxmlformats.org/officeDocument/2006/relationships/hyperlink" Target="https://app.leg.wa.gov/rcw/default.aspx?cite=42.30&amp;full=true" TargetMode="External"/><Relationship Id="rId121" Type="http://schemas.openxmlformats.org/officeDocument/2006/relationships/hyperlink" Target="https://app.leg.wa.gov/rcw/default.aspx?cite=42.45&amp;full=true" TargetMode="External"/><Relationship Id="rId45" Type="http://schemas.openxmlformats.org/officeDocument/2006/relationships/hyperlink" Target="https://app.leg.wa.gov/rcw/default.aspx?cite=42.52&amp;full=true" TargetMode="External"/><Relationship Id="rId42" Type="http://schemas.openxmlformats.org/officeDocument/2006/relationships/hyperlink" Target="https://app.leg.wa.gov/rcw/default.aspx?cite=42.56&amp;full=true" TargetMode="External"/><Relationship Id="rId131" Type="http://schemas.openxmlformats.org/officeDocument/2006/relationships/hyperlink" Target="https://app.leg.wa.gov/rcw/default.aspx?cite=5.68.010" TargetMode="External"/><Relationship Id="rId130" Type="http://schemas.openxmlformats.org/officeDocument/2006/relationships/hyperlink" Target="https://app.leg.wa.gov/rcw/default.aspx?cite=63.60&amp;full=true" TargetMode="External"/><Relationship Id="rId125" Type="http://schemas.openxmlformats.org/officeDocument/2006/relationships/hyperlink" Target="https://app.leg.wa.gov/rcw/default.aspx?cite=9A.72&amp;full=true" TargetMode="External"/><Relationship Id="rId127" Type="http://schemas.openxmlformats.org/officeDocument/2006/relationships/hyperlink" Target="https://app.leg.wa.gov/wac/default.aspx?cite=308-30&amp;full=true" TargetMode="External"/><Relationship Id="rId56" Type="http://schemas.openxmlformats.org/officeDocument/2006/relationships/hyperlink" Target="https://tile.loc.gov/storage-services/service/ll/usrep/usrep408/usrep408564/usrep408564.pdf" TargetMode="External"/><Relationship Id="rId57" Type="http://schemas.openxmlformats.org/officeDocument/2006/relationships/hyperlink" Target="https://tile.loc.gov/storage-services/service/ll/usrep/usrep424/usrep424319/usrep424319.pdf" TargetMode="External"/><Relationship Id="rId55" Type="http://schemas.openxmlformats.org/officeDocument/2006/relationships/hyperlink" Target="https://tile.loc.gov/storage-services/service/ll/usrep/usrep424/usrep424693/usrep424693.pdf" TargetMode="External"/><Relationship Id="rId38" Type="http://schemas.openxmlformats.org/officeDocument/2006/relationships/hyperlink" Target="https://tile.loc.gov/storage-services/service/ll/usrep/usrep457/usrep457830/usrep457830.pdf" TargetMode="External"/><Relationship Id="rId36" Type="http://schemas.openxmlformats.org/officeDocument/2006/relationships/hyperlink" Target="https://tile.loc.gov/storage-services/service/ll/usrep/usrep457/usrep457922/usrep457922.pdf" TargetMode="External"/><Relationship Id="rId37" Type="http://schemas.openxmlformats.org/officeDocument/2006/relationships/hyperlink" Target="https://tile.loc.gov/storage-services/service/ll/usrep/usrep457/usrep457991/usrep457991.pdf" TargetMode="External"/><Relationship Id="rId39" Type="http://schemas.openxmlformats.org/officeDocument/2006/relationships/hyperlink" Target="https://tile.loc.gov/storage-services/service/ll/usrep/usrep531/usrep531288/usrep531288.pdf" TargetMode="External"/><Relationship Id="rId53" Type="http://schemas.openxmlformats.org/officeDocument/2006/relationships/hyperlink" Target="https://tile.loc.gov/storage-services/service/ll/usrep/usrep567/usrep567709/usrep567709.pdf" TargetMode="External"/><Relationship Id="rId54" Type="http://schemas.openxmlformats.org/officeDocument/2006/relationships/hyperlink" Target="https://tile.loc.gov/storage-services/service/ll/usrep/usrep570/usrep570205/usrep570205.pdf" TargetMode="External"/><Relationship Id="rId99" Type="http://schemas.openxmlformats.org/officeDocument/2006/relationships/hyperlink" Target="https://www.courts.wa.gov/court_rules/?fa=court_rules.list&amp;group=ga&amp;set=ER" TargetMode="External"/><Relationship Id="rId44" Type="http://schemas.openxmlformats.org/officeDocument/2006/relationships/hyperlink" Target="https://www.courts.wa.gov/opinions/pdf/1033397.pdf" TargetMode="External"/><Relationship Id="rId43" Type="http://schemas.openxmlformats.org/officeDocument/2006/relationships/hyperlink" Target="https://www.courts.wa.gov/opinions/pdf/908753.pdf" TargetMode="External"/><Relationship Id="rId138" Type="http://schemas.openxmlformats.org/officeDocument/2006/relationships/hyperlink" Target="https://www.ecfr.gov/current/title-45/subtitle-A/subchapter-A/part-46" TargetMode="External"/><Relationship Id="rId106" Type="http://schemas.openxmlformats.org/officeDocument/2006/relationships/hyperlink" Target="https://www.ecfr.gov/current/title-45/subtitle-A/subchapter-A/part-46/subpart-A/section-46.102" TargetMode="External"/><Relationship Id="rId107" Type="http://schemas.openxmlformats.org/officeDocument/2006/relationships/hyperlink" Target="https://www.hhs.gov/ohrp/education-and-outreach/online-education/human-research-protection-training/lesson-2-what-is-human-subjects-research/index.html" TargetMode="External"/><Relationship Id="rId108" Type="http://schemas.openxmlformats.org/officeDocument/2006/relationships/hyperlink" Target="https://www.hhs.gov/ohrp/regulations-and-policy/decision-charts-2018/index.html" TargetMode="External"/><Relationship Id="rId35" Type="http://schemas.openxmlformats.org/officeDocument/2006/relationships/hyperlink" Target="https://www.supremecourt.gov/opinions/18pdf/17-1702_h3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DGG Counsel Review and Questioning Packet</dc:title>
  <dc:creator/>
  <cp:keywords>Washington; notary; verification on oath; counsel review; research</cp:keywords>
  <dcterms:created xsi:type="dcterms:W3CDTF">2026-08-30T10:11:49Z</dcterms:created>
  <dcterms:modified xsi:type="dcterms:W3CDTF">2026-08-30T10:11:49Z</dcterms:modified>
  <dc:subject>Washington voluntary sworn-record research and form design</dc:subject>
  <dc:description>Counsel-review draft; not for live use</dc:description>
</cp:coreProperties>
</file>