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Kicker"/>
        <w:jc w:val="left"/>
        <w:widowControl/>
        <w:pBdr>
          <w:bottom w:val="single" w:sz="16" w:space="8" w:color="2E74B5"/>
        </w:pBdr>
      </w:pPr>
      <w:r>
        <w:rPr>
          <w:rFonts w:ascii="Calibri" w:hAnsi="Calibri" w:eastAsia="Calibri"/>
          <w:b/>
          <w:color w:val="2E74B5"/>
          <w:sz w:val="18"/>
        </w:rPr>
        <w:t>DIGITAL GROUND GAME  /  COUNSEL REVIEW PACKET</w:t>
      </w:r>
    </w:p>
    <w:p>
      <w:pPr>
        <w:pStyle w:val="CoverTitle"/>
        <w:widowControl/>
      </w:pPr>
      <w:r>
        <w:rPr>
          <w:rFonts w:ascii="Calibri" w:hAnsi="Calibri" w:eastAsia="Calibri"/>
          <w:b/>
          <w:color w:val="18324A"/>
          <w:sz w:val="54"/>
        </w:rPr>
        <w:t>Washington Participant-Sworn</w:t>
        <w:br/>
        <w:t>Statement Protocol</w:t>
      </w:r>
    </w:p>
    <w:p>
      <w:pPr>
        <w:pStyle w:val="CoverSubtitle"/>
        <w:widowControl/>
      </w:pPr>
      <w:r>
        <w:rPr>
          <w:rFonts w:ascii="Calibri" w:hAnsi="Calibri" w:eastAsia="Calibri"/>
          <w:color w:val="2E74B5"/>
          <w:sz w:val="30"/>
        </w:rPr>
        <w:t>Legal feasibility, adversarial audit, and counsel-ready pilot design</w:t>
      </w:r>
    </w:p>
    <w:p>
      <w:pPr>
        <w:pStyle w:val="Metadata"/>
        <w:widowControl/>
      </w:pPr>
      <w:r>
        <w:rPr>
          <w:rFonts w:ascii="Calibri" w:hAnsi="Calibri" w:eastAsia="Calibri"/>
          <w:b/>
          <w:color w:val="1F4D78"/>
          <w:sz w:val="17"/>
        </w:rPr>
        <w:t xml:space="preserve">PREPARED FOR  </w:t>
      </w:r>
      <w:r>
        <w:rPr>
          <w:rFonts w:ascii="Calibri" w:hAnsi="Calibri" w:eastAsia="Calibri"/>
          <w:color w:val="5F6B76"/>
          <w:sz w:val="19"/>
        </w:rPr>
        <w:t>Digital Ground Game (DGG), as a proposed program concept</w:t>
      </w:r>
    </w:p>
    <w:p>
      <w:pPr>
        <w:pStyle w:val="Metadata"/>
        <w:widowControl/>
      </w:pPr>
      <w:r>
        <w:rPr>
          <w:rFonts w:ascii="Calibri" w:hAnsi="Calibri" w:eastAsia="Calibri"/>
          <w:b/>
          <w:color w:val="1F4D78"/>
          <w:sz w:val="17"/>
        </w:rPr>
        <w:t xml:space="preserve">RESEARCH CUTOFF  </w:t>
      </w:r>
      <w:r>
        <w:rPr>
          <w:rFonts w:ascii="Calibri" w:hAnsi="Calibri" w:eastAsia="Calibri"/>
          <w:color w:val="5F6B76"/>
          <w:sz w:val="19"/>
        </w:rPr>
        <w:t>August 30, 2026</w:t>
      </w:r>
    </w:p>
    <w:p>
      <w:pPr>
        <w:pStyle w:val="Metadata"/>
        <w:widowControl/>
      </w:pPr>
      <w:r>
        <w:rPr>
          <w:rFonts w:ascii="Calibri" w:hAnsi="Calibri" w:eastAsia="Calibri"/>
          <w:b/>
          <w:color w:val="1F4D78"/>
          <w:sz w:val="17"/>
        </w:rPr>
        <w:t xml:space="preserve">STATUS  </w:t>
      </w:r>
      <w:r>
        <w:rPr>
          <w:rFonts w:ascii="Calibri" w:hAnsi="Calibri" w:eastAsia="Calibri"/>
          <w:color w:val="5F6B76"/>
          <w:sz w:val="19"/>
        </w:rPr>
        <w:t>Independent research draft for licensed-counsel review</w:t>
      </w:r>
    </w:p>
    <w:p>
      <w:pPr>
        <w:pStyle w:val="Metadata"/>
        <w:widowControl/>
      </w:pPr>
      <w:r>
        <w:rPr>
          <w:rFonts w:ascii="Calibri" w:hAnsi="Calibri" w:eastAsia="Calibri"/>
          <w:b/>
          <w:color w:val="1F4D78"/>
          <w:sz w:val="17"/>
        </w:rPr>
        <w:t xml:space="preserve">SOURCE LINEAGE  </w:t>
      </w:r>
      <w:r>
        <w:rPr>
          <w:rFonts w:ascii="Calibri" w:hAnsi="Calibri" w:eastAsia="Calibri"/>
          <w:color w:val="5F6B76"/>
          <w:sz w:val="19"/>
        </w:rPr>
        <w:t>Concept paper v3; pilot packet v2; originating screenshot; current primary and official authorities</w:t>
      </w:r>
    </w:p>
    <w:p>
      <w:pPr>
        <w:pStyle w:val="Callout"/>
        <w:keepLines/>
        <w:spacing w:before="160" w:after="240"/>
        <w:ind w:left="259" w:right="173"/>
        <w:shd w:fill="FFF4D6"/>
        <w:widowControl/>
        <w:pBdr>
          <w:left w:val="single" w:sz="18" w:space="8" w:color="D9A400"/>
        </w:pBdr>
      </w:pPr>
      <w:r>
        <w:rPr>
          <w:rFonts w:ascii="Calibri" w:hAnsi="Calibri" w:eastAsia="Calibri"/>
          <w:color w:val="18324A"/>
          <w:sz w:val="22"/>
        </w:rPr>
        <w:t>Decision in one sentence. DGG can plausibly pilot a voluntary Washington notarial verification of an exact, signed factual record, but it should not put a whole free-form interview “under oath,” promise perjury or extradition consequences, or scale interstate until the controls and counsel gates in this report are satisfied.</w:t>
      </w:r>
    </w:p>
    <w:p>
      <w:pPr>
        <w:widowControl/>
        <w:spacing w:before="240"/>
      </w:pPr>
      <w:r>
        <w:rPr>
          <w:rFonts w:ascii="Calibri" w:hAnsi="Calibri" w:eastAsia="Calibri"/>
          <w:b/>
          <w:color w:val="2E74B5"/>
          <w:sz w:val="20"/>
        </w:rPr>
        <w:t>Core recommendation</w:t>
      </w:r>
    </w:p>
    <w:p>
      <w:pPr>
        <w:widowControl/>
        <w:spacing w:after="60"/>
        <w:ind w:left="259"/>
      </w:pPr>
      <w:r>
        <w:rPr>
          <w:rFonts w:ascii="Calibri" w:hAnsi="Calibri" w:eastAsia="Calibri"/>
          <w:b/>
          <w:color w:val="18324A"/>
          <w:sz w:val="23"/>
        </w:rPr>
        <w:t>Washington-first  •  in person  •  exact record  •  counsel-gated  •  criminal-law quiet</w:t>
      </w:r>
    </w:p>
    <w:p>
      <w:pPr>
        <w:pStyle w:val="Metadata"/>
        <w:widowControl/>
        <w:spacing w:before="480"/>
      </w:pPr>
      <w:r>
        <w:rPr>
          <w:rFonts w:ascii="Calibri" w:hAnsi="Calibri" w:eastAsia="Calibri"/>
          <w:i/>
          <w:color w:val="5F6B76"/>
          <w:sz w:val="18"/>
        </w:rPr>
        <w:t>This report is research and program-design material, not legal advice or a prediction of prosecution.</w:t>
      </w:r>
    </w:p>
    <w:p>
      <w:pPr>
        <w:widowControl/>
        <w:sectPr>
          <w:headerReference w:type="default" r:id="rId9"/>
          <w:footerReference w:type="default" r:id="rId10"/>
          <w:pgSz w:w="12240" w:h="15840"/>
          <w:pgMar w:top="1224" w:right="1440" w:bottom="1080" w:left="1440" w:header="547" w:footer="576" w:gutter="0"/>
          <w:cols w:space="720"/>
          <w:docGrid w:linePitch="360"/>
        </w:sectPr>
      </w:pPr>
    </w:p>
    <w:p>
      <w:pPr>
        <w:pStyle w:val="Heading1"/>
        <w:keepNext/>
        <w:widowControl/>
      </w:pPr>
      <w:r>
        <w:rPr>
          <w:rFonts w:ascii="Calibri" w:hAnsi="Calibri" w:eastAsia="Calibri"/>
          <w:color w:val="2E74B5"/>
          <w:sz w:val="32"/>
        </w:rPr>
        <w:t>Contents</w:t>
      </w:r>
    </w:p>
    <w:p>
      <w:pPr>
        <w:pStyle w:val="Metadata"/>
        <w:widowControl/>
      </w:pPr>
      <w:r>
        <w:rPr>
          <w:rFonts w:ascii="Calibri" w:hAnsi="Calibri" w:eastAsia="Calibri"/>
          <w:color w:val="5F6B76"/>
          <w:sz w:val="19"/>
        </w:rPr>
        <w:t>The report is organized as a decision memo, operating protocol, adversarial legal audit, and source ledger.</w:t>
      </w:r>
    </w:p>
    <w:p>
      <w:pPr>
        <w:pStyle w:val="ContentsEntry"/>
        <w:widowControl/>
        <w:ind w:left="0"/>
      </w:pPr>
      <w:r>
        <w:rPr>
          <w:rFonts w:ascii="Calibri" w:hAnsi="Calibri" w:eastAsia="Calibri"/>
          <w:b/>
          <w:color w:val="5F6B76"/>
          <w:sz w:val="16"/>
        </w:rPr>
        <w:t xml:space="preserve">SECTION  </w:t>
      </w:r>
      <w:r>
        <w:rPr>
          <w:rFonts w:ascii="Calibri" w:hAnsi="Calibri" w:eastAsia="Calibri"/>
          <w:color w:val="1F4D78"/>
          <w:sz w:val="20"/>
        </w:rPr>
        <w:t>0. Status, scope, and reader instructions</w:t>
      </w:r>
    </w:p>
    <w:p>
      <w:pPr>
        <w:pStyle w:val="ContentsEntry"/>
        <w:widowControl/>
        <w:ind w:left="0"/>
      </w:pPr>
      <w:r>
        <w:rPr>
          <w:rFonts w:ascii="Calibri" w:hAnsi="Calibri" w:eastAsia="Calibri"/>
          <w:b/>
          <w:color w:val="5F6B76"/>
          <w:sz w:val="16"/>
        </w:rPr>
        <w:t xml:space="preserve">SECTION  </w:t>
      </w:r>
      <w:r>
        <w:rPr>
          <w:rFonts w:ascii="Calibri" w:hAnsi="Calibri" w:eastAsia="Calibri"/>
          <w:color w:val="1F4D78"/>
          <w:sz w:val="20"/>
        </w:rPr>
        <w:t>1. Executive decision memo</w:t>
      </w:r>
    </w:p>
    <w:p>
      <w:pPr>
        <w:pStyle w:val="ContentsEntry"/>
        <w:widowControl/>
        <w:ind w:left="0"/>
      </w:pPr>
      <w:r>
        <w:rPr>
          <w:rFonts w:ascii="Calibri" w:hAnsi="Calibri" w:eastAsia="Calibri"/>
          <w:b/>
          <w:color w:val="5F6B76"/>
          <w:sz w:val="16"/>
        </w:rPr>
        <w:t xml:space="preserve">SECTION  </w:t>
      </w:r>
      <w:r>
        <w:rPr>
          <w:rFonts w:ascii="Calibri" w:hAnsi="Calibri" w:eastAsia="Calibri"/>
          <w:color w:val="1F4D78"/>
          <w:sz w:val="20"/>
        </w:rPr>
        <w:t>2. Method and provenance audit</w:t>
      </w:r>
    </w:p>
    <w:p>
      <w:pPr>
        <w:pStyle w:val="ContentsEntry"/>
        <w:widowControl/>
        <w:ind w:left="0"/>
      </w:pPr>
      <w:r>
        <w:rPr>
          <w:rFonts w:ascii="Calibri" w:hAnsi="Calibri" w:eastAsia="Calibri"/>
          <w:b/>
          <w:color w:val="5F6B76"/>
          <w:sz w:val="16"/>
        </w:rPr>
        <w:t xml:space="preserve">SECTION  </w:t>
      </w:r>
      <w:r>
        <w:rPr>
          <w:rFonts w:ascii="Calibri" w:hAnsi="Calibri" w:eastAsia="Calibri"/>
          <w:color w:val="1F4D78"/>
          <w:sz w:val="20"/>
        </w:rPr>
        <w:t>3. The legal object: a record, not a conversation</w:t>
      </w:r>
    </w:p>
    <w:p>
      <w:pPr>
        <w:pStyle w:val="ContentsEntry"/>
        <w:widowControl/>
        <w:ind w:left="0"/>
      </w:pPr>
      <w:r>
        <w:rPr>
          <w:rFonts w:ascii="Calibri" w:hAnsi="Calibri" w:eastAsia="Calibri"/>
          <w:b/>
          <w:color w:val="5F6B76"/>
          <w:sz w:val="16"/>
        </w:rPr>
        <w:t xml:space="preserve">SECTION  </w:t>
      </w:r>
      <w:r>
        <w:rPr>
          <w:rFonts w:ascii="Calibri" w:hAnsi="Calibri" w:eastAsia="Calibri"/>
          <w:color w:val="1F4D78"/>
          <w:sz w:val="20"/>
        </w:rPr>
        <w:t>4. Washington legal foundation</w:t>
      </w:r>
    </w:p>
    <w:p>
      <w:pPr>
        <w:pStyle w:val="ContentsEntry"/>
        <w:widowControl/>
        <w:ind w:left="0"/>
      </w:pPr>
      <w:r>
        <w:rPr>
          <w:rFonts w:ascii="Calibri" w:hAnsi="Calibri" w:eastAsia="Calibri"/>
          <w:b/>
          <w:color w:val="5F6B76"/>
          <w:sz w:val="16"/>
        </w:rPr>
        <w:t xml:space="preserve">SECTION  </w:t>
      </w:r>
      <w:r>
        <w:rPr>
          <w:rFonts w:ascii="Calibri" w:hAnsi="Calibri" w:eastAsia="Calibri"/>
          <w:color w:val="1F4D78"/>
          <w:sz w:val="20"/>
        </w:rPr>
        <w:t>5. Counsel-ready operating procedure</w:t>
      </w:r>
    </w:p>
    <w:p>
      <w:pPr>
        <w:pStyle w:val="ContentsEntry"/>
        <w:widowControl/>
        <w:ind w:left="0"/>
      </w:pPr>
      <w:r>
        <w:rPr>
          <w:rFonts w:ascii="Calibri" w:hAnsi="Calibri" w:eastAsia="Calibri"/>
          <w:b/>
          <w:color w:val="5F6B76"/>
          <w:sz w:val="16"/>
        </w:rPr>
        <w:t xml:space="preserve">SECTION  </w:t>
      </w:r>
      <w:r>
        <w:rPr>
          <w:rFonts w:ascii="Calibri" w:hAnsi="Calibri" w:eastAsia="Calibri"/>
          <w:color w:val="1F4D78"/>
          <w:sz w:val="20"/>
        </w:rPr>
        <w:t>6. Accident, correction, and rewriting protocol</w:t>
      </w:r>
    </w:p>
    <w:p>
      <w:pPr>
        <w:pStyle w:val="ContentsEntry"/>
        <w:widowControl/>
        <w:ind w:left="0"/>
      </w:pPr>
      <w:r>
        <w:rPr>
          <w:rFonts w:ascii="Calibri" w:hAnsi="Calibri" w:eastAsia="Calibri"/>
          <w:b/>
          <w:color w:val="5F6B76"/>
          <w:sz w:val="16"/>
        </w:rPr>
        <w:t xml:space="preserve">SECTION  </w:t>
      </w:r>
      <w:r>
        <w:rPr>
          <w:rFonts w:ascii="Calibri" w:hAnsi="Calibri" w:eastAsia="Calibri"/>
          <w:color w:val="1F4D78"/>
          <w:sz w:val="20"/>
        </w:rPr>
        <w:t>7. Remote and interstate operation</w:t>
      </w:r>
    </w:p>
    <w:p>
      <w:pPr>
        <w:pStyle w:val="ContentsEntry"/>
        <w:widowControl/>
        <w:ind w:left="0"/>
      </w:pPr>
      <w:r>
        <w:rPr>
          <w:rFonts w:ascii="Calibri" w:hAnsi="Calibri" w:eastAsia="Calibri"/>
          <w:b/>
          <w:color w:val="5F6B76"/>
          <w:sz w:val="16"/>
        </w:rPr>
        <w:t xml:space="preserve">SECTION  </w:t>
      </w:r>
      <w:r>
        <w:rPr>
          <w:rFonts w:ascii="Calibri" w:hAnsi="Calibri" w:eastAsia="Calibri"/>
          <w:color w:val="1F4D78"/>
          <w:sz w:val="20"/>
        </w:rPr>
        <w:t>8. Pennsylvania and other-state comparators</w:t>
      </w:r>
    </w:p>
    <w:p>
      <w:pPr>
        <w:pStyle w:val="ContentsEntry"/>
        <w:widowControl/>
        <w:ind w:left="0"/>
      </w:pPr>
      <w:r>
        <w:rPr>
          <w:rFonts w:ascii="Calibri" w:hAnsi="Calibri" w:eastAsia="Calibri"/>
          <w:b/>
          <w:color w:val="5F6B76"/>
          <w:sz w:val="16"/>
        </w:rPr>
        <w:t xml:space="preserve">SECTION  </w:t>
      </w:r>
      <w:r>
        <w:rPr>
          <w:rFonts w:ascii="Calibri" w:hAnsi="Calibri" w:eastAsia="Calibri"/>
          <w:color w:val="1F4D78"/>
          <w:sz w:val="20"/>
        </w:rPr>
        <w:t>9. Campaign, tax, speech, and publication risks</w:t>
      </w:r>
    </w:p>
    <w:p>
      <w:pPr>
        <w:pStyle w:val="ContentsEntry"/>
        <w:widowControl/>
        <w:ind w:left="0"/>
      </w:pPr>
      <w:r>
        <w:rPr>
          <w:rFonts w:ascii="Calibri" w:hAnsi="Calibri" w:eastAsia="Calibri"/>
          <w:b/>
          <w:color w:val="5F6B76"/>
          <w:sz w:val="16"/>
        </w:rPr>
        <w:t xml:space="preserve">SECTION  </w:t>
      </w:r>
      <w:r>
        <w:rPr>
          <w:rFonts w:ascii="Calibri" w:hAnsi="Calibri" w:eastAsia="Calibri"/>
          <w:color w:val="1F4D78"/>
          <w:sz w:val="20"/>
        </w:rPr>
        <w:t>10. Evidence architecture borrowed from research and mathematics</w:t>
      </w:r>
    </w:p>
    <w:p>
      <w:pPr>
        <w:pStyle w:val="ContentsEntry"/>
        <w:widowControl/>
        <w:ind w:left="0"/>
      </w:pPr>
      <w:r>
        <w:rPr>
          <w:rFonts w:ascii="Calibri" w:hAnsi="Calibri" w:eastAsia="Calibri"/>
          <w:b/>
          <w:color w:val="5F6B76"/>
          <w:sz w:val="16"/>
        </w:rPr>
        <w:t xml:space="preserve">SECTION  </w:t>
      </w:r>
      <w:r>
        <w:rPr>
          <w:rFonts w:ascii="Calibri" w:hAnsi="Calibri" w:eastAsia="Calibri"/>
          <w:color w:val="1F4D78"/>
          <w:sz w:val="20"/>
        </w:rPr>
        <w:t>11. Launch gates and decision matrix</w:t>
      </w:r>
    </w:p>
    <w:p>
      <w:pPr>
        <w:pStyle w:val="ContentsEntry"/>
        <w:widowControl/>
        <w:ind w:left="0"/>
      </w:pPr>
      <w:r>
        <w:rPr>
          <w:rFonts w:ascii="Calibri" w:hAnsi="Calibri" w:eastAsia="Calibri"/>
          <w:b/>
          <w:color w:val="5F6B76"/>
          <w:sz w:val="16"/>
        </w:rPr>
        <w:t xml:space="preserve">SECTION  </w:t>
      </w:r>
      <w:r>
        <w:rPr>
          <w:rFonts w:ascii="Calibri" w:hAnsi="Calibri" w:eastAsia="Calibri"/>
          <w:color w:val="1F4D78"/>
          <w:sz w:val="20"/>
        </w:rPr>
        <w:t>12. Deconstructive, reconstructive, and middle-out analysis</w:t>
      </w:r>
    </w:p>
    <w:p>
      <w:pPr>
        <w:pStyle w:val="ContentsEntry"/>
        <w:widowControl/>
        <w:ind w:left="0"/>
      </w:pPr>
      <w:r>
        <w:rPr>
          <w:rFonts w:ascii="Calibri" w:hAnsi="Calibri" w:eastAsia="Calibri"/>
          <w:b/>
          <w:color w:val="5F6B76"/>
          <w:sz w:val="16"/>
        </w:rPr>
        <w:t xml:space="preserve">SECTION  </w:t>
      </w:r>
      <w:r>
        <w:rPr>
          <w:rFonts w:ascii="Calibri" w:hAnsi="Calibri" w:eastAsia="Calibri"/>
          <w:color w:val="1F4D78"/>
          <w:sz w:val="20"/>
        </w:rPr>
        <w:t>13. Conclusion</w:t>
      </w:r>
    </w:p>
    <w:p>
      <w:pPr>
        <w:pStyle w:val="ContentsEntry"/>
        <w:widowControl/>
        <w:ind w:left="0"/>
      </w:pPr>
      <w:r>
        <w:rPr>
          <w:rFonts w:ascii="Calibri" w:hAnsi="Calibri" w:eastAsia="Calibri"/>
          <w:b/>
          <w:color w:val="5F6B76"/>
          <w:sz w:val="16"/>
        </w:rPr>
        <w:t xml:space="preserve">SECTION  </w:t>
      </w:r>
      <w:r>
        <w:rPr>
          <w:rFonts w:ascii="Calibri" w:hAnsi="Calibri" w:eastAsia="Calibri"/>
          <w:color w:val="1F4D78"/>
          <w:sz w:val="20"/>
        </w:rPr>
        <w:t>14. Metacognitive audit: what this report knows and does not know</w:t>
      </w:r>
    </w:p>
    <w:p>
      <w:pPr>
        <w:pStyle w:val="ContentsEntry"/>
        <w:widowControl/>
        <w:ind w:left="259"/>
      </w:pPr>
      <w:r>
        <w:rPr>
          <w:rFonts w:ascii="Calibri" w:hAnsi="Calibri" w:eastAsia="Calibri"/>
          <w:b/>
          <w:color w:val="5F6B76"/>
          <w:sz w:val="16"/>
        </w:rPr>
        <w:t xml:space="preserve">APPENDIX  </w:t>
      </w:r>
      <w:r>
        <w:rPr>
          <w:rFonts w:ascii="Calibri" w:hAnsi="Calibri" w:eastAsia="Calibri"/>
          <w:color w:val="1F4D78"/>
          <w:sz w:val="20"/>
        </w:rPr>
        <w:t>A. One-page operator card</w:t>
      </w:r>
    </w:p>
    <w:p>
      <w:pPr>
        <w:pStyle w:val="ContentsEntry"/>
        <w:widowControl/>
        <w:ind w:left="259"/>
      </w:pPr>
      <w:r>
        <w:rPr>
          <w:rFonts w:ascii="Calibri" w:hAnsi="Calibri" w:eastAsia="Calibri"/>
          <w:b/>
          <w:color w:val="5F6B76"/>
          <w:sz w:val="16"/>
        </w:rPr>
        <w:t xml:space="preserve">APPENDIX  </w:t>
      </w:r>
      <w:r>
        <w:rPr>
          <w:rFonts w:ascii="Calibri" w:hAnsi="Calibri" w:eastAsia="Calibri"/>
          <w:color w:val="1F4D78"/>
          <w:sz w:val="20"/>
        </w:rPr>
        <w:t>B. Reusable notices and artifact map</w:t>
      </w:r>
    </w:p>
    <w:p>
      <w:pPr>
        <w:pStyle w:val="ContentsEntry"/>
        <w:widowControl/>
        <w:ind w:left="259"/>
      </w:pPr>
      <w:r>
        <w:rPr>
          <w:rFonts w:ascii="Calibri" w:hAnsi="Calibri" w:eastAsia="Calibri"/>
          <w:b/>
          <w:color w:val="5F6B76"/>
          <w:sz w:val="16"/>
        </w:rPr>
        <w:t xml:space="preserve">APPENDIX  </w:t>
      </w:r>
      <w:r>
        <w:rPr>
          <w:rFonts w:ascii="Calibri" w:hAnsi="Calibri" w:eastAsia="Calibri"/>
          <w:color w:val="1F4D78"/>
          <w:sz w:val="20"/>
        </w:rPr>
        <w:t>C. Authorities and research sources</w:t>
      </w:r>
    </w:p>
    <w:p>
      <w:pPr>
        <w:pStyle w:val="ContentsEntry"/>
        <w:widowControl/>
        <w:ind w:left="259"/>
      </w:pPr>
      <w:r>
        <w:rPr>
          <w:rFonts w:ascii="Calibri" w:hAnsi="Calibri" w:eastAsia="Calibri"/>
          <w:b/>
          <w:color w:val="5F6B76"/>
          <w:sz w:val="16"/>
        </w:rPr>
        <w:t xml:space="preserve">APPENDIX  </w:t>
      </w:r>
      <w:r>
        <w:rPr>
          <w:rFonts w:ascii="Calibri" w:hAnsi="Calibri" w:eastAsia="Calibri"/>
          <w:color w:val="1F4D78"/>
          <w:sz w:val="20"/>
        </w:rPr>
        <w:t>D. Claim ledger</w:t>
      </w:r>
    </w:p>
    <w:p>
      <w:pPr>
        <w:pStyle w:val="ContentsEntry"/>
        <w:widowControl/>
        <w:ind w:left="259"/>
      </w:pPr>
      <w:r>
        <w:rPr>
          <w:rFonts w:ascii="Calibri" w:hAnsi="Calibri" w:eastAsia="Calibri"/>
          <w:b/>
          <w:color w:val="5F6B76"/>
          <w:sz w:val="16"/>
        </w:rPr>
        <w:t xml:space="preserve">APPENDIX  </w:t>
      </w:r>
      <w:r>
        <w:rPr>
          <w:rFonts w:ascii="Calibri" w:hAnsi="Calibri" w:eastAsia="Calibri"/>
          <w:color w:val="1F4D78"/>
          <w:sz w:val="20"/>
        </w:rPr>
        <w:t>E. Glossary</w:t>
      </w:r>
    </w:p>
    <w:p>
      <w:pPr>
        <w:pStyle w:val="ContentsEntry"/>
        <w:widowControl/>
        <w:ind w:left="259"/>
      </w:pPr>
      <w:r>
        <w:rPr>
          <w:rFonts w:ascii="Calibri" w:hAnsi="Calibri" w:eastAsia="Calibri"/>
          <w:b/>
          <w:color w:val="5F6B76"/>
          <w:sz w:val="16"/>
        </w:rPr>
        <w:t xml:space="preserve">APPENDIX  </w:t>
      </w:r>
      <w:r>
        <w:rPr>
          <w:rFonts w:ascii="Calibri" w:hAnsi="Calibri" w:eastAsia="Calibri"/>
          <w:color w:val="1F4D78"/>
          <w:sz w:val="20"/>
        </w:rPr>
        <w:t>F. Source-evolution audit</w:t>
      </w:r>
    </w:p>
    <w:p>
      <w:pPr>
        <w:pStyle w:val="ContentsEntry"/>
        <w:widowControl/>
        <w:ind w:left="259"/>
      </w:pPr>
      <w:r>
        <w:rPr>
          <w:rFonts w:ascii="Calibri" w:hAnsi="Calibri" w:eastAsia="Calibri"/>
          <w:b/>
          <w:color w:val="5F6B76"/>
          <w:sz w:val="16"/>
        </w:rPr>
        <w:t xml:space="preserve">APPENDIX  </w:t>
      </w:r>
      <w:r>
        <w:rPr>
          <w:rFonts w:ascii="Calibri" w:hAnsi="Calibri" w:eastAsia="Calibri"/>
          <w:color w:val="1F4D78"/>
          <w:sz w:val="20"/>
        </w:rPr>
        <w:t>G. Zotero-ready citation notes</w:t>
      </w:r>
    </w:p>
    <w:p>
      <w:pPr>
        <w:widowControl/>
      </w:pPr>
      <w:r>
        <w:br w:type="page"/>
      </w:r>
    </w:p>
    <w:p>
      <w:pPr>
        <w:pStyle w:val="Heading1"/>
        <w:keepNext/>
        <w:widowControl/>
      </w:pPr>
      <w:r>
        <w:rPr>
          <w:rFonts w:ascii="Calibri" w:hAnsi="Calibri" w:eastAsia="Calibri"/>
          <w:color w:val="2E74B5"/>
          <w:sz w:val="32"/>
        </w:rPr>
        <w:t>0. Status, scope, and reader instructions</w:t>
      </w:r>
    </w:p>
    <w:p>
      <w:pPr>
        <w:widowControl/>
      </w:pPr>
      <w:r>
        <w:rPr>
          <w:rFonts w:ascii="Calibri" w:hAnsi="Calibri" w:eastAsia="Calibri"/>
          <w:color w:val="202428"/>
          <w:sz w:val="22"/>
        </w:rPr>
        <w:t>This is a research and design memorandum, not legal advice, a prosecution opinion, a guarantee of admissibility, or a claim that any candidate has lied. Criminal exposure is decided by prosecutors and courts on specific facts. A notary certifies identity, appearance, oath/signature procedure, and the notarial act—not the substantive truth of an answer. DGG should treat this report as a counsel-ready proposal and red-team packet.</w:t>
      </w:r>
    </w:p>
    <w:p>
      <w:pPr>
        <w:widowControl/>
      </w:pPr>
      <w:r>
        <w:rPr>
          <w:rFonts w:ascii="Calibri" w:hAnsi="Calibri" w:eastAsia="Calibri"/>
          <w:color w:val="202428"/>
          <w:sz w:val="22"/>
        </w:rPr>
        <w:t>The report answers five questions:</w:t>
      </w:r>
    </w:p>
    <w:p>
      <w:pPr>
        <w:spacing w:after="100"/>
        <w:ind w:left="720" w:hanging="360"/>
        <w:widowControl/>
        <w:numPr>
          <w:ilvl w:val="0"/>
          <w:numId w:val="10"/>
        </w:numPr>
      </w:pPr>
      <w:r>
        <w:rPr>
          <w:rFonts w:ascii="Calibri" w:hAnsi="Calibri" w:eastAsia="Calibri"/>
          <w:color w:val="202428"/>
          <w:sz w:val="22"/>
        </w:rPr>
        <w:t>What part of the historical idea is already authorized by Washington notary law?</w:t>
      </w:r>
    </w:p>
    <w:p>
      <w:pPr>
        <w:spacing w:after="100"/>
        <w:ind w:left="720" w:hanging="360"/>
        <w:widowControl/>
        <w:numPr>
          <w:ilvl w:val="0"/>
          <w:numId w:val="10"/>
        </w:numPr>
      </w:pPr>
      <w:r>
        <w:rPr>
          <w:rFonts w:ascii="Calibri" w:hAnsi="Calibri" w:eastAsia="Calibri"/>
          <w:color w:val="202428"/>
          <w:sz w:val="22"/>
        </w:rPr>
        <w:t>What is the strongest good-faith argument for legal seriousness, and what is the strongest counterargument?</w:t>
      </w:r>
    </w:p>
    <w:p>
      <w:pPr>
        <w:spacing w:after="100"/>
        <w:ind w:left="720" w:hanging="360"/>
        <w:widowControl/>
        <w:numPr>
          <w:ilvl w:val="0"/>
          <w:numId w:val="10"/>
        </w:numPr>
      </w:pPr>
      <w:r>
        <w:rPr>
          <w:rFonts w:ascii="Calibri" w:hAnsi="Calibri" w:eastAsia="Calibri"/>
          <w:color w:val="202428"/>
          <w:sz w:val="22"/>
        </w:rPr>
        <w:t>How should the procedure be engineered so an oath begins, attaches, ends, and is corrected without ambiguity?</w:t>
      </w:r>
    </w:p>
    <w:p>
      <w:pPr>
        <w:spacing w:after="100"/>
        <w:ind w:left="720" w:hanging="360"/>
        <w:widowControl/>
        <w:numPr>
          <w:ilvl w:val="0"/>
          <w:numId w:val="10"/>
        </w:numPr>
      </w:pPr>
      <w:r>
        <w:rPr>
          <w:rFonts w:ascii="Calibri" w:hAnsi="Calibri" w:eastAsia="Calibri"/>
          <w:color w:val="202428"/>
          <w:sz w:val="22"/>
        </w:rPr>
        <w:t>What changes when the signer, notary, interviewer, campaign, audience, or recording crosses a state line?</w:t>
      </w:r>
    </w:p>
    <w:p>
      <w:pPr>
        <w:spacing w:after="100"/>
        <w:ind w:left="720" w:hanging="360"/>
        <w:widowControl/>
        <w:numPr>
          <w:ilvl w:val="0"/>
          <w:numId w:val="10"/>
        </w:numPr>
      </w:pPr>
      <w:r>
        <w:rPr>
          <w:rFonts w:ascii="Calibri" w:hAnsi="Calibri" w:eastAsia="Calibri"/>
          <w:color w:val="202428"/>
          <w:sz w:val="22"/>
        </w:rPr>
        <w:t>How can DGG test the trust value scientifically without pretending an oath proves truth?</w:t>
      </w:r>
    </w:p>
    <w:p>
      <w:pPr>
        <w:widowControl/>
      </w:pPr>
      <w:r>
        <w:rPr>
          <w:rFonts w:ascii="Calibri" w:hAnsi="Calibri" w:eastAsia="Calibri"/>
          <w:color w:val="202428"/>
          <w:sz w:val="22"/>
        </w:rPr>
        <w:t xml:space="preserve">The legal recommendation is </w:t>
      </w:r>
      <w:r>
        <w:rPr>
          <w:rFonts w:ascii="Calibri" w:hAnsi="Calibri" w:eastAsia="Calibri"/>
          <w:b/>
          <w:color w:val="202428"/>
          <w:sz w:val="22"/>
        </w:rPr>
        <w:t>Washington-first, in person, exact-record, counsel-gated, and criminal-law quiet</w:t>
      </w:r>
      <w:r>
        <w:rPr>
          <w:rFonts w:ascii="Calibri" w:hAnsi="Calibri" w:eastAsia="Calibri"/>
          <w:color w:val="202428"/>
          <w:sz w:val="22"/>
        </w:rPr>
        <w:t>. Pennsylvania is useful as a negative comparator, not as a stronger alternative. Other states with broader-looking text introduce their own judicial or definitional uncertainty and should not be selected merely to maximize punishment.</w:t>
      </w:r>
    </w:p>
    <w:p>
      <w:pPr>
        <w:widowControl/>
      </w:pPr>
      <w:r>
        <w:br w:type="page"/>
      </w:r>
    </w:p>
    <w:p>
      <w:pPr>
        <w:pStyle w:val="Heading1"/>
        <w:keepNext/>
        <w:widowControl/>
      </w:pPr>
      <w:r>
        <w:rPr>
          <w:rFonts w:ascii="Calibri" w:hAnsi="Calibri" w:eastAsia="Calibri"/>
          <w:color w:val="2E74B5"/>
          <w:sz w:val="32"/>
        </w:rPr>
        <w:t>1. Executive decision memo</w:t>
      </w:r>
    </w:p>
    <w:p>
      <w:pPr>
        <w:pStyle w:val="Heading2"/>
        <w:keepNext/>
        <w:widowControl/>
      </w:pPr>
      <w:r>
        <w:rPr>
          <w:rFonts w:ascii="Calibri" w:hAnsi="Calibri" w:eastAsia="Calibri"/>
          <w:color w:val="2E74B5"/>
          <w:sz w:val="26"/>
        </w:rPr>
        <w:t>1.1 Recommended decision</w:t>
      </w:r>
    </w:p>
    <w:p>
      <w:pPr>
        <w:widowControl/>
      </w:pPr>
      <w:r>
        <w:rPr>
          <w:rFonts w:ascii="Calibri" w:hAnsi="Calibri" w:eastAsia="Calibri"/>
          <w:color w:val="202428"/>
          <w:sz w:val="22"/>
        </w:rPr>
        <w:t xml:space="preserve">Approve design work for a </w:t>
      </w:r>
      <w:r>
        <w:rPr>
          <w:rFonts w:ascii="Calibri" w:hAnsi="Calibri" w:eastAsia="Calibri"/>
          <w:b/>
          <w:color w:val="202428"/>
          <w:sz w:val="22"/>
        </w:rPr>
        <w:t>small, staged, pausable Washington pilot using uniform precommitted criteria</w:t>
      </w:r>
      <w:r>
        <w:rPr>
          <w:rFonts w:ascii="Calibri" w:hAnsi="Calibri" w:eastAsia="Calibri"/>
          <w:color w:val="202428"/>
          <w:sz w:val="22"/>
        </w:rPr>
        <w:t xml:space="preserve"> only after the launch gates in Section 11. Do not yet approve a national rollout, a live free-form oath, a “perjury interview” brand, or any promise of criminal enforcement. DGG’s public partisan identity makes “nonpartisan” an unsuitable program claim even if selection rules are viewpoint-neutral.</w:t>
      </w:r>
    </w:p>
    <w:p>
      <w:pPr>
        <w:widowControl/>
      </w:pPr>
      <w:r>
        <w:rPr>
          <w:rFonts w:ascii="Calibri" w:hAnsi="Calibri" w:eastAsia="Calibri"/>
          <w:color w:val="202428"/>
          <w:sz w:val="22"/>
        </w:rPr>
        <w:t>The first pilot should use this architecture:</w:t>
      </w:r>
    </w:p>
    <w:p>
      <w:pPr>
        <w:spacing w:after="100"/>
        <w:ind w:left="720" w:hanging="360"/>
        <w:widowControl/>
        <w:numPr>
          <w:ilvl w:val="0"/>
          <w:numId w:val="11"/>
        </w:numPr>
      </w:pPr>
      <w:r>
        <w:rPr>
          <w:rFonts w:ascii="Calibri" w:hAnsi="Calibri" w:eastAsia="Calibri"/>
          <w:color w:val="202428"/>
          <w:sz w:val="22"/>
        </w:rPr>
        <w:t>DGG sends the same eligibility rule, invitation terms, and short source packet to every eligible participant.</w:t>
      </w:r>
    </w:p>
    <w:p>
      <w:pPr>
        <w:spacing w:after="100"/>
        <w:ind w:left="720" w:hanging="360"/>
        <w:widowControl/>
        <w:numPr>
          <w:ilvl w:val="0"/>
          <w:numId w:val="11"/>
        </w:numPr>
      </w:pPr>
      <w:r>
        <w:rPr>
          <w:rFonts w:ascii="Calibri" w:hAnsi="Calibri" w:eastAsia="Calibri"/>
          <w:color w:val="202428"/>
          <w:sz w:val="22"/>
        </w:rPr>
        <w:t xml:space="preserve">The participant has an ordinary </w:t>
      </w:r>
      <w:r>
        <w:rPr>
          <w:rFonts w:ascii="Calibri" w:hAnsi="Calibri" w:eastAsia="Calibri"/>
          <w:b/>
          <w:color w:val="202428"/>
          <w:sz w:val="22"/>
        </w:rPr>
        <w:t>unsworn preparation conversation</w:t>
      </w:r>
      <w:r>
        <w:rPr>
          <w:rFonts w:ascii="Calibri" w:hAnsi="Calibri" w:eastAsia="Calibri"/>
          <w:color w:val="202428"/>
          <w:sz w:val="22"/>
        </w:rPr>
        <w:t xml:space="preserve"> and may decline, qualify, or answer “I do not know.”</w:t>
      </w:r>
    </w:p>
    <w:p>
      <w:pPr>
        <w:spacing w:after="100"/>
        <w:ind w:left="720" w:hanging="360"/>
        <w:widowControl/>
        <w:numPr>
          <w:ilvl w:val="0"/>
          <w:numId w:val="11"/>
        </w:numPr>
      </w:pPr>
      <w:r>
        <w:rPr>
          <w:rFonts w:ascii="Calibri" w:hAnsi="Calibri" w:eastAsia="Calibri"/>
          <w:color w:val="202428"/>
          <w:sz w:val="22"/>
        </w:rPr>
        <w:t xml:space="preserve">The participant or participant’s counsel authors the answers; DGG packages them, without substantive rewriting, into a short </w:t>
      </w:r>
      <w:r>
        <w:rPr>
          <w:rFonts w:ascii="Calibri" w:hAnsi="Calibri" w:eastAsia="Calibri"/>
          <w:b/>
          <w:color w:val="202428"/>
          <w:sz w:val="22"/>
        </w:rPr>
        <w:t>Canonical Sworn Record (CSR)</w:t>
      </w:r>
      <w:r>
        <w:rPr>
          <w:rFonts w:ascii="Calibri" w:hAnsi="Calibri" w:eastAsia="Calibri"/>
          <w:color w:val="202428"/>
          <w:sz w:val="22"/>
        </w:rPr>
        <w:t xml:space="preserve"> containing only discrete factual answers, a unique record ID, a version, a timestamp, and each qualification.</w:t>
      </w:r>
    </w:p>
    <w:p>
      <w:pPr>
        <w:spacing w:after="100"/>
        <w:ind w:left="720" w:hanging="360"/>
        <w:widowControl/>
        <w:numPr>
          <w:ilvl w:val="0"/>
          <w:numId w:val="11"/>
        </w:numPr>
      </w:pPr>
      <w:r>
        <w:rPr>
          <w:rFonts w:ascii="Calibri" w:hAnsi="Calibri" w:eastAsia="Calibri"/>
          <w:color w:val="202428"/>
          <w:sz w:val="22"/>
        </w:rPr>
        <w:t xml:space="preserve">An independent Washington notary conducts a clearly bounded </w:t>
      </w:r>
      <w:r>
        <w:rPr>
          <w:rFonts w:ascii="Calibri" w:hAnsi="Calibri" w:eastAsia="Calibri"/>
          <w:b/>
          <w:color w:val="202428"/>
          <w:sz w:val="22"/>
        </w:rPr>
        <w:t>sworn airlock</w:t>
      </w:r>
      <w:r>
        <w:rPr>
          <w:rFonts w:ascii="Calibri" w:hAnsi="Calibri" w:eastAsia="Calibri"/>
          <w:color w:val="202428"/>
          <w:sz w:val="22"/>
        </w:rPr>
        <w:t>, administers an oath or affirmation, watches the participant adopt and sign that exact CSR, and completes the appropriate jurat.</w:t>
      </w:r>
    </w:p>
    <w:p>
      <w:pPr>
        <w:spacing w:after="100"/>
        <w:ind w:left="720" w:hanging="360"/>
        <w:widowControl/>
        <w:numPr>
          <w:ilvl w:val="0"/>
          <w:numId w:val="11"/>
        </w:numPr>
      </w:pPr>
      <w:r>
        <w:rPr>
          <w:rFonts w:ascii="Calibri" w:hAnsi="Calibri" w:eastAsia="Calibri"/>
          <w:color w:val="202428"/>
          <w:sz w:val="22"/>
        </w:rPr>
        <w:t xml:space="preserve">The oath is expressly closed. The interview continues as a separate </w:t>
      </w:r>
      <w:r>
        <w:rPr>
          <w:rFonts w:ascii="Calibri" w:hAnsi="Calibri" w:eastAsia="Calibri"/>
          <w:b/>
          <w:color w:val="202428"/>
          <w:sz w:val="22"/>
        </w:rPr>
        <w:t>Public Media Record (PMR)</w:t>
      </w:r>
      <w:r>
        <w:rPr>
          <w:rFonts w:ascii="Calibri" w:hAnsi="Calibri" w:eastAsia="Calibri"/>
          <w:color w:val="202428"/>
          <w:sz w:val="22"/>
        </w:rPr>
        <w:t xml:space="preserve"> labeled unsworn.</w:t>
      </w:r>
    </w:p>
    <w:p>
      <w:pPr>
        <w:spacing w:after="100"/>
        <w:ind w:left="720" w:hanging="360"/>
        <w:widowControl/>
        <w:numPr>
          <w:ilvl w:val="0"/>
          <w:numId w:val="11"/>
        </w:numPr>
      </w:pPr>
      <w:r>
        <w:rPr>
          <w:rFonts w:ascii="Calibri" w:hAnsi="Calibri" w:eastAsia="Calibri"/>
          <w:color w:val="202428"/>
          <w:sz w:val="22"/>
        </w:rPr>
        <w:t>If publication is authorized, DGG publishes the CSR, the jurat, the complete relevant video context, the question criteria, and any later correction through preserved, append-only, tamper-evident versions. A hash detects file change; it does not make a record literally immutable.</w:t>
      </w:r>
    </w:p>
    <w:p>
      <w:pPr>
        <w:pStyle w:val="Heading2"/>
        <w:keepNext/>
        <w:widowControl/>
      </w:pPr>
      <w:r>
        <w:rPr>
          <w:rFonts w:ascii="Calibri" w:hAnsi="Calibri" w:eastAsia="Calibri"/>
          <w:color w:val="2E74B5"/>
          <w:sz w:val="26"/>
        </w:rPr>
        <w:t>1.2 Why this is legally defensible</w:t>
      </w:r>
    </w:p>
    <w:p>
      <w:pPr>
        <w:widowControl/>
      </w:pPr>
      <w:r>
        <w:rPr>
          <w:rFonts w:ascii="Calibri" w:hAnsi="Calibri" w:eastAsia="Calibri"/>
          <w:color w:val="202428"/>
          <w:sz w:val="22"/>
        </w:rPr>
        <w:t xml:space="preserve">Washington expressly authorizes notaries to administer oaths and take verifications on oath or affirmation; a verification is a declaration before a notarial officer that a statement </w:t>
      </w:r>
      <w:r>
        <w:rPr>
          <w:rFonts w:ascii="Calibri" w:hAnsi="Calibri" w:eastAsia="Calibri"/>
          <w:b/>
          <w:color w:val="202428"/>
          <w:sz w:val="22"/>
        </w:rPr>
        <w:t>in a record</w:t>
      </w:r>
      <w:r>
        <w:rPr>
          <w:rFonts w:ascii="Calibri" w:hAnsi="Calibri" w:eastAsia="Calibri"/>
          <w:color w:val="202428"/>
          <w:sz w:val="22"/>
        </w:rPr>
        <w:t xml:space="preserve"> is true. RCW 42.45.010(8), (18), .020, .030. Washington’s false-swearing law reaches a knowingly false statement under an oath required or authorized by law, and an oath is authorized when administered by a person authorized by law to administer it. RCW 9A.72.010(5), .040. Those provisions create a serious textual argument for a deliberately sworn, exact signed record.</w:t>
      </w:r>
    </w:p>
    <w:p>
      <w:pPr>
        <w:widowControl/>
      </w:pPr>
      <w:r>
        <w:rPr>
          <w:rFonts w:ascii="Calibri" w:hAnsi="Calibri" w:eastAsia="Calibri"/>
          <w:color w:val="202428"/>
          <w:sz w:val="22"/>
        </w:rPr>
        <w:t xml:space="preserve">The limit is equally important. No located Washington appellate decision squarely holds that this private campaign-media format triggers false swearing, and no located decision holds that an ordinary private interview before a notary is an “official proceeding” for first-degree perjury. RCW 9A.72.010(4) expressly includes a notary or person taking testimony in the definition of official proceeding, which gives DGG a colorable argument; criminal strict construction, the ordinary meaning of “proceeding,” and the absence of a direct case supply the counterargument. The report therefore treats false swearing as the stronger candidate theory and first-degree perjury as </w:t>
      </w:r>
      <w:r>
        <w:rPr>
          <w:rFonts w:ascii="Calibri" w:hAnsi="Calibri" w:eastAsia="Calibri"/>
          <w:b/>
          <w:color w:val="202428"/>
          <w:sz w:val="22"/>
        </w:rPr>
        <w:t>unresolved—not a product claim</w:t>
      </w:r>
      <w:r>
        <w:rPr>
          <w:rFonts w:ascii="Calibri" w:hAnsi="Calibri" w:eastAsia="Calibri"/>
          <w:color w:val="202428"/>
          <w:sz w:val="22"/>
        </w:rPr>
        <w:t>.</w:t>
      </w:r>
    </w:p>
    <w:p>
      <w:pPr>
        <w:pStyle w:val="Heading2"/>
        <w:keepNext/>
        <w:widowControl/>
      </w:pPr>
      <w:r>
        <w:rPr>
          <w:rFonts w:ascii="Calibri" w:hAnsi="Calibri" w:eastAsia="Calibri"/>
          <w:color w:val="2E74B5"/>
          <w:sz w:val="26"/>
        </w:rPr>
        <w:t>1.3 Nonnegotiable messaging</w:t>
      </w:r>
    </w:p>
    <w:p>
      <w:pPr>
        <w:widowControl/>
      </w:pPr>
      <w:r>
        <w:rPr>
          <w:rFonts w:ascii="Calibri" w:hAnsi="Calibri" w:eastAsia="Calibri"/>
          <w:color w:val="202428"/>
          <w:sz w:val="22"/>
        </w:rPr>
        <w:t>Use:</w:t>
      </w:r>
    </w:p>
    <w:p>
      <w:pPr>
        <w:spacing w:after="100"/>
        <w:ind w:left="720" w:hanging="360"/>
        <w:widowControl/>
        <w:numPr>
          <w:ilvl w:val="0"/>
          <w:numId w:val="12"/>
        </w:numPr>
      </w:pPr>
      <w:r>
        <w:rPr>
          <w:rFonts w:ascii="Calibri" w:hAnsi="Calibri" w:eastAsia="Calibri"/>
          <w:color w:val="202428"/>
          <w:sz w:val="22"/>
        </w:rPr>
        <w:t>“The participant voluntarily adopted this exact factual record under oath or affirmation before an independent Washington notary.”</w:t>
      </w:r>
    </w:p>
    <w:p>
      <w:pPr>
        <w:spacing w:after="100"/>
        <w:ind w:left="720" w:hanging="360"/>
        <w:widowControl/>
        <w:numPr>
          <w:ilvl w:val="0"/>
          <w:numId w:val="12"/>
        </w:numPr>
      </w:pPr>
      <w:r>
        <w:rPr>
          <w:rFonts w:ascii="Calibri" w:hAnsi="Calibri" w:eastAsia="Calibri"/>
          <w:color w:val="202428"/>
          <w:sz w:val="22"/>
        </w:rPr>
        <w:t>“The notary verified the notarial procedure, not the truth of the answers.”</w:t>
      </w:r>
    </w:p>
    <w:p>
      <w:pPr>
        <w:spacing w:after="100"/>
        <w:ind w:left="720" w:hanging="360"/>
        <w:widowControl/>
        <w:numPr>
          <w:ilvl w:val="0"/>
          <w:numId w:val="12"/>
        </w:numPr>
      </w:pPr>
      <w:r>
        <w:rPr>
          <w:rFonts w:ascii="Calibri" w:hAnsi="Calibri" w:eastAsia="Calibri"/>
          <w:color w:val="202428"/>
          <w:sz w:val="22"/>
        </w:rPr>
        <w:t>“Any legal consequence depends on the facts and applicable law; DGG does not decide criminal liability.”</w:t>
      </w:r>
    </w:p>
    <w:p>
      <w:pPr>
        <w:widowControl/>
      </w:pPr>
      <w:r>
        <w:rPr>
          <w:rFonts w:ascii="Calibri" w:hAnsi="Calibri" w:eastAsia="Calibri"/>
          <w:color w:val="202428"/>
          <w:sz w:val="22"/>
        </w:rPr>
        <w:t>Do not use:</w:t>
      </w:r>
    </w:p>
    <w:p>
      <w:pPr>
        <w:spacing w:after="100"/>
        <w:ind w:left="720" w:hanging="360"/>
        <w:widowControl/>
        <w:numPr>
          <w:ilvl w:val="0"/>
          <w:numId w:val="13"/>
        </w:numPr>
      </w:pPr>
      <w:r>
        <w:rPr>
          <w:rFonts w:ascii="Calibri" w:hAnsi="Calibri" w:eastAsia="Calibri"/>
          <w:color w:val="202428"/>
          <w:sz w:val="22"/>
        </w:rPr>
        <w:t>“This interview is legally perjury-proof.”</w:t>
      </w:r>
    </w:p>
    <w:p>
      <w:pPr>
        <w:spacing w:after="100"/>
        <w:ind w:left="720" w:hanging="360"/>
        <w:widowControl/>
        <w:numPr>
          <w:ilvl w:val="0"/>
          <w:numId w:val="13"/>
        </w:numPr>
      </w:pPr>
      <w:r>
        <w:rPr>
          <w:rFonts w:ascii="Calibri" w:hAnsi="Calibri" w:eastAsia="Calibri"/>
          <w:color w:val="202428"/>
          <w:sz w:val="22"/>
        </w:rPr>
        <w:t>“The candidate faces a felony if anything is wrong.”</w:t>
      </w:r>
    </w:p>
    <w:p>
      <w:pPr>
        <w:spacing w:after="100"/>
        <w:ind w:left="720" w:hanging="360"/>
        <w:widowControl/>
        <w:numPr>
          <w:ilvl w:val="0"/>
          <w:numId w:val="13"/>
        </w:numPr>
      </w:pPr>
      <w:r>
        <w:rPr>
          <w:rFonts w:ascii="Calibri" w:hAnsi="Calibri" w:eastAsia="Calibri"/>
          <w:color w:val="202428"/>
          <w:sz w:val="22"/>
        </w:rPr>
        <w:t>“A Washington oath follows the candidate everywhere.”</w:t>
      </w:r>
    </w:p>
    <w:p>
      <w:pPr>
        <w:spacing w:after="100"/>
        <w:ind w:left="720" w:hanging="360"/>
        <w:widowControl/>
        <w:numPr>
          <w:ilvl w:val="0"/>
          <w:numId w:val="13"/>
        </w:numPr>
      </w:pPr>
      <w:r>
        <w:rPr>
          <w:rFonts w:ascii="Calibri" w:hAnsi="Calibri" w:eastAsia="Calibri"/>
          <w:color w:val="202428"/>
          <w:sz w:val="22"/>
        </w:rPr>
        <w:t>“Declining proves dishonesty.”</w:t>
      </w:r>
    </w:p>
    <w:p>
      <w:pPr>
        <w:spacing w:after="100"/>
        <w:ind w:left="720" w:hanging="360"/>
        <w:widowControl/>
        <w:numPr>
          <w:ilvl w:val="0"/>
          <w:numId w:val="13"/>
        </w:numPr>
      </w:pPr>
      <w:r>
        <w:rPr>
          <w:rFonts w:ascii="Calibri" w:hAnsi="Calibri" w:eastAsia="Calibri"/>
          <w:color w:val="202428"/>
          <w:sz w:val="22"/>
        </w:rPr>
        <w:t>“The notary certified these claims as true.”</w:t>
      </w:r>
    </w:p>
    <w:p>
      <w:pPr>
        <w:pStyle w:val="Heading2"/>
        <w:keepNext/>
        <w:widowControl/>
      </w:pPr>
      <w:r>
        <w:rPr>
          <w:rFonts w:ascii="Calibri" w:hAnsi="Calibri" w:eastAsia="Calibri"/>
          <w:color w:val="2E74B5"/>
          <w:sz w:val="26"/>
        </w:rPr>
        <w:t>1.4 Stop conditions</w:t>
      </w:r>
    </w:p>
    <w:p>
      <w:pPr>
        <w:widowControl/>
      </w:pPr>
      <w:r>
        <w:rPr>
          <w:rFonts w:ascii="Calibri" w:hAnsi="Calibri" w:eastAsia="Calibri"/>
          <w:color w:val="202428"/>
          <w:sz w:val="22"/>
        </w:rPr>
        <w:t>DGG should not launch if any of these remains unresolved: exact legal entity and tax status; Washington and campaign-finance counsel sign-off; an independent qualified notary; a lawful recording/consent plan; a vetted CSR and correction protocol; uniform participation rules; RON vendor and retention controls if remote; a documented editorial firewall; and an incident owner empowered to pause publication.</w:t>
      </w:r>
    </w:p>
    <w:p>
      <w:pPr>
        <w:pStyle w:val="Heading1"/>
        <w:keepNext/>
        <w:widowControl/>
      </w:pPr>
      <w:r>
        <w:rPr>
          <w:rFonts w:ascii="Calibri" w:hAnsi="Calibri" w:eastAsia="Calibri"/>
          <w:color w:val="2E74B5"/>
          <w:sz w:val="32"/>
        </w:rPr>
        <w:t>2. Method and provenance audit</w:t>
      </w:r>
    </w:p>
    <w:p>
      <w:pPr>
        <w:pStyle w:val="Heading2"/>
        <w:keepNext/>
        <w:widowControl/>
      </w:pPr>
      <w:r>
        <w:rPr>
          <w:rFonts w:ascii="Calibri" w:hAnsi="Calibri" w:eastAsia="Calibri"/>
          <w:color w:val="2E74B5"/>
          <w:sz w:val="26"/>
        </w:rPr>
        <w:t>2.1 How the research was performed</w:t>
      </w:r>
    </w:p>
    <w:p>
      <w:pPr>
        <w:widowControl/>
      </w:pPr>
      <w:r>
        <w:rPr>
          <w:rFonts w:ascii="Calibri" w:hAnsi="Calibri" w:eastAsia="Calibri"/>
          <w:color w:val="202428"/>
          <w:sz w:val="22"/>
        </w:rPr>
        <w:t xml:space="preserve">The historical concept paper, pilot packet, and screenshot were treated as </w:t>
      </w:r>
      <w:r>
        <w:rPr>
          <w:rFonts w:ascii="Calibri" w:hAnsi="Calibri" w:eastAsia="Calibri"/>
          <w:b/>
          <w:color w:val="202428"/>
          <w:sz w:val="22"/>
        </w:rPr>
        <w:t>provenance evidence</w:t>
      </w:r>
      <w:r>
        <w:rPr>
          <w:rFonts w:ascii="Calibri" w:hAnsi="Calibri" w:eastAsia="Calibri"/>
          <w:color w:val="202428"/>
          <w:sz w:val="22"/>
        </w:rPr>
        <w:t>—useful for tracing how the idea evolved, but not as legal authority. Each material proposition was then rechecked against current statutory text, regulations, official agency material, and reported cases. Primary authority was preferred; official agency guidance was used for administration and compliance; secondary and empirical material was used only for context or hypothesis design.</w:t>
      </w:r>
    </w:p>
    <w:p>
      <w:pPr>
        <w:widowControl/>
      </w:pPr>
      <w:r>
        <w:rPr>
          <w:rFonts w:ascii="Calibri" w:hAnsi="Calibri" w:eastAsia="Calibri"/>
          <w:color w:val="202428"/>
          <w:sz w:val="22"/>
        </w:rPr>
        <w:t>The research process used an adversarial claim ledger:</w:t>
      </w:r>
    </w:p>
    <w:p>
      <w:pPr>
        <w:spacing w:after="100"/>
        <w:ind w:left="720" w:hanging="360"/>
        <w:widowControl/>
        <w:numPr>
          <w:ilvl w:val="0"/>
          <w:numId w:val="14"/>
        </w:numPr>
      </w:pPr>
      <w:r>
        <w:rPr>
          <w:rFonts w:ascii="Calibri" w:hAnsi="Calibri" w:eastAsia="Calibri"/>
          <w:color w:val="202428"/>
          <w:sz w:val="22"/>
        </w:rPr>
        <w:t>State the narrowest proposition that matters.</w:t>
      </w:r>
    </w:p>
    <w:p>
      <w:pPr>
        <w:spacing w:after="100"/>
        <w:ind w:left="720" w:hanging="360"/>
        <w:widowControl/>
        <w:numPr>
          <w:ilvl w:val="0"/>
          <w:numId w:val="14"/>
        </w:numPr>
      </w:pPr>
      <w:r>
        <w:rPr>
          <w:rFonts w:ascii="Calibri" w:hAnsi="Calibri" w:eastAsia="Calibri"/>
          <w:color w:val="202428"/>
          <w:sz w:val="22"/>
        </w:rPr>
        <w:t>Identify each legal element.</w:t>
      </w:r>
    </w:p>
    <w:p>
      <w:pPr>
        <w:spacing w:after="100"/>
        <w:ind w:left="720" w:hanging="360"/>
        <w:widowControl/>
        <w:numPr>
          <w:ilvl w:val="0"/>
          <w:numId w:val="14"/>
        </w:numPr>
      </w:pPr>
      <w:r>
        <w:rPr>
          <w:rFonts w:ascii="Calibri" w:hAnsi="Calibri" w:eastAsia="Calibri"/>
          <w:color w:val="202428"/>
          <w:sz w:val="22"/>
        </w:rPr>
        <w:t>Attach the best current primary authority and its effective date.</w:t>
      </w:r>
    </w:p>
    <w:p>
      <w:pPr>
        <w:spacing w:after="100"/>
        <w:ind w:left="720" w:hanging="360"/>
        <w:widowControl/>
        <w:numPr>
          <w:ilvl w:val="0"/>
          <w:numId w:val="14"/>
        </w:numPr>
      </w:pPr>
      <w:r>
        <w:rPr>
          <w:rFonts w:ascii="Calibri" w:hAnsi="Calibri" w:eastAsia="Calibri"/>
          <w:color w:val="202428"/>
          <w:sz w:val="22"/>
        </w:rPr>
        <w:t>Identify the factual predicate the protocol must generate.</w:t>
      </w:r>
    </w:p>
    <w:p>
      <w:pPr>
        <w:spacing w:after="100"/>
        <w:ind w:left="720" w:hanging="360"/>
        <w:widowControl/>
        <w:numPr>
          <w:ilvl w:val="0"/>
          <w:numId w:val="14"/>
        </w:numPr>
      </w:pPr>
      <w:r>
        <w:rPr>
          <w:rFonts w:ascii="Calibri" w:hAnsi="Calibri" w:eastAsia="Calibri"/>
          <w:color w:val="202428"/>
          <w:sz w:val="22"/>
        </w:rPr>
        <w:t>Search for contrary text, limiting precedent, and missing cases.</w:t>
      </w:r>
    </w:p>
    <w:p>
      <w:pPr>
        <w:spacing w:after="100"/>
        <w:ind w:left="720" w:hanging="360"/>
        <w:widowControl/>
        <w:numPr>
          <w:ilvl w:val="0"/>
          <w:numId w:val="14"/>
        </w:numPr>
      </w:pPr>
      <w:r>
        <w:rPr>
          <w:rFonts w:ascii="Calibri" w:hAnsi="Calibri" w:eastAsia="Calibri"/>
          <w:color w:val="202428"/>
          <w:sz w:val="22"/>
        </w:rPr>
        <w:t>Grade the conclusion as established, textually plausible, unsettled, or unsupported.</w:t>
      </w:r>
    </w:p>
    <w:p>
      <w:pPr>
        <w:spacing w:after="100"/>
        <w:ind w:left="720" w:hanging="360"/>
        <w:widowControl/>
        <w:numPr>
          <w:ilvl w:val="0"/>
          <w:numId w:val="14"/>
        </w:numPr>
      </w:pPr>
      <w:r>
        <w:rPr>
          <w:rFonts w:ascii="Calibri" w:hAnsi="Calibri" w:eastAsia="Calibri"/>
          <w:color w:val="202428"/>
          <w:sz w:val="22"/>
        </w:rPr>
        <w:t>Design an operational control that remains useful even if the aggressive legal theory fails.</w:t>
      </w:r>
    </w:p>
    <w:p>
      <w:pPr>
        <w:widowControl/>
      </w:pPr>
      <w:r>
        <w:rPr>
          <w:rFonts w:ascii="Calibri" w:hAnsi="Calibri" w:eastAsia="Calibri"/>
          <w:color w:val="202428"/>
          <w:sz w:val="22"/>
        </w:rPr>
        <w:t>Three independent research tracks examined (a) Washington notary and false-statement law, (b) interstate/Pennsylvania/comparator law, and (c) constitutional, campaign, tax, recording, defamation, editing, notary-conflict, and unauthorized-practice risks. The synthesis in this report adopts the most conservative conclusion where the tracks conflict.</w:t>
      </w:r>
    </w:p>
    <w:p>
      <w:pPr>
        <w:pStyle w:val="Heading2"/>
        <w:keepNext/>
        <w:widowControl/>
      </w:pPr>
      <w:r>
        <w:rPr>
          <w:rFonts w:ascii="Calibri" w:hAnsi="Calibri" w:eastAsia="Calibri"/>
          <w:color w:val="2E74B5"/>
          <w:sz w:val="26"/>
        </w:rPr>
        <w:t>2.2 What survived from the historical drafts</w:t>
      </w:r>
    </w:p>
    <w:p>
      <w:pPr>
        <w:widowControl/>
      </w:pPr>
      <w:r>
        <w:rPr>
          <w:rFonts w:ascii="Calibri" w:hAnsi="Calibri" w:eastAsia="Calibri"/>
          <w:color w:val="202428"/>
          <w:sz w:val="22"/>
        </w:rPr>
        <w:t>The strongest original ideas survive:</w:t>
      </w:r>
    </w:p>
    <w:p>
      <w:pPr>
        <w:spacing w:after="100"/>
        <w:ind w:left="720" w:hanging="360"/>
        <w:widowControl/>
        <w:numPr>
          <w:ilvl w:val="0"/>
          <w:numId w:val="15"/>
        </w:numPr>
      </w:pPr>
      <w:r>
        <w:rPr>
          <w:rFonts w:ascii="Calibri" w:hAnsi="Calibri" w:eastAsia="Calibri"/>
          <w:color w:val="202428"/>
          <w:sz w:val="22"/>
        </w:rPr>
        <w:t>participation is voluntary;</w:t>
      </w:r>
    </w:p>
    <w:p>
      <w:pPr>
        <w:spacing w:after="100"/>
        <w:ind w:left="720" w:hanging="360"/>
        <w:widowControl/>
        <w:numPr>
          <w:ilvl w:val="0"/>
          <w:numId w:val="15"/>
        </w:numPr>
      </w:pPr>
      <w:r>
        <w:rPr>
          <w:rFonts w:ascii="Calibri" w:hAnsi="Calibri" w:eastAsia="Calibri"/>
          <w:color w:val="202428"/>
          <w:sz w:val="22"/>
        </w:rPr>
        <w:t>facts are separated from opinion and policy judgment;</w:t>
      </w:r>
    </w:p>
    <w:p>
      <w:pPr>
        <w:spacing w:after="100"/>
        <w:ind w:left="720" w:hanging="360"/>
        <w:widowControl/>
        <w:numPr>
          <w:ilvl w:val="0"/>
          <w:numId w:val="15"/>
        </w:numPr>
      </w:pPr>
      <w:r>
        <w:rPr>
          <w:rFonts w:ascii="Calibri" w:hAnsi="Calibri" w:eastAsia="Calibri"/>
          <w:color w:val="202428"/>
          <w:sz w:val="22"/>
        </w:rPr>
        <w:t>questions are short, disclosed, and sourceable;</w:t>
      </w:r>
    </w:p>
    <w:p>
      <w:pPr>
        <w:spacing w:after="100"/>
        <w:ind w:left="720" w:hanging="360"/>
        <w:widowControl/>
        <w:numPr>
          <w:ilvl w:val="0"/>
          <w:numId w:val="15"/>
        </w:numPr>
      </w:pPr>
      <w:r>
        <w:rPr>
          <w:rFonts w:ascii="Calibri" w:hAnsi="Calibri" w:eastAsia="Calibri"/>
          <w:color w:val="202428"/>
          <w:sz w:val="22"/>
        </w:rPr>
        <w:t>a participant can qualify, decline, or say “I do not know”;</w:t>
      </w:r>
    </w:p>
    <w:p>
      <w:pPr>
        <w:spacing w:after="100"/>
        <w:ind w:left="720" w:hanging="360"/>
        <w:widowControl/>
        <w:numPr>
          <w:ilvl w:val="0"/>
          <w:numId w:val="15"/>
        </w:numPr>
      </w:pPr>
      <w:r>
        <w:rPr>
          <w:rFonts w:ascii="Calibri" w:hAnsi="Calibri" w:eastAsia="Calibri"/>
          <w:color w:val="202428"/>
          <w:sz w:val="22"/>
        </w:rPr>
        <w:t>corrections remain visible;</w:t>
      </w:r>
    </w:p>
    <w:p>
      <w:pPr>
        <w:spacing w:after="100"/>
        <w:ind w:left="720" w:hanging="360"/>
        <w:widowControl/>
        <w:numPr>
          <w:ilvl w:val="0"/>
          <w:numId w:val="15"/>
        </w:numPr>
      </w:pPr>
      <w:r>
        <w:rPr>
          <w:rFonts w:ascii="Calibri" w:hAnsi="Calibri" w:eastAsia="Calibri"/>
          <w:color w:val="202428"/>
          <w:sz w:val="22"/>
        </w:rPr>
        <w:t>the system’s proposed value is a procedure and provenance signal to be tested, not a truth badge or prosecution mechanism.</w:t>
      </w:r>
    </w:p>
    <w:p>
      <w:pPr>
        <w:pStyle w:val="Heading2"/>
        <w:keepNext/>
        <w:widowControl/>
      </w:pPr>
      <w:r>
        <w:rPr>
          <w:rFonts w:ascii="Calibri" w:hAnsi="Calibri" w:eastAsia="Calibri"/>
          <w:color w:val="2E74B5"/>
          <w:sz w:val="26"/>
        </w:rPr>
        <w:t>2.3 What changed after fact-checking</w:t>
      </w:r>
    </w:p>
    <w:p>
      <w:pPr>
        <w:widowControl/>
      </w:pPr>
      <w:r>
        <w:rPr>
          <w:rFonts w:ascii="Calibri" w:hAnsi="Calibri" w:eastAsia="Calibri"/>
          <w:color w:val="202428"/>
          <w:sz w:val="22"/>
        </w:rPr>
        <w:t>The following claims or practices were corrected:</w:t>
      </w:r>
    </w:p>
    <w:p>
      <w:pPr>
        <w:spacing w:after="100"/>
        <w:ind w:left="720" w:hanging="360"/>
        <w:widowControl/>
        <w:numPr>
          <w:ilvl w:val="0"/>
          <w:numId w:val="16"/>
        </w:numPr>
      </w:pPr>
      <w:r>
        <w:rPr>
          <w:rFonts w:ascii="Calibri" w:hAnsi="Calibri" w:eastAsia="Calibri"/>
          <w:color w:val="202428"/>
          <w:sz w:val="22"/>
        </w:rPr>
        <w:t xml:space="preserve">The v2 pilot packet’s citation to </w:t>
      </w:r>
      <w:r>
        <w:rPr>
          <w:rFonts w:ascii="Calibri" w:hAnsi="Calibri" w:eastAsia="Calibri"/>
          <w:i/>
          <w:color w:val="202428"/>
          <w:sz w:val="22"/>
        </w:rPr>
        <w:t>State v. Lewis</w:t>
      </w:r>
      <w:r>
        <w:rPr>
          <w:rFonts w:ascii="Calibri" w:hAnsi="Calibri" w:eastAsia="Calibri"/>
          <w:color w:val="202428"/>
          <w:sz w:val="22"/>
        </w:rPr>
        <w:t xml:space="preserve"> as “72 Wn.2d 427 (1975)” is incorrect. The relevant decision is </w:t>
      </w:r>
      <w:r>
        <w:rPr>
          <w:rFonts w:ascii="Calibri" w:hAnsi="Calibri" w:eastAsia="Calibri"/>
          <w:i/>
          <w:color w:val="202428"/>
          <w:sz w:val="22"/>
        </w:rPr>
        <w:t>State v. Lewis</w:t>
      </w:r>
      <w:r>
        <w:rPr>
          <w:rFonts w:ascii="Calibri" w:hAnsi="Calibri" w:eastAsia="Calibri"/>
          <w:color w:val="202428"/>
          <w:sz w:val="22"/>
        </w:rPr>
        <w:t xml:space="preserve">, </w:t>
      </w:r>
      <w:r>
        <w:rPr>
          <w:rFonts w:ascii="Calibri" w:hAnsi="Calibri" w:eastAsia="Calibri"/>
          <w:b/>
          <w:color w:val="202428"/>
          <w:sz w:val="22"/>
        </w:rPr>
        <w:t>85 Wn.2d 769, 539 P.2d 677 (1975)</w:t>
      </w:r>
      <w:r>
        <w:rPr>
          <w:rFonts w:ascii="Calibri" w:hAnsi="Calibri" w:eastAsia="Calibri"/>
          <w:color w:val="202428"/>
          <w:sz w:val="22"/>
        </w:rPr>
        <w:t>; the v3 concept paper corrected the reporter citation.</w:t>
      </w:r>
    </w:p>
    <w:p>
      <w:pPr>
        <w:spacing w:after="100"/>
        <w:ind w:left="720" w:hanging="360"/>
        <w:widowControl/>
        <w:numPr>
          <w:ilvl w:val="0"/>
          <w:numId w:val="16"/>
        </w:numPr>
      </w:pPr>
      <w:r>
        <w:rPr>
          <w:rFonts w:ascii="Calibri" w:hAnsi="Calibri" w:eastAsia="Calibri"/>
          <w:color w:val="202428"/>
          <w:sz w:val="22"/>
        </w:rPr>
        <w:t>“DDG” is corrected to “DGG.”</w:t>
      </w:r>
    </w:p>
    <w:p>
      <w:pPr>
        <w:spacing w:after="100"/>
        <w:ind w:left="720" w:hanging="360"/>
        <w:widowControl/>
        <w:numPr>
          <w:ilvl w:val="0"/>
          <w:numId w:val="16"/>
        </w:numPr>
      </w:pPr>
      <w:r>
        <w:rPr>
          <w:rFonts w:ascii="Calibri" w:hAnsi="Calibri" w:eastAsia="Calibri"/>
          <w:color w:val="202428"/>
          <w:sz w:val="22"/>
        </w:rPr>
        <w:t>A Washington notarial venue is not, by itself, Washington criminal jurisdiction.</w:t>
      </w:r>
    </w:p>
    <w:p>
      <w:pPr>
        <w:spacing w:after="100"/>
        <w:ind w:left="720" w:hanging="360"/>
        <w:widowControl/>
        <w:numPr>
          <w:ilvl w:val="0"/>
          <w:numId w:val="16"/>
        </w:numPr>
      </w:pPr>
      <w:r>
        <w:rPr>
          <w:rFonts w:ascii="Calibri" w:hAnsi="Calibri" w:eastAsia="Calibri"/>
          <w:color w:val="202428"/>
          <w:sz w:val="22"/>
        </w:rPr>
        <w:t>Recognition of an out-of-state notarial act is not choice of criminal law, admissibility, or extradition.</w:t>
      </w:r>
    </w:p>
    <w:p>
      <w:pPr>
        <w:spacing w:after="100"/>
        <w:ind w:left="720" w:hanging="360"/>
        <w:widowControl/>
        <w:numPr>
          <w:ilvl w:val="0"/>
          <w:numId w:val="16"/>
        </w:numPr>
      </w:pPr>
      <w:r>
        <w:rPr>
          <w:rFonts w:ascii="Calibri" w:hAnsi="Calibri" w:eastAsia="Calibri"/>
          <w:color w:val="202428"/>
          <w:sz w:val="22"/>
        </w:rPr>
        <w:t>RCW 9A.04.030(6) is specifically tied to chapter 5.50 declarations that would be perjury; it is not a catch-all for any remote sworn appearance.</w:t>
      </w:r>
    </w:p>
    <w:p>
      <w:pPr>
        <w:spacing w:after="100"/>
        <w:ind w:left="720" w:hanging="360"/>
        <w:widowControl/>
        <w:numPr>
          <w:ilvl w:val="0"/>
          <w:numId w:val="16"/>
        </w:numPr>
      </w:pPr>
      <w:r>
        <w:rPr>
          <w:rFonts w:ascii="Calibri" w:hAnsi="Calibri" w:eastAsia="Calibri"/>
          <w:color w:val="202428"/>
          <w:sz w:val="22"/>
        </w:rPr>
        <w:t>Surrender of a person who was never in Washington is discretionary under RCW 10.88.250, not automatic federal fugitive rendition.</w:t>
      </w:r>
    </w:p>
    <w:p>
      <w:pPr>
        <w:spacing w:after="100"/>
        <w:ind w:left="720" w:hanging="360"/>
        <w:widowControl/>
        <w:numPr>
          <w:ilvl w:val="0"/>
          <w:numId w:val="16"/>
        </w:numPr>
      </w:pPr>
      <w:r>
        <w:rPr>
          <w:rFonts w:ascii="Calibri" w:hAnsi="Calibri" w:eastAsia="Calibri"/>
          <w:color w:val="202428"/>
          <w:sz w:val="22"/>
        </w:rPr>
        <w:t>Pennsylvania does not supply a broad private false-swearing theory merely because a Pennsylvania notary administers an oath.</w:t>
      </w:r>
    </w:p>
    <w:p>
      <w:pPr>
        <w:spacing w:after="100"/>
        <w:ind w:left="720" w:hanging="360"/>
        <w:widowControl/>
        <w:numPr>
          <w:ilvl w:val="0"/>
          <w:numId w:val="16"/>
        </w:numPr>
      </w:pPr>
      <w:r>
        <w:rPr>
          <w:rFonts w:ascii="Calibri" w:hAnsi="Calibri" w:eastAsia="Calibri"/>
          <w:color w:val="202428"/>
          <w:sz w:val="22"/>
        </w:rPr>
        <w:t>The 2027 Washington RON amendment must be distinguished from the version in force through December 31, 2026.</w:t>
      </w:r>
    </w:p>
    <w:p>
      <w:pPr>
        <w:spacing w:after="100"/>
        <w:ind w:left="720" w:hanging="360"/>
        <w:widowControl/>
        <w:numPr>
          <w:ilvl w:val="0"/>
          <w:numId w:val="16"/>
        </w:numPr>
      </w:pPr>
      <w:r>
        <w:rPr>
          <w:rFonts w:ascii="Calibri" w:hAnsi="Calibri" w:eastAsia="Calibri"/>
          <w:color w:val="202428"/>
          <w:sz w:val="22"/>
        </w:rPr>
        <w:t>Campaign-finance, § 501(c)(4), recording, privacy, editing, defamation-by-implication, notary promotion, direct-beneficial-interest, and unauthorized-practice controls are launch issues, not footnotes.</w:t>
      </w:r>
    </w:p>
    <w:p>
      <w:pPr>
        <w:pStyle w:val="Heading2"/>
        <w:keepNext/>
        <w:widowControl/>
      </w:pPr>
      <w:r>
        <w:rPr>
          <w:rFonts w:ascii="Calibri" w:hAnsi="Calibri" w:eastAsia="Calibri"/>
          <w:color w:val="2E74B5"/>
          <w:sz w:val="26"/>
        </w:rPr>
        <w:t>2.4 Limits of the search</w:t>
      </w:r>
    </w:p>
    <w:p>
      <w:pPr>
        <w:widowControl/>
      </w:pPr>
      <w:r>
        <w:rPr>
          <w:rFonts w:ascii="Calibri" w:hAnsi="Calibri" w:eastAsia="Calibri"/>
          <w:color w:val="202428"/>
          <w:sz w:val="22"/>
        </w:rPr>
        <w:t>No exact public analogue was identified for a candidate/media interview combining a notarial jurat, a frozen answer record, separate sworn and unsworn lanes, a versioned correction architecture, and public publication. That is a scoped negative search, not proof that “this has never been done.” Conventional fact-checking, pledge systems, affidavits, depositions, voter guides, and notarized declarations are useful components but not exact precedents.</w:t>
      </w:r>
    </w:p>
    <w:p>
      <w:pPr>
        <w:pStyle w:val="Heading1"/>
        <w:keepNext/>
        <w:widowControl/>
      </w:pPr>
      <w:r>
        <w:rPr>
          <w:rFonts w:ascii="Calibri" w:hAnsi="Calibri" w:eastAsia="Calibri"/>
          <w:color w:val="2E74B5"/>
          <w:sz w:val="32"/>
        </w:rPr>
        <w:t>3. The legal object: a record, not a conversation</w:t>
      </w:r>
    </w:p>
    <w:p>
      <w:pPr>
        <w:pStyle w:val="Heading2"/>
        <w:keepNext/>
        <w:widowControl/>
      </w:pPr>
      <w:r>
        <w:rPr>
          <w:rFonts w:ascii="Calibri" w:hAnsi="Calibri" w:eastAsia="Calibri"/>
          <w:color w:val="2E74B5"/>
          <w:sz w:val="26"/>
        </w:rPr>
        <w:t>3.1 Two records, two functions</w:t>
      </w:r>
    </w:p>
    <w:p>
      <w:pPr>
        <w:widowControl/>
      </w:pPr>
      <w:r>
        <w:rPr>
          <w:rFonts w:ascii="Calibri" w:hAnsi="Calibri" w:eastAsia="Calibri"/>
          <w:color w:val="202428"/>
          <w:sz w:val="22"/>
        </w:rPr>
        <w:t>The protocol should maintain two deliberately different records.</w:t>
      </w:r>
    </w:p>
    <w:p>
      <w:pPr>
        <w:widowControl/>
      </w:pPr>
      <w:r>
        <w:rPr>
          <w:rFonts w:ascii="Calibri" w:hAnsi="Calibri" w:eastAsia="Calibri"/>
          <w:b/>
          <w:color w:val="202428"/>
          <w:sz w:val="22"/>
        </w:rPr>
        <w:t>Canonical Sworn Record (CSR).</w:t>
      </w:r>
      <w:r>
        <w:rPr>
          <w:rFonts w:ascii="Calibri" w:hAnsi="Calibri" w:eastAsia="Calibri"/>
          <w:color w:val="202428"/>
          <w:sz w:val="22"/>
        </w:rPr>
        <w:t xml:space="preserve"> The exact, participant-reviewed document containing the factual questions, answers, qualifications, version, record ID, signature, and jurat. The CSR is the only object DGG describes as sworn unless counsel approves a separate oral-testimony design.</w:t>
      </w:r>
    </w:p>
    <w:p>
      <w:pPr>
        <w:widowControl/>
      </w:pPr>
      <w:r>
        <w:rPr>
          <w:rFonts w:ascii="Calibri" w:hAnsi="Calibri" w:eastAsia="Calibri"/>
          <w:b/>
          <w:color w:val="202428"/>
          <w:sz w:val="22"/>
        </w:rPr>
        <w:t>Public Media Record (PMR).</w:t>
      </w:r>
      <w:r>
        <w:rPr>
          <w:rFonts w:ascii="Calibri" w:hAnsi="Calibri" w:eastAsia="Calibri"/>
          <w:color w:val="202428"/>
          <w:sz w:val="22"/>
        </w:rPr>
        <w:t xml:space="preserve"> The audio/video program, including the visible oath ceremony, a verbatim read-back if used, and later commentary. The PMR supplies context and public transparency. It is not silently substituted for, edited into, or retroactively treated as the CSR.</w:t>
      </w:r>
    </w:p>
    <w:p>
      <w:pPr>
        <w:widowControl/>
      </w:pPr>
      <w:r>
        <w:rPr>
          <w:rFonts w:ascii="Calibri" w:hAnsi="Calibri" w:eastAsia="Calibri"/>
          <w:color w:val="202428"/>
          <w:sz w:val="22"/>
        </w:rPr>
        <w:t>This separation solves five problems at once: it defines what was adopted, confines the oath, prevents transcript rewriting, keeps the notary’s certificate attached to a stable object, and lets DGG edit an ordinary program without altering the legally relevant record.</w:t>
      </w:r>
    </w:p>
    <w:p>
      <w:pPr>
        <w:pStyle w:val="Heading2"/>
        <w:keepNext/>
        <w:widowControl/>
      </w:pPr>
      <w:r>
        <w:rPr>
          <w:rFonts w:ascii="Calibri" w:hAnsi="Calibri" w:eastAsia="Calibri"/>
          <w:color w:val="2E74B5"/>
          <w:sz w:val="26"/>
        </w:rPr>
        <w:t>3.2 What the notary does—and does not do</w:t>
      </w:r>
    </w:p>
    <w:p>
      <w:pPr>
        <w:widowControl/>
      </w:pPr>
      <w:r>
        <w:rPr>
          <w:rFonts w:ascii="Calibri" w:hAnsi="Calibri" w:eastAsia="Calibri"/>
          <w:color w:val="202428"/>
          <w:sz w:val="22"/>
        </w:rPr>
        <w:t>The notary:</w:t>
      </w:r>
    </w:p>
    <w:p>
      <w:pPr>
        <w:spacing w:after="100"/>
        <w:ind w:left="720" w:hanging="360"/>
        <w:widowControl/>
        <w:numPr>
          <w:ilvl w:val="0"/>
          <w:numId w:val="17"/>
        </w:numPr>
      </w:pPr>
      <w:r>
        <w:rPr>
          <w:rFonts w:ascii="Calibri" w:hAnsi="Calibri" w:eastAsia="Calibri"/>
          <w:color w:val="202428"/>
          <w:sz w:val="22"/>
        </w:rPr>
        <w:t>identifies the participant under Washington law;</w:t>
      </w:r>
    </w:p>
    <w:p>
      <w:pPr>
        <w:spacing w:after="100"/>
        <w:ind w:left="720" w:hanging="360"/>
        <w:widowControl/>
        <w:numPr>
          <w:ilvl w:val="0"/>
          <w:numId w:val="17"/>
        </w:numPr>
      </w:pPr>
      <w:r>
        <w:rPr>
          <w:rFonts w:ascii="Calibri" w:hAnsi="Calibri" w:eastAsia="Calibri"/>
          <w:color w:val="202428"/>
          <w:sz w:val="22"/>
        </w:rPr>
        <w:t>confirms personal appearance or a compliant remote appearance;</w:t>
      </w:r>
    </w:p>
    <w:p>
      <w:pPr>
        <w:spacing w:after="100"/>
        <w:ind w:left="720" w:hanging="360"/>
        <w:widowControl/>
        <w:numPr>
          <w:ilvl w:val="0"/>
          <w:numId w:val="17"/>
        </w:numPr>
      </w:pPr>
      <w:r>
        <w:rPr>
          <w:rFonts w:ascii="Calibri" w:hAnsi="Calibri" w:eastAsia="Calibri"/>
          <w:color w:val="202428"/>
          <w:sz w:val="22"/>
        </w:rPr>
        <w:t>may refuse if not satisfied that the participant has capacity or is signing knowingly and voluntarily;</w:t>
      </w:r>
    </w:p>
    <w:p>
      <w:pPr>
        <w:spacing w:after="100"/>
        <w:ind w:left="720" w:hanging="360"/>
        <w:widowControl/>
        <w:numPr>
          <w:ilvl w:val="0"/>
          <w:numId w:val="17"/>
        </w:numPr>
      </w:pPr>
      <w:r>
        <w:rPr>
          <w:rFonts w:ascii="Calibri" w:hAnsi="Calibri" w:eastAsia="Calibri"/>
          <w:color w:val="202428"/>
          <w:sz w:val="22"/>
        </w:rPr>
        <w:t>administers the oath or affirmation;</w:t>
      </w:r>
    </w:p>
    <w:p>
      <w:pPr>
        <w:spacing w:after="100"/>
        <w:ind w:left="720" w:hanging="360"/>
        <w:widowControl/>
        <w:numPr>
          <w:ilvl w:val="0"/>
          <w:numId w:val="17"/>
        </w:numPr>
      </w:pPr>
      <w:r>
        <w:rPr>
          <w:rFonts w:ascii="Calibri" w:hAnsi="Calibri" w:eastAsia="Calibri"/>
          <w:color w:val="202428"/>
          <w:sz w:val="22"/>
        </w:rPr>
        <w:t>witnesses adoption/signature of the exact record;</w:t>
      </w:r>
    </w:p>
    <w:p>
      <w:pPr>
        <w:spacing w:after="100"/>
        <w:ind w:left="720" w:hanging="360"/>
        <w:widowControl/>
        <w:numPr>
          <w:ilvl w:val="0"/>
          <w:numId w:val="17"/>
        </w:numPr>
      </w:pPr>
      <w:r>
        <w:rPr>
          <w:rFonts w:ascii="Calibri" w:hAnsi="Calibri" w:eastAsia="Calibri"/>
          <w:color w:val="202428"/>
          <w:sz w:val="22"/>
        </w:rPr>
        <w:t>completes the appropriate certificate contemporaneously;</w:t>
      </w:r>
    </w:p>
    <w:p>
      <w:pPr>
        <w:spacing w:after="100"/>
        <w:ind w:left="720" w:hanging="360"/>
        <w:widowControl/>
        <w:numPr>
          <w:ilvl w:val="0"/>
          <w:numId w:val="17"/>
        </w:numPr>
      </w:pPr>
      <w:r>
        <w:rPr>
          <w:rFonts w:ascii="Calibri" w:hAnsi="Calibri" w:eastAsia="Calibri"/>
          <w:color w:val="202428"/>
          <w:sz w:val="22"/>
        </w:rPr>
        <w:t>for the recommended nonattorney notary, makes the required journal entry (RCW 42.45.180(2) contains an attorney-notary professional-record exception); and</w:t>
      </w:r>
    </w:p>
    <w:p>
      <w:pPr>
        <w:spacing w:after="100"/>
        <w:ind w:left="720" w:hanging="360"/>
        <w:widowControl/>
        <w:numPr>
          <w:ilvl w:val="0"/>
          <w:numId w:val="17"/>
        </w:numPr>
      </w:pPr>
      <w:r>
        <w:rPr>
          <w:rFonts w:ascii="Calibri" w:hAnsi="Calibri" w:eastAsia="Calibri"/>
          <w:color w:val="202428"/>
          <w:sz w:val="22"/>
        </w:rPr>
        <w:t>for RON, uses compliant technology and retains the statutory audiovisual record.</w:t>
      </w:r>
    </w:p>
    <w:p>
      <w:pPr>
        <w:widowControl/>
      </w:pPr>
      <w:r>
        <w:rPr>
          <w:rFonts w:ascii="Calibri" w:hAnsi="Calibri" w:eastAsia="Calibri"/>
          <w:color w:val="202428"/>
          <w:sz w:val="22"/>
        </w:rPr>
        <w:t xml:space="preserve">The notary does </w:t>
      </w:r>
      <w:r>
        <w:rPr>
          <w:rFonts w:ascii="Calibri" w:hAnsi="Calibri" w:eastAsia="Calibri"/>
          <w:b/>
          <w:color w:val="202428"/>
          <w:sz w:val="22"/>
        </w:rPr>
        <w:t>not</w:t>
      </w:r>
      <w:r>
        <w:rPr>
          <w:rFonts w:ascii="Calibri" w:hAnsi="Calibri" w:eastAsia="Calibri"/>
          <w:color w:val="202428"/>
          <w:sz w:val="22"/>
        </w:rPr>
        <w:t xml:space="preserve"> investigate the answer, certify truth, select DGG’s legal theory, draft the questions, give the participant legal advice, endorse DGG, determine whether a crime occurred, or serve as a campaign/media editor. RCW 42.45.020, .050–.060, .130, .180, .230; WAC 308-30-230, -240.</w:t>
      </w:r>
    </w:p>
    <w:p>
      <w:pPr>
        <w:pStyle w:val="Heading2"/>
        <w:keepNext/>
        <w:widowControl/>
      </w:pPr>
      <w:r>
        <w:rPr>
          <w:rFonts w:ascii="Calibri" w:hAnsi="Calibri" w:eastAsia="Calibri"/>
          <w:color w:val="2E74B5"/>
          <w:sz w:val="26"/>
        </w:rPr>
        <w:t>3.3 The sworn airlock</w:t>
      </w:r>
    </w:p>
    <w:p>
      <w:pPr>
        <w:widowControl/>
      </w:pPr>
      <w:r>
        <w:rPr>
          <w:rFonts w:ascii="Calibri" w:hAnsi="Calibri" w:eastAsia="Calibri"/>
          <w:color w:val="202428"/>
          <w:sz w:val="22"/>
        </w:rPr>
        <w:t>The “airlock” is a human-factors control, not a statutory term. It creates observable boundaries:</w:t>
      </w:r>
    </w:p>
    <w:p>
      <w:pPr>
        <w:spacing w:after="100"/>
        <w:ind w:left="720" w:hanging="360"/>
        <w:widowControl/>
        <w:numPr>
          <w:ilvl w:val="0"/>
          <w:numId w:val="18"/>
        </w:numPr>
      </w:pPr>
      <w:r>
        <w:rPr>
          <w:rFonts w:ascii="Calibri" w:hAnsi="Calibri" w:eastAsia="Calibri"/>
          <w:b/>
          <w:color w:val="202428"/>
          <w:sz w:val="22"/>
        </w:rPr>
        <w:t>Green — Unsworn:</w:t>
      </w:r>
      <w:r>
        <w:rPr>
          <w:rFonts w:ascii="Calibri" w:hAnsi="Calibri" w:eastAsia="Calibri"/>
          <w:color w:val="202428"/>
          <w:sz w:val="22"/>
        </w:rPr>
        <w:t xml:space="preserve"> invitations, preparation, source review, ordinary interview, and drafting.</w:t>
      </w:r>
    </w:p>
    <w:p>
      <w:pPr>
        <w:spacing w:after="100"/>
        <w:ind w:left="720" w:hanging="360"/>
        <w:widowControl/>
        <w:numPr>
          <w:ilvl w:val="0"/>
          <w:numId w:val="18"/>
        </w:numPr>
      </w:pPr>
      <w:r>
        <w:rPr>
          <w:rFonts w:ascii="Calibri" w:hAnsi="Calibri" w:eastAsia="Calibri"/>
          <w:b/>
          <w:color w:val="202428"/>
          <w:sz w:val="22"/>
        </w:rPr>
        <w:t>Amber — Transition:</w:t>
      </w:r>
      <w:r>
        <w:rPr>
          <w:rFonts w:ascii="Calibri" w:hAnsi="Calibri" w:eastAsia="Calibri"/>
          <w:color w:val="202428"/>
          <w:sz w:val="22"/>
        </w:rPr>
        <w:t xml:space="preserve"> freeze the CSR, verify record ID/version, confirm consent and available answer options, check notary authority/location, and stop editorial discussion.</w:t>
      </w:r>
    </w:p>
    <w:p>
      <w:pPr>
        <w:spacing w:after="100"/>
        <w:ind w:left="720" w:hanging="360"/>
        <w:widowControl/>
        <w:numPr>
          <w:ilvl w:val="0"/>
          <w:numId w:val="18"/>
        </w:numPr>
      </w:pPr>
      <w:r>
        <w:rPr>
          <w:rFonts w:ascii="Calibri" w:hAnsi="Calibri" w:eastAsia="Calibri"/>
          <w:b/>
          <w:color w:val="202428"/>
          <w:sz w:val="22"/>
        </w:rPr>
        <w:t>Red — Sworn:</w:t>
      </w:r>
      <w:r>
        <w:rPr>
          <w:rFonts w:ascii="Calibri" w:hAnsi="Calibri" w:eastAsia="Calibri"/>
          <w:color w:val="202428"/>
          <w:sz w:val="22"/>
        </w:rPr>
        <w:t xml:space="preserve"> the notary alone controls the notarial act; the participant swears or affirms, adopts/signs the CSR, and the notary completes the jurat.</w:t>
      </w:r>
    </w:p>
    <w:p>
      <w:pPr>
        <w:spacing w:after="100"/>
        <w:ind w:left="720" w:hanging="360"/>
        <w:widowControl/>
        <w:numPr>
          <w:ilvl w:val="0"/>
          <w:numId w:val="18"/>
        </w:numPr>
      </w:pPr>
      <w:r>
        <w:rPr>
          <w:rFonts w:ascii="Calibri" w:hAnsi="Calibri" w:eastAsia="Calibri"/>
          <w:b/>
          <w:color w:val="202428"/>
          <w:sz w:val="22"/>
        </w:rPr>
        <w:t>Green — Closed:</w:t>
      </w:r>
      <w:r>
        <w:rPr>
          <w:rFonts w:ascii="Calibri" w:hAnsi="Calibri" w:eastAsia="Calibri"/>
          <w:color w:val="202428"/>
          <w:sz w:val="22"/>
        </w:rPr>
        <w:t xml:space="preserve"> the notary announces completion; subsequent commentary is unsworn.</w:t>
      </w:r>
    </w:p>
    <w:p>
      <w:pPr>
        <w:widowControl/>
      </w:pPr>
      <w:r>
        <w:rPr>
          <w:rFonts w:ascii="Calibri" w:hAnsi="Calibri" w:eastAsia="Calibri"/>
          <w:color w:val="202428"/>
          <w:sz w:val="22"/>
        </w:rPr>
        <w:t xml:space="preserve">A counsel-approved CSR template may prospectively recite the oath and contain a blank jurat. No draft, rehearsal, teleprompter copy, or host script should be represented as </w:t>
      </w:r>
      <w:r>
        <w:rPr>
          <w:rFonts w:ascii="Calibri" w:hAnsi="Calibri" w:eastAsia="Calibri"/>
          <w:b/>
          <w:color w:val="202428"/>
          <w:sz w:val="22"/>
        </w:rPr>
        <w:t>already sworn</w:t>
      </w:r>
      <w:r>
        <w:rPr>
          <w:rFonts w:ascii="Calibri" w:hAnsi="Calibri" w:eastAsia="Calibri"/>
          <w:color w:val="202428"/>
          <w:sz w:val="22"/>
        </w:rPr>
        <w:t>, contain a precompleted jurat, or imply that the red zone has begun. The red zone begins only after the exact record and participant choice have been confirmed.</w:t>
      </w:r>
    </w:p>
    <w:p>
      <w:pPr>
        <w:pStyle w:val="Heading1"/>
        <w:keepNext/>
        <w:widowControl/>
      </w:pPr>
      <w:r>
        <w:rPr>
          <w:rFonts w:ascii="Calibri" w:hAnsi="Calibri" w:eastAsia="Calibri"/>
          <w:color w:val="2E74B5"/>
          <w:sz w:val="32"/>
        </w:rPr>
        <w:t>4. Washington legal foundation</w:t>
      </w:r>
    </w:p>
    <w:p>
      <w:pPr>
        <w:pStyle w:val="Heading2"/>
        <w:keepNext/>
        <w:widowControl/>
      </w:pPr>
      <w:r>
        <w:rPr>
          <w:rFonts w:ascii="Calibri" w:hAnsi="Calibri" w:eastAsia="Calibri"/>
          <w:color w:val="2E74B5"/>
          <w:sz w:val="26"/>
        </w:rPr>
        <w:t>4.1 Notarial authority and formalities</w:t>
      </w:r>
    </w:p>
    <w:p>
      <w:pPr>
        <w:widowControl/>
      </w:pPr>
      <w:r>
        <w:rPr>
          <w:rFonts w:ascii="Calibri" w:hAnsi="Calibri" w:eastAsia="Calibri"/>
          <w:color w:val="202428"/>
          <w:sz w:val="22"/>
        </w:rPr>
        <w:t>Washington’s Revised Uniform Law on Notarial Acts defines a notarial act to include administering an oath or affirmation and taking a verification on oath or affirmation. RCW 42.45.010(8). A verification is a declaration, made on oath or affirmation before a notarial officer, that a statement in a record is true. RCW 42.45.010(18). A Washington notarial officer may perform an authorized act, subject to conflict, identity, appearance, signature, certificate, and journal rules. Capacity or knowing-voluntary signature concerns are discretionary refusal grounds under RCW 42.45.060, not matters the notary certifies as factual conclusions. RCW 42.45.020–.060, .130, .180.</w:t>
      </w:r>
    </w:p>
    <w:p>
      <w:pPr>
        <w:widowControl/>
      </w:pPr>
      <w:r>
        <w:rPr>
          <w:rFonts w:ascii="Calibri" w:hAnsi="Calibri" w:eastAsia="Calibri"/>
          <w:color w:val="202428"/>
          <w:sz w:val="22"/>
        </w:rPr>
        <w:t>For a verification, the notary must determine that the individual appearing and making the verification has the identity claimed and that the signature is the individual’s signature. RCW 42.45.030. The short-form jurat reads, in substance, “Signed and sworn to (or affirmed) before me” with date and signer identification. RCW 42.45.140. The certificate must be executed at the time of the act and attached or logically associated with the record; it states jurisdiction, title, and commission information and bears the notary’s signature and official stamp where required. RCW 42.45.130.</w:t>
      </w:r>
    </w:p>
    <w:p>
      <w:pPr>
        <w:widowControl/>
      </w:pPr>
      <w:r>
        <w:rPr>
          <w:rFonts w:ascii="Calibri" w:hAnsi="Calibri" w:eastAsia="Calibri"/>
          <w:color w:val="202428"/>
          <w:sz w:val="22"/>
        </w:rPr>
        <w:t>An officer may refuse if not satisfied about capacity or a knowing and voluntary signature. RCW 42.45.060. DGG should design for refusal as a normal safety outcome, not pressure the notary or participant to complete.</w:t>
      </w:r>
    </w:p>
    <w:p>
      <w:pPr>
        <w:pStyle w:val="Heading2"/>
        <w:keepNext/>
        <w:widowControl/>
      </w:pPr>
      <w:r>
        <w:rPr>
          <w:rFonts w:ascii="Calibri" w:hAnsi="Calibri" w:eastAsia="Calibri"/>
          <w:color w:val="2E74B5"/>
          <w:sz w:val="26"/>
        </w:rPr>
        <w:t>4.2 False swearing: the strongest candidate backstop</w:t>
      </w:r>
    </w:p>
    <w:p>
      <w:pPr>
        <w:widowControl/>
      </w:pPr>
      <w:r>
        <w:rPr>
          <w:rFonts w:ascii="Calibri" w:hAnsi="Calibri" w:eastAsia="Calibri"/>
          <w:color w:val="202428"/>
          <w:sz w:val="22"/>
        </w:rPr>
        <w:t xml:space="preserve">RCW 9A.72.040 provides that a person commits false swearing by making a false statement the person knows to be false under an oath required or authorized by law. It is a gross misdemeanor. “Oath” includes an affirmation and any other mode authorized by law. RCW 9A.72.010(3). An oath is required or authorized by law if a statute or regulation expressly so provides </w:t>
      </w:r>
      <w:r>
        <w:rPr>
          <w:rFonts w:ascii="Calibri" w:hAnsi="Calibri" w:eastAsia="Calibri"/>
          <w:b/>
          <w:color w:val="202428"/>
          <w:sz w:val="22"/>
        </w:rPr>
        <w:t>or if it is administered by a person authorized by law to administer oaths</w:t>
      </w:r>
      <w:r>
        <w:rPr>
          <w:rFonts w:ascii="Calibri" w:hAnsi="Calibri" w:eastAsia="Calibri"/>
          <w:color w:val="202428"/>
          <w:sz w:val="22"/>
        </w:rPr>
        <w:t>. RCW 9A.72.010(5).</w:t>
      </w:r>
    </w:p>
    <w:p>
      <w:pPr>
        <w:widowControl/>
      </w:pPr>
      <w:r>
        <w:rPr>
          <w:rFonts w:ascii="Calibri" w:hAnsi="Calibri" w:eastAsia="Calibri"/>
          <w:color w:val="202428"/>
          <w:sz w:val="22"/>
        </w:rPr>
        <w:t>The affirmative argument is straightforward:</w:t>
      </w:r>
    </w:p>
    <w:p>
      <w:pPr>
        <w:spacing w:after="100"/>
        <w:ind w:left="720" w:hanging="360"/>
        <w:widowControl/>
        <w:numPr>
          <w:ilvl w:val="0"/>
          <w:numId w:val="19"/>
        </w:numPr>
      </w:pPr>
      <w:r>
        <w:rPr>
          <w:rFonts w:ascii="Calibri" w:hAnsi="Calibri" w:eastAsia="Calibri"/>
          <w:color w:val="202428"/>
          <w:sz w:val="22"/>
        </w:rPr>
        <w:t>Washington authorizes a commissioned notary to administer an oath and take a verification.</w:t>
      </w:r>
    </w:p>
    <w:p>
      <w:pPr>
        <w:spacing w:after="100"/>
        <w:ind w:left="720" w:hanging="360"/>
        <w:widowControl/>
        <w:numPr>
          <w:ilvl w:val="0"/>
          <w:numId w:val="19"/>
        </w:numPr>
      </w:pPr>
      <w:r>
        <w:rPr>
          <w:rFonts w:ascii="Calibri" w:hAnsi="Calibri" w:eastAsia="Calibri"/>
          <w:color w:val="202428"/>
          <w:sz w:val="22"/>
        </w:rPr>
        <w:t>The protocol intentionally places the participant under that oath for a defined CSR.</w:t>
      </w:r>
    </w:p>
    <w:p>
      <w:pPr>
        <w:spacing w:after="100"/>
        <w:ind w:left="720" w:hanging="360"/>
        <w:widowControl/>
        <w:numPr>
          <w:ilvl w:val="0"/>
          <w:numId w:val="19"/>
        </w:numPr>
      </w:pPr>
      <w:r>
        <w:rPr>
          <w:rFonts w:ascii="Calibri" w:hAnsi="Calibri" w:eastAsia="Calibri"/>
          <w:color w:val="202428"/>
          <w:sz w:val="22"/>
        </w:rPr>
        <w:t>The participant reviews, adopts, and signs the exact statement with a jurat.</w:t>
      </w:r>
    </w:p>
    <w:p>
      <w:pPr>
        <w:spacing w:after="100"/>
        <w:ind w:left="720" w:hanging="360"/>
        <w:widowControl/>
        <w:numPr>
          <w:ilvl w:val="0"/>
          <w:numId w:val="19"/>
        </w:numPr>
      </w:pPr>
      <w:r>
        <w:rPr>
          <w:rFonts w:ascii="Calibri" w:hAnsi="Calibri" w:eastAsia="Calibri"/>
          <w:color w:val="202428"/>
          <w:sz w:val="22"/>
        </w:rPr>
        <w:t>If a particular statement was false and the participant knew it was false, the statutory elements are textually present.</w:t>
      </w:r>
    </w:p>
    <w:p>
      <w:pPr>
        <w:widowControl/>
      </w:pPr>
      <w:r>
        <w:rPr>
          <w:rFonts w:ascii="Calibri" w:hAnsi="Calibri" w:eastAsia="Calibri"/>
          <w:color w:val="202428"/>
          <w:sz w:val="22"/>
        </w:rPr>
        <w:t xml:space="preserve">The counterargument is not that the notarial act is invalid. It is that criminal statutes are construed through specific facts, and no located Washington appellate case squarely applies RCW 9A.72.040 to a private political-media verification created voluntarily for publication. Proof problems—what exact proposition was stated, which qualification controlled, whether the oath attached, knowledge, literal truth, jurisdiction, and admissibility—would remain. Accordingly, DGG can accurately say it creates a genuine sworn record and that knowingly false statements </w:t>
      </w:r>
      <w:r>
        <w:rPr>
          <w:rFonts w:ascii="Calibri" w:hAnsi="Calibri" w:eastAsia="Calibri"/>
          <w:b/>
          <w:color w:val="202428"/>
          <w:sz w:val="22"/>
        </w:rPr>
        <w:t>may implicate</w:t>
      </w:r>
      <w:r>
        <w:rPr>
          <w:rFonts w:ascii="Calibri" w:hAnsi="Calibri" w:eastAsia="Calibri"/>
          <w:color w:val="202428"/>
          <w:sz w:val="22"/>
        </w:rPr>
        <w:t xml:space="preserve"> applicable false-statement law; it should not state that liability is automatic.</w:t>
      </w:r>
    </w:p>
    <w:p>
      <w:pPr>
        <w:pStyle w:val="Heading2"/>
        <w:keepNext/>
        <w:widowControl/>
      </w:pPr>
      <w:r>
        <w:rPr>
          <w:rFonts w:ascii="Calibri" w:hAnsi="Calibri" w:eastAsia="Calibri"/>
          <w:color w:val="2E74B5"/>
          <w:sz w:val="26"/>
        </w:rPr>
        <w:t>4.3 First-degree perjury: plausible text, unresolved application</w:t>
      </w:r>
    </w:p>
    <w:p>
      <w:pPr>
        <w:widowControl/>
      </w:pPr>
      <w:r>
        <w:rPr>
          <w:rFonts w:ascii="Calibri" w:hAnsi="Calibri" w:eastAsia="Calibri"/>
          <w:color w:val="202428"/>
          <w:sz w:val="22"/>
        </w:rPr>
        <w:t>First-degree perjury under RCW 9A.72.020 requires a materially false statement the declarant knows to be false, made under oath in an official proceeding. “Official proceeding” includes a proceeding before a legislative, judicial, administrative, or other governmental agency or official authorized to take evidence under oath, and a proceeding before a notary or other person taking testimony or depositions. RCW 9A.72.010(4). “Testimony” includes oral or written statements, documents, and other material in an official proceeding. RCW 9A.72.010(6).</w:t>
      </w:r>
    </w:p>
    <w:p>
      <w:pPr>
        <w:widowControl/>
      </w:pPr>
      <w:r>
        <w:rPr>
          <w:rFonts w:ascii="Calibri" w:hAnsi="Calibri" w:eastAsia="Calibri"/>
          <w:b/>
          <w:color w:val="202428"/>
          <w:sz w:val="22"/>
        </w:rPr>
        <w:t>DGG’s best argument.</w:t>
      </w:r>
      <w:r>
        <w:rPr>
          <w:rFonts w:ascii="Calibri" w:hAnsi="Calibri" w:eastAsia="Calibri"/>
          <w:color w:val="202428"/>
          <w:sz w:val="22"/>
        </w:rPr>
        <w:t xml:space="preserve"> The legislature expressly named a notary. A structured red-zone session convened for the notary to receive an exact sworn factual record can be characterized as a “proceeding before a notary,” and the CSR as written testimony. The named-notary text would otherwise do little work if only courts and agencies counted.</w:t>
      </w:r>
    </w:p>
    <w:p>
      <w:pPr>
        <w:widowControl/>
      </w:pPr>
      <w:r>
        <w:rPr>
          <w:rFonts w:ascii="Calibri" w:hAnsi="Calibri" w:eastAsia="Calibri"/>
          <w:b/>
          <w:color w:val="202428"/>
          <w:sz w:val="22"/>
        </w:rPr>
        <w:t>The strongest response.</w:t>
      </w:r>
      <w:r>
        <w:rPr>
          <w:rFonts w:ascii="Calibri" w:hAnsi="Calibri" w:eastAsia="Calibri"/>
          <w:color w:val="202428"/>
          <w:sz w:val="22"/>
        </w:rPr>
        <w:t xml:space="preserve"> A routine private notarization may be an act before a notary without becoming the kind of “proceeding” the criminal statute contemplates. Washington cases treating sworn out-of-court statements seriously arise in specific governmental, hearing, affidavit, or evidence contexts, not a voluntary media format. </w:t>
      </w:r>
      <w:r>
        <w:rPr>
          <w:rFonts w:ascii="Calibri" w:hAnsi="Calibri" w:eastAsia="Calibri"/>
          <w:i/>
          <w:color w:val="202428"/>
          <w:sz w:val="22"/>
        </w:rPr>
        <w:t>State v. Pella</w:t>
      </w:r>
      <w:r>
        <w:rPr>
          <w:rFonts w:ascii="Calibri" w:hAnsi="Calibri" w:eastAsia="Calibri"/>
          <w:color w:val="202428"/>
          <w:sz w:val="22"/>
        </w:rPr>
        <w:t>, 25 Wn. App. 795, 797–98, 612 P.2d 8 (1980), strictly construed “official proceeding” in a different setting and refused to treat precharging police activity as one. Materiality also asks whether a falsehood could affect the course or outcome of a proceeding; identifying the legally relevant proceeding and outcome in a private publication could be disputed. Because the statute is criminal and the direct case is missing, DGG should not test this boundary through public threats.</w:t>
      </w:r>
    </w:p>
    <w:p>
      <w:pPr>
        <w:widowControl/>
      </w:pPr>
      <w:r>
        <w:rPr>
          <w:rFonts w:ascii="Calibri" w:hAnsi="Calibri" w:eastAsia="Calibri"/>
          <w:b/>
          <w:color w:val="202428"/>
          <w:sz w:val="22"/>
        </w:rPr>
        <w:t>Conclusion.</w:t>
      </w:r>
      <w:r>
        <w:rPr>
          <w:rFonts w:ascii="Calibri" w:hAnsi="Calibri" w:eastAsia="Calibri"/>
          <w:color w:val="202428"/>
          <w:sz w:val="22"/>
        </w:rPr>
        <w:t xml:space="preserve"> Preserve the argument for counsel, but build a pilot that succeeds without it. Call the result a “notarially sworn factual record,” not “perjury testimony.”</w:t>
      </w:r>
    </w:p>
    <w:p>
      <w:pPr>
        <w:pStyle w:val="Heading2"/>
        <w:keepNext/>
        <w:widowControl/>
      </w:pPr>
      <w:r>
        <w:rPr>
          <w:rFonts w:ascii="Calibri" w:hAnsi="Calibri" w:eastAsia="Calibri"/>
          <w:color w:val="2E74B5"/>
          <w:sz w:val="26"/>
        </w:rPr>
        <w:t>4.4 The cases: what they establish and what they do not</w:t>
      </w:r>
    </w:p>
    <w:p>
      <w:pPr>
        <w:widowControl/>
      </w:pPr>
      <w:r>
        <w:rPr>
          <w:rFonts w:ascii="Calibri" w:hAnsi="Calibri" w:eastAsia="Calibri"/>
          <w:i/>
          <w:color w:val="202428"/>
          <w:sz w:val="22"/>
        </w:rPr>
        <w:t>State v. Lewis</w:t>
      </w:r>
      <w:r>
        <w:rPr>
          <w:rFonts w:ascii="Calibri" w:hAnsi="Calibri" w:eastAsia="Calibri"/>
          <w:color w:val="202428"/>
          <w:sz w:val="22"/>
        </w:rPr>
        <w:t xml:space="preserve">, 85 Wn.2d 769, 539 P.2d 677 (1975), held under predecessor law that an oath need not use a special ritual if the declarant performs an unequivocal act consciously assuming the obligation. A notary’s absence at signing was treated as an irregularity on the case’s facts, not a defense. </w:t>
      </w:r>
      <w:r>
        <w:rPr>
          <w:rFonts w:ascii="Calibri" w:hAnsi="Calibri" w:eastAsia="Calibri"/>
          <w:i/>
          <w:color w:val="202428"/>
          <w:sz w:val="22"/>
        </w:rPr>
        <w:t>Schoultz v. Department of Motor Vehicles</w:t>
      </w:r>
      <w:r>
        <w:rPr>
          <w:rFonts w:ascii="Calibri" w:hAnsi="Calibri" w:eastAsia="Calibri"/>
          <w:color w:val="202428"/>
          <w:sz w:val="22"/>
        </w:rPr>
        <w:t>, 89 Wn.2d 664, 574 P.2d 1167 (1978), likewise rejected ritual formalism. These cases support deliberate solemnization and warn that parties cannot rely on technical defects as an escape hatch. They do not hold that casual conversation, a host’s colloquial “swear,” or every notarized paper triggers current criminal liability.</w:t>
      </w:r>
    </w:p>
    <w:p>
      <w:pPr>
        <w:widowControl/>
      </w:pPr>
      <w:r>
        <w:rPr>
          <w:rFonts w:ascii="Calibri" w:hAnsi="Calibri" w:eastAsia="Calibri"/>
          <w:i/>
          <w:color w:val="202428"/>
          <w:sz w:val="22"/>
        </w:rPr>
        <w:t>State v. McComas</w:t>
      </w:r>
      <w:r>
        <w:rPr>
          <w:rFonts w:ascii="Calibri" w:hAnsi="Calibri" w:eastAsia="Calibri"/>
          <w:color w:val="202428"/>
          <w:sz w:val="22"/>
        </w:rPr>
        <w:t>, 186 Wn. App. 307, 345 P.3d 36 (2015), is an ER 801(d)(1)(i) decision applying former RCW 9A.72.085, not current notarial-verification law. By analogy, it illustrates the evidentiary risk that recorded or transcribed words are not automatically the declarant’s sworn written statement where signature, date, and oath requirements are missing. The analogy supports the no-retroactive-rewrite rule but does not define the current CSR’s legal effect.</w:t>
      </w:r>
    </w:p>
    <w:p>
      <w:pPr>
        <w:widowControl/>
      </w:pPr>
      <w:r>
        <w:rPr>
          <w:rFonts w:ascii="Calibri" w:hAnsi="Calibri" w:eastAsia="Calibri"/>
          <w:i/>
          <w:color w:val="202428"/>
          <w:sz w:val="22"/>
        </w:rPr>
        <w:t>State v. White</w:t>
      </w:r>
      <w:r>
        <w:rPr>
          <w:rFonts w:ascii="Calibri" w:hAnsi="Calibri" w:eastAsia="Calibri"/>
          <w:color w:val="202428"/>
          <w:sz w:val="22"/>
        </w:rPr>
        <w:t>, 31 Wn. App. 655, 644 P.2d 693 (1982), underscores that literal truth and question context matter. Questions should therefore specify time, actor, object, unit, source, and the knowledge state being asked about. One question should contain one testable proposition.</w:t>
      </w:r>
    </w:p>
    <w:p>
      <w:pPr>
        <w:widowControl/>
      </w:pPr>
      <w:r>
        <w:rPr>
          <w:rFonts w:ascii="Calibri" w:hAnsi="Calibri" w:eastAsia="Calibri"/>
          <w:i/>
          <w:color w:val="202428"/>
          <w:sz w:val="22"/>
        </w:rPr>
        <w:t>State v. Smith</w:t>
      </w:r>
      <w:r>
        <w:rPr>
          <w:rFonts w:ascii="Calibri" w:hAnsi="Calibri" w:eastAsia="Calibri"/>
          <w:color w:val="202428"/>
          <w:sz w:val="22"/>
        </w:rPr>
        <w:t xml:space="preserve">, 97 Wn.2d 856, 651 P.2d 207 (1982), and </w:t>
      </w:r>
      <w:r>
        <w:rPr>
          <w:rFonts w:ascii="Calibri" w:hAnsi="Calibri" w:eastAsia="Calibri"/>
          <w:i/>
          <w:color w:val="202428"/>
          <w:sz w:val="22"/>
        </w:rPr>
        <w:t>State v. Otton</w:t>
      </w:r>
      <w:r>
        <w:rPr>
          <w:rFonts w:ascii="Calibri" w:hAnsi="Calibri" w:eastAsia="Calibri"/>
          <w:color w:val="202428"/>
          <w:sz w:val="22"/>
        </w:rPr>
        <w:t xml:space="preserve">, 185 Wn.2d 673, 374 P.3d 1108 (2016), address prior sworn statements in an evidence-rule setting. They demonstrate that Washington can recognize structured out-of-court sworn statements, but neither decides that a DGG interview is an official proceeding for perjury. </w:t>
      </w:r>
      <w:r>
        <w:rPr>
          <w:rFonts w:ascii="Calibri" w:hAnsi="Calibri" w:eastAsia="Calibri"/>
          <w:i/>
          <w:color w:val="202428"/>
          <w:sz w:val="22"/>
        </w:rPr>
        <w:t>Otton</w:t>
      </w:r>
      <w:r>
        <w:rPr>
          <w:rFonts w:ascii="Calibri" w:hAnsi="Calibri" w:eastAsia="Calibri"/>
          <w:color w:val="202428"/>
          <w:sz w:val="22"/>
        </w:rPr>
        <w:t xml:space="preserve"> retained </w:t>
      </w:r>
      <w:r>
        <w:rPr>
          <w:rFonts w:ascii="Calibri" w:hAnsi="Calibri" w:eastAsia="Calibri"/>
          <w:i/>
          <w:color w:val="202428"/>
          <w:sz w:val="22"/>
        </w:rPr>
        <w:t>Smith</w:t>
      </w:r>
      <w:r>
        <w:rPr>
          <w:rFonts w:ascii="Calibri" w:hAnsi="Calibri" w:eastAsia="Calibri"/>
          <w:color w:val="202428"/>
          <w:sz w:val="22"/>
        </w:rPr>
        <w:t xml:space="preserve"> while a concurrence called it an “extreme outlier,” reinforcing the need to keep this analogy narrow. </w:t>
      </w:r>
      <w:r>
        <w:rPr>
          <w:rFonts w:ascii="Calibri" w:hAnsi="Calibri" w:eastAsia="Calibri"/>
          <w:i/>
          <w:color w:val="202428"/>
          <w:sz w:val="22"/>
        </w:rPr>
        <w:t>State v. Jacobson</w:t>
      </w:r>
      <w:r>
        <w:rPr>
          <w:rFonts w:ascii="Calibri" w:hAnsi="Calibri" w:eastAsia="Calibri"/>
          <w:color w:val="202428"/>
          <w:sz w:val="22"/>
        </w:rPr>
        <w:t xml:space="preserve">, 74 Wn. App. 715, 876 P.2d 916 (1994), concerns an affidavit used in aid of a hearing and likewise should not be generalized into a private-media holding. </w:t>
      </w:r>
      <w:r>
        <w:rPr>
          <w:rFonts w:ascii="Calibri" w:hAnsi="Calibri" w:eastAsia="Calibri"/>
          <w:i/>
          <w:color w:val="202428"/>
          <w:sz w:val="22"/>
        </w:rPr>
        <w:t>In re Recall of Pearsall-Stipek</w:t>
      </w:r>
      <w:r>
        <w:rPr>
          <w:rFonts w:ascii="Calibri" w:hAnsi="Calibri" w:eastAsia="Calibri"/>
          <w:color w:val="202428"/>
          <w:sz w:val="22"/>
        </w:rPr>
        <w:t>, 141 Wn.2d 756, 770–79, 10 P.3d 1034 (2000), confirms that false swearing lacks materiality and official-proceeding elements, emphasizes the declarant’s own adoption, and treats retraction narrowly.</w:t>
      </w:r>
    </w:p>
    <w:p>
      <w:pPr>
        <w:pStyle w:val="Heading2"/>
        <w:keepNext/>
        <w:widowControl/>
      </w:pPr>
      <w:r>
        <w:rPr>
          <w:rFonts w:ascii="Calibri" w:hAnsi="Calibri" w:eastAsia="Calibri"/>
          <w:color w:val="2E74B5"/>
          <w:sz w:val="26"/>
        </w:rPr>
        <w:t>4.5 Defects, knowledge, and correction</w:t>
      </w:r>
    </w:p>
    <w:p>
      <w:pPr>
        <w:widowControl/>
      </w:pPr>
      <w:r>
        <w:rPr>
          <w:rFonts w:ascii="Calibri" w:hAnsi="Calibri" w:eastAsia="Calibri"/>
          <w:color w:val="202428"/>
          <w:sz w:val="22"/>
        </w:rPr>
        <w:t>RCW 9A.72.070 provides that irregular administration or lack of administrator authority is not a defense when an oath was otherwise required or authorized. That is why the protocol must not deliberately blur the line and later depend on a technical error.</w:t>
      </w:r>
    </w:p>
    <w:p>
      <w:pPr>
        <w:widowControl/>
      </w:pPr>
      <w:r>
        <w:rPr>
          <w:rFonts w:ascii="Calibri" w:hAnsi="Calibri" w:eastAsia="Calibri"/>
          <w:color w:val="202428"/>
          <w:sz w:val="22"/>
        </w:rPr>
        <w:t>RCW 9A.72.080 treats an unqualified assertion of something the declarant does not know to be true as knowingly false. The answer form must therefore offer “I do not know,” “I cannot verify from the provided source,” and “qualified as follows.”</w:t>
      </w:r>
    </w:p>
    <w:p>
      <w:pPr>
        <w:widowControl/>
      </w:pPr>
      <w:r>
        <w:rPr>
          <w:rFonts w:ascii="Calibri" w:hAnsi="Calibri" w:eastAsia="Calibri"/>
          <w:color w:val="202428"/>
          <w:sz w:val="22"/>
        </w:rPr>
        <w:t>RCW 9A.72.060 supplies a narrow retraction defense when retraction occurs in the same proceeding before exposure of the falsity becomes manifest and before the statement substantially affects the proceeding. DGG cannot promise that a correction hours or days later qualifies. Its correction system serves transparency and evidence integrity; only counsel can evaluate a statutory defense on actual facts.</w:t>
      </w:r>
    </w:p>
    <w:p>
      <w:pPr>
        <w:pStyle w:val="Heading1"/>
        <w:keepNext/>
        <w:widowControl/>
      </w:pPr>
      <w:r>
        <w:rPr>
          <w:rFonts w:ascii="Calibri" w:hAnsi="Calibri" w:eastAsia="Calibri"/>
          <w:color w:val="2E74B5"/>
          <w:sz w:val="32"/>
        </w:rPr>
        <w:t>5. Counsel-ready operating procedure</w:t>
      </w:r>
    </w:p>
    <w:p>
      <w:pPr>
        <w:pStyle w:val="Heading2"/>
        <w:keepNext/>
        <w:widowControl/>
      </w:pPr>
      <w:r>
        <w:rPr>
          <w:rFonts w:ascii="Calibri" w:hAnsi="Calibri" w:eastAsia="Calibri"/>
          <w:color w:val="2E74B5"/>
          <w:sz w:val="26"/>
        </w:rPr>
        <w:t>5.1 Roles and separation of duties</w:t>
      </w:r>
    </w:p>
    <w:p>
      <w:pPr>
        <w:widowControl/>
      </w:pPr>
      <w:r>
        <w:rPr>
          <w:rFonts w:ascii="Calibri" w:hAnsi="Calibri" w:eastAsia="Calibri"/>
          <w:b/>
          <w:color w:val="202428"/>
          <w:sz w:val="22"/>
        </w:rPr>
        <w:t>DGG protocol owner.</w:t>
      </w:r>
      <w:r>
        <w:rPr>
          <w:rFonts w:ascii="Calibri" w:hAnsi="Calibri" w:eastAsia="Calibri"/>
          <w:color w:val="202428"/>
          <w:sz w:val="22"/>
        </w:rPr>
        <w:t xml:space="preserve"> Owns eligibility criteria, source rules, versioning, logistics, consent, publication, and incident response. Does not administer the oath unless separately commissioned and conflict-cleared—and the recommended pilot uses someone else.</w:t>
      </w:r>
    </w:p>
    <w:p>
      <w:pPr>
        <w:widowControl/>
      </w:pPr>
      <w:r>
        <w:rPr>
          <w:rFonts w:ascii="Calibri" w:hAnsi="Calibri" w:eastAsia="Calibri"/>
          <w:b/>
          <w:color w:val="202428"/>
          <w:sz w:val="22"/>
        </w:rPr>
        <w:t>Independent fact editor.</w:t>
      </w:r>
      <w:r>
        <w:rPr>
          <w:rFonts w:ascii="Calibri" w:hAnsi="Calibri" w:eastAsia="Calibri"/>
          <w:color w:val="202428"/>
          <w:sz w:val="22"/>
        </w:rPr>
        <w:t xml:space="preserve"> Drafts sourceable, one-proposition questions and a source sheet. Has no campaign strategy role for the participant.</w:t>
      </w:r>
    </w:p>
    <w:p>
      <w:pPr>
        <w:widowControl/>
      </w:pPr>
      <w:r>
        <w:rPr>
          <w:rFonts w:ascii="Calibri" w:hAnsi="Calibri" w:eastAsia="Calibri"/>
          <w:b/>
          <w:color w:val="202428"/>
          <w:sz w:val="22"/>
        </w:rPr>
        <w:t>Participant and participant’s counsel.</w:t>
      </w:r>
      <w:r>
        <w:rPr>
          <w:rFonts w:ascii="Calibri" w:hAnsi="Calibri" w:eastAsia="Calibri"/>
          <w:color w:val="202428"/>
          <w:sz w:val="22"/>
        </w:rPr>
        <w:t xml:space="preserve"> Choose whether to participate, which questions to answer, whether to qualify an answer, and whether to proceed after reviewing the frozen CSR.</w:t>
      </w:r>
    </w:p>
    <w:p>
      <w:pPr>
        <w:widowControl/>
      </w:pPr>
      <w:r>
        <w:rPr>
          <w:rFonts w:ascii="Calibri" w:hAnsi="Calibri" w:eastAsia="Calibri"/>
          <w:b/>
          <w:color w:val="202428"/>
          <w:sz w:val="22"/>
        </w:rPr>
        <w:t>Independent Washington notary.</w:t>
      </w:r>
      <w:r>
        <w:rPr>
          <w:rFonts w:ascii="Calibri" w:hAnsi="Calibri" w:eastAsia="Calibri"/>
          <w:color w:val="202428"/>
          <w:sz w:val="22"/>
        </w:rPr>
        <w:t xml:space="preserve"> Controls the notarial act and may stop. The notary makes the required identity, appearance, signature, and certificate determinations; capacity or knowing-voluntary concerns are grounds for refusal, not certified conclusions. The recommended pilot uses a nonattorney notary who keeps the statutory journal; if an attorney-notary is considered, counsel must address RCW 42.45.180(2) and contractually define any legally permitted recordkeeping. The notary joins only after the participant’s record is frozen. Compensation must comply with WAC 308-30-220: the current maximum is generally $15 for a verification or oath and $25 for a remote notarial act, with any separately permitted travel or other charge disclosed and agreed in advance. Payment cannot depend on participation, answer, publication, audience response, or campaign outcome. Election counsel must classify who pays before service. The notary does not appear in promotional creative as an endorser.</w:t>
      </w:r>
    </w:p>
    <w:p>
      <w:pPr>
        <w:widowControl/>
      </w:pPr>
      <w:r>
        <w:rPr>
          <w:rFonts w:ascii="Calibri" w:hAnsi="Calibri" w:eastAsia="Calibri"/>
          <w:b/>
          <w:color w:val="202428"/>
          <w:sz w:val="22"/>
        </w:rPr>
        <w:t>Media editor.</w:t>
      </w:r>
      <w:r>
        <w:rPr>
          <w:rFonts w:ascii="Calibri" w:hAnsi="Calibri" w:eastAsia="Calibri"/>
          <w:color w:val="202428"/>
          <w:sz w:val="22"/>
        </w:rPr>
        <w:t xml:space="preserve"> Produces the PMR under a written policy, preserves context, and has no authority to alter the CSR.</w:t>
      </w:r>
    </w:p>
    <w:p>
      <w:pPr>
        <w:widowControl/>
      </w:pPr>
      <w:r>
        <w:rPr>
          <w:rFonts w:ascii="Calibri" w:hAnsi="Calibri" w:eastAsia="Calibri"/>
          <w:b/>
          <w:color w:val="202428"/>
          <w:sz w:val="22"/>
        </w:rPr>
        <w:t>Counsel and incident owner.</w:t>
      </w:r>
      <w:r>
        <w:rPr>
          <w:rFonts w:ascii="Calibri" w:hAnsi="Calibri" w:eastAsia="Calibri"/>
          <w:color w:val="202428"/>
          <w:sz w:val="22"/>
        </w:rPr>
        <w:t xml:space="preserve"> Approve the form and scripts before use; classify interstate, campaign, recording, public-record, demand-letter, or criminal-contact incidents before publication continues.</w:t>
      </w:r>
    </w:p>
    <w:p>
      <w:pPr>
        <w:pStyle w:val="Heading2"/>
        <w:keepNext/>
        <w:widowControl/>
      </w:pPr>
      <w:r>
        <w:rPr>
          <w:rFonts w:ascii="Calibri" w:hAnsi="Calibri" w:eastAsia="Calibri"/>
          <w:color w:val="2E74B5"/>
          <w:sz w:val="26"/>
        </w:rPr>
        <w:t>5.2 Question drafting standard</w:t>
      </w:r>
    </w:p>
    <w:p>
      <w:pPr>
        <w:widowControl/>
      </w:pPr>
      <w:r>
        <w:rPr>
          <w:rFonts w:ascii="Calibri" w:hAnsi="Calibri" w:eastAsia="Calibri"/>
          <w:color w:val="202428"/>
          <w:sz w:val="22"/>
        </w:rPr>
        <w:t>Each proposed sworn question must pass all of these tests:</w:t>
      </w:r>
    </w:p>
    <w:p>
      <w:pPr>
        <w:spacing w:after="100"/>
        <w:ind w:left="720" w:hanging="360"/>
        <w:widowControl/>
        <w:numPr>
          <w:ilvl w:val="0"/>
          <w:numId w:val="20"/>
        </w:numPr>
      </w:pPr>
      <w:r>
        <w:rPr>
          <w:rFonts w:ascii="Calibri" w:hAnsi="Calibri" w:eastAsia="Calibri"/>
          <w:b/>
          <w:color w:val="202428"/>
          <w:sz w:val="22"/>
        </w:rPr>
        <w:t>Fact, not rhetoric.</w:t>
      </w:r>
      <w:r>
        <w:rPr>
          <w:rFonts w:ascii="Calibri" w:hAnsi="Calibri" w:eastAsia="Calibri"/>
          <w:color w:val="202428"/>
          <w:sz w:val="22"/>
        </w:rPr>
        <w:t xml:space="preserve"> It asks about an act, number, date, document, receipt, vote, ownership, contact, or other falsifiable proposition—not whether a policy is “good,” an opponent “cares,” or a prediction “will” occur.</w:t>
      </w:r>
    </w:p>
    <w:p>
      <w:pPr>
        <w:spacing w:after="100"/>
        <w:ind w:left="720" w:hanging="360"/>
        <w:widowControl/>
        <w:numPr>
          <w:ilvl w:val="0"/>
          <w:numId w:val="20"/>
        </w:numPr>
      </w:pPr>
      <w:r>
        <w:rPr>
          <w:rFonts w:ascii="Calibri" w:hAnsi="Calibri" w:eastAsia="Calibri"/>
          <w:b/>
          <w:color w:val="202428"/>
          <w:sz w:val="22"/>
        </w:rPr>
        <w:t>One proposition.</w:t>
      </w:r>
      <w:r>
        <w:rPr>
          <w:rFonts w:ascii="Calibri" w:hAnsi="Calibri" w:eastAsia="Calibri"/>
          <w:color w:val="202428"/>
          <w:sz w:val="22"/>
        </w:rPr>
        <w:t xml:space="preserve"> No compound question where “yes” could be true in one respect and false in another.</w:t>
      </w:r>
    </w:p>
    <w:p>
      <w:pPr>
        <w:spacing w:after="100"/>
        <w:ind w:left="720" w:hanging="360"/>
        <w:widowControl/>
        <w:numPr>
          <w:ilvl w:val="0"/>
          <w:numId w:val="20"/>
        </w:numPr>
      </w:pPr>
      <w:r>
        <w:rPr>
          <w:rFonts w:ascii="Calibri" w:hAnsi="Calibri" w:eastAsia="Calibri"/>
          <w:b/>
          <w:color w:val="202428"/>
          <w:sz w:val="22"/>
        </w:rPr>
        <w:t>Defined scope.</w:t>
      </w:r>
      <w:r>
        <w:rPr>
          <w:rFonts w:ascii="Calibri" w:hAnsi="Calibri" w:eastAsia="Calibri"/>
          <w:color w:val="202428"/>
          <w:sz w:val="22"/>
        </w:rPr>
        <w:t xml:space="preserve"> It states the relevant person, time window, geography, unit, and definition.</w:t>
      </w:r>
    </w:p>
    <w:p>
      <w:pPr>
        <w:spacing w:after="100"/>
        <w:ind w:left="720" w:hanging="360"/>
        <w:widowControl/>
        <w:numPr>
          <w:ilvl w:val="0"/>
          <w:numId w:val="20"/>
        </w:numPr>
      </w:pPr>
      <w:r>
        <w:rPr>
          <w:rFonts w:ascii="Calibri" w:hAnsi="Calibri" w:eastAsia="Calibri"/>
          <w:b/>
          <w:color w:val="202428"/>
          <w:sz w:val="22"/>
        </w:rPr>
        <w:t>Knowledge route.</w:t>
      </w:r>
      <w:r>
        <w:rPr>
          <w:rFonts w:ascii="Calibri" w:hAnsi="Calibri" w:eastAsia="Calibri"/>
          <w:color w:val="202428"/>
          <w:sz w:val="22"/>
        </w:rPr>
        <w:t xml:space="preserve"> It asks whether the answer is based on personal knowledge, a specified record, or a disclosed source.</w:t>
      </w:r>
    </w:p>
    <w:p>
      <w:pPr>
        <w:spacing w:after="100"/>
        <w:ind w:left="720" w:hanging="360"/>
        <w:widowControl/>
        <w:numPr>
          <w:ilvl w:val="0"/>
          <w:numId w:val="20"/>
        </w:numPr>
      </w:pPr>
      <w:r>
        <w:rPr>
          <w:rFonts w:ascii="Calibri" w:hAnsi="Calibri" w:eastAsia="Calibri"/>
          <w:b/>
          <w:color w:val="202428"/>
          <w:sz w:val="22"/>
        </w:rPr>
        <w:t>Answer symmetry.</w:t>
      </w:r>
      <w:r>
        <w:rPr>
          <w:rFonts w:ascii="Calibri" w:hAnsi="Calibri" w:eastAsia="Calibri"/>
          <w:color w:val="202428"/>
          <w:sz w:val="22"/>
        </w:rPr>
        <w:t xml:space="preserve"> The form offers Yes; No; I do not know; I cannot verify; Qualified answer; and Decline this question.</w:t>
      </w:r>
    </w:p>
    <w:p>
      <w:pPr>
        <w:spacing w:after="100"/>
        <w:ind w:left="720" w:hanging="360"/>
        <w:widowControl/>
        <w:numPr>
          <w:ilvl w:val="0"/>
          <w:numId w:val="20"/>
        </w:numPr>
      </w:pPr>
      <w:r>
        <w:rPr>
          <w:rFonts w:ascii="Calibri" w:hAnsi="Calibri" w:eastAsia="Calibri"/>
          <w:b/>
          <w:color w:val="202428"/>
          <w:sz w:val="22"/>
        </w:rPr>
        <w:t>Source disclosure.</w:t>
      </w:r>
      <w:r>
        <w:rPr>
          <w:rFonts w:ascii="Calibri" w:hAnsi="Calibri" w:eastAsia="Calibri"/>
          <w:color w:val="202428"/>
          <w:sz w:val="22"/>
        </w:rPr>
        <w:t xml:space="preserve"> The participant receives the same supporting/contrary source packet DGG used, with effective dates and links.</w:t>
      </w:r>
    </w:p>
    <w:p>
      <w:pPr>
        <w:spacing w:after="100"/>
        <w:ind w:left="720" w:hanging="360"/>
        <w:widowControl/>
        <w:numPr>
          <w:ilvl w:val="0"/>
          <w:numId w:val="20"/>
        </w:numPr>
      </w:pPr>
      <w:r>
        <w:rPr>
          <w:rFonts w:ascii="Calibri" w:hAnsi="Calibri" w:eastAsia="Calibri"/>
          <w:b/>
          <w:color w:val="202428"/>
          <w:sz w:val="22"/>
        </w:rPr>
        <w:t>Material-meaning check.</w:t>
      </w:r>
      <w:r>
        <w:rPr>
          <w:rFonts w:ascii="Calibri" w:hAnsi="Calibri" w:eastAsia="Calibri"/>
          <w:color w:val="202428"/>
          <w:sz w:val="22"/>
        </w:rPr>
        <w:t xml:space="preserve"> A reviewer states in advance what each answer would mean and what it would not mean.</w:t>
      </w:r>
    </w:p>
    <w:p>
      <w:pPr>
        <w:spacing w:after="100"/>
        <w:ind w:left="720" w:hanging="360"/>
        <w:widowControl/>
        <w:numPr>
          <w:ilvl w:val="0"/>
          <w:numId w:val="20"/>
        </w:numPr>
      </w:pPr>
      <w:r>
        <w:rPr>
          <w:rFonts w:ascii="Calibri" w:hAnsi="Calibri" w:eastAsia="Calibri"/>
          <w:b/>
          <w:color w:val="202428"/>
          <w:sz w:val="22"/>
        </w:rPr>
        <w:t>Adverse-language check.</w:t>
      </w:r>
      <w:r>
        <w:rPr>
          <w:rFonts w:ascii="Calibri" w:hAnsi="Calibri" w:eastAsia="Calibri"/>
          <w:color w:val="202428"/>
          <w:sz w:val="22"/>
        </w:rPr>
        <w:t xml:space="preserve"> Counsel removes terms that presume misconduct or invite a defamatory implication.</w:t>
      </w:r>
    </w:p>
    <w:p>
      <w:pPr>
        <w:spacing w:after="100"/>
        <w:ind w:left="720" w:hanging="360"/>
        <w:widowControl/>
        <w:numPr>
          <w:ilvl w:val="0"/>
          <w:numId w:val="20"/>
        </w:numPr>
      </w:pPr>
      <w:r>
        <w:rPr>
          <w:rFonts w:ascii="Calibri" w:hAnsi="Calibri" w:eastAsia="Calibri"/>
          <w:b/>
          <w:color w:val="202428"/>
          <w:sz w:val="22"/>
        </w:rPr>
        <w:t>Uniformity check.</w:t>
      </w:r>
      <w:r>
        <w:rPr>
          <w:rFonts w:ascii="Calibri" w:hAnsi="Calibri" w:eastAsia="Calibri"/>
          <w:color w:val="202428"/>
          <w:sz w:val="22"/>
        </w:rPr>
        <w:t xml:space="preserve"> Comparable participants receive comparable questions under a written rule; any difference is documented by a neutral factual reason.</w:t>
      </w:r>
    </w:p>
    <w:p>
      <w:pPr>
        <w:widowControl/>
      </w:pPr>
      <w:r>
        <w:rPr>
          <w:rFonts w:ascii="Calibri" w:hAnsi="Calibri" w:eastAsia="Calibri"/>
          <w:color w:val="202428"/>
          <w:sz w:val="22"/>
        </w:rPr>
        <w:t>Examples:</w:t>
      </w:r>
    </w:p>
    <w:p>
      <w:pPr>
        <w:spacing w:after="100"/>
        <w:ind w:left="720" w:hanging="360"/>
        <w:widowControl/>
        <w:numPr>
          <w:ilvl w:val="0"/>
          <w:numId w:val="21"/>
        </w:numPr>
      </w:pPr>
      <w:r>
        <w:rPr>
          <w:rFonts w:ascii="Calibri" w:hAnsi="Calibri" w:eastAsia="Calibri"/>
          <w:color w:val="202428"/>
          <w:sz w:val="22"/>
        </w:rPr>
        <w:t>Better: “Between January 1 and June 30, 2026, did your authorized campaign committee accept any contribution from [defined entity], as reflected in the committee’s filed reports available to you on August 20, 2026?”</w:t>
      </w:r>
    </w:p>
    <w:p>
      <w:pPr>
        <w:spacing w:after="100"/>
        <w:ind w:left="720" w:hanging="360"/>
        <w:widowControl/>
        <w:numPr>
          <w:ilvl w:val="0"/>
          <w:numId w:val="21"/>
        </w:numPr>
      </w:pPr>
      <w:r>
        <w:rPr>
          <w:rFonts w:ascii="Calibri" w:hAnsi="Calibri" w:eastAsia="Calibri"/>
          <w:color w:val="202428"/>
          <w:sz w:val="22"/>
        </w:rPr>
        <w:t>Worse: “Can you swear you were never bought by special interests?”</w:t>
      </w:r>
    </w:p>
    <w:p>
      <w:pPr>
        <w:spacing w:after="100"/>
        <w:ind w:left="720" w:hanging="360"/>
        <w:widowControl/>
        <w:numPr>
          <w:ilvl w:val="0"/>
          <w:numId w:val="21"/>
        </w:numPr>
      </w:pPr>
      <w:r>
        <w:rPr>
          <w:rFonts w:ascii="Calibri" w:hAnsi="Calibri" w:eastAsia="Calibri"/>
          <w:color w:val="202428"/>
          <w:sz w:val="22"/>
        </w:rPr>
        <w:t>Better: “As of [date], had you personally reviewed [identified document] before making the quoted statement on [date]?”</w:t>
      </w:r>
    </w:p>
    <w:p>
      <w:pPr>
        <w:spacing w:after="100"/>
        <w:ind w:left="720" w:hanging="360"/>
        <w:widowControl/>
        <w:numPr>
          <w:ilvl w:val="0"/>
          <w:numId w:val="21"/>
        </w:numPr>
      </w:pPr>
      <w:r>
        <w:rPr>
          <w:rFonts w:ascii="Calibri" w:hAnsi="Calibri" w:eastAsia="Calibri"/>
          <w:color w:val="202428"/>
          <w:sz w:val="22"/>
        </w:rPr>
        <w:t>Worse: “Did you knowingly spread misinformation?”</w:t>
      </w:r>
    </w:p>
    <w:p>
      <w:pPr>
        <w:pStyle w:val="Heading2"/>
        <w:keepNext/>
        <w:widowControl/>
      </w:pPr>
      <w:r>
        <w:rPr>
          <w:rFonts w:ascii="Calibri" w:hAnsi="Calibri" w:eastAsia="Calibri"/>
          <w:color w:val="2E74B5"/>
          <w:sz w:val="26"/>
        </w:rPr>
        <w:t>5.3 Pre-session checklist</w:t>
      </w:r>
    </w:p>
    <w:p>
      <w:pPr>
        <w:widowControl/>
      </w:pPr>
      <w:r>
        <w:rPr>
          <w:rFonts w:ascii="Calibri" w:hAnsi="Calibri" w:eastAsia="Calibri"/>
          <w:color w:val="202428"/>
          <w:sz w:val="22"/>
        </w:rPr>
        <w:t>At least two business days before the session, unless counsel approves another period:</w:t>
      </w:r>
    </w:p>
    <w:p>
      <w:pPr>
        <w:spacing w:after="100"/>
        <w:ind w:left="720" w:hanging="360"/>
        <w:widowControl/>
        <w:numPr>
          <w:ilvl w:val="0"/>
          <w:numId w:val="22"/>
        </w:numPr>
      </w:pPr>
      <w:r>
        <w:rPr>
          <w:rFonts w:ascii="Calibri" w:hAnsi="Calibri" w:eastAsia="Calibri"/>
          <w:color w:val="202428"/>
          <w:sz w:val="22"/>
        </w:rPr>
        <w:t>confirm participant, campaign/office status, counsel contact, and physical location;</w:t>
      </w:r>
    </w:p>
    <w:p>
      <w:pPr>
        <w:spacing w:after="100"/>
        <w:ind w:left="720" w:hanging="360"/>
        <w:widowControl/>
        <w:numPr>
          <w:ilvl w:val="0"/>
          <w:numId w:val="22"/>
        </w:numPr>
      </w:pPr>
      <w:r>
        <w:rPr>
          <w:rFonts w:ascii="Calibri" w:hAnsi="Calibri" w:eastAsia="Calibri"/>
          <w:color w:val="202428"/>
          <w:sz w:val="22"/>
        </w:rPr>
        <w:t>send the participation notice, question set, definitions, sources, correction policy, recording/publication consent, and neutral nonparticipation notice;</w:t>
      </w:r>
    </w:p>
    <w:p>
      <w:pPr>
        <w:spacing w:after="100"/>
        <w:ind w:left="720" w:hanging="360"/>
        <w:widowControl/>
        <w:numPr>
          <w:ilvl w:val="0"/>
          <w:numId w:val="22"/>
        </w:numPr>
      </w:pPr>
      <w:r>
        <w:rPr>
          <w:rFonts w:ascii="Calibri" w:hAnsi="Calibri" w:eastAsia="Calibri"/>
          <w:color w:val="202428"/>
          <w:sz w:val="22"/>
        </w:rPr>
        <w:t>disclose that the format is voluntary, the notary does not certify truth, DGG will not give legal advice, and legal consequences are fact-specific;</w:t>
      </w:r>
    </w:p>
    <w:p>
      <w:pPr>
        <w:spacing w:after="100"/>
        <w:ind w:left="720" w:hanging="360"/>
        <w:widowControl/>
        <w:numPr>
          <w:ilvl w:val="0"/>
          <w:numId w:val="22"/>
        </w:numPr>
      </w:pPr>
      <w:r>
        <w:rPr>
          <w:rFonts w:ascii="Calibri" w:hAnsi="Calibri" w:eastAsia="Calibri"/>
          <w:color w:val="202428"/>
          <w:sz w:val="22"/>
        </w:rPr>
        <w:t>prohibit campaign negotiation over question substance, answers, audience, timing strategy, clips, targeting, or distribution; permit logistics and identification of an objectively demonstrable identity, date, source, or verbatim transcription error, while DGG retains the editorial decision;</w:t>
      </w:r>
    </w:p>
    <w:p>
      <w:pPr>
        <w:spacing w:after="100"/>
        <w:ind w:left="720" w:hanging="360"/>
        <w:widowControl/>
        <w:numPr>
          <w:ilvl w:val="0"/>
          <w:numId w:val="22"/>
        </w:numPr>
      </w:pPr>
      <w:r>
        <w:rPr>
          <w:rFonts w:ascii="Calibri" w:hAnsi="Calibri" w:eastAsia="Calibri"/>
          <w:color w:val="202428"/>
          <w:sz w:val="22"/>
        </w:rPr>
        <w:t>verify the notary’s active Washington commission and, if remote, electronic-records and RON endorsements, physical Washington location, approved technology, identity proofing, storage, and 10-year retention;</w:t>
      </w:r>
    </w:p>
    <w:p>
      <w:pPr>
        <w:spacing w:after="100"/>
        <w:ind w:left="720" w:hanging="360"/>
        <w:widowControl/>
        <w:numPr>
          <w:ilvl w:val="0"/>
          <w:numId w:val="22"/>
        </w:numPr>
      </w:pPr>
      <w:r>
        <w:rPr>
          <w:rFonts w:ascii="Calibri" w:hAnsi="Calibri" w:eastAsia="Calibri"/>
          <w:color w:val="202428"/>
          <w:sz w:val="22"/>
        </w:rPr>
        <w:t>verify that the notary, spouse, or domestic partner is not a party and lacks a direct beneficial interest;</w:t>
      </w:r>
    </w:p>
    <w:p>
      <w:pPr>
        <w:spacing w:after="100"/>
        <w:ind w:left="720" w:hanging="360"/>
        <w:widowControl/>
        <w:numPr>
          <w:ilvl w:val="0"/>
          <w:numId w:val="22"/>
        </w:numPr>
      </w:pPr>
      <w:r>
        <w:rPr>
          <w:rFonts w:ascii="Calibri" w:hAnsi="Calibri" w:eastAsia="Calibri"/>
          <w:color w:val="202428"/>
          <w:sz w:val="22"/>
        </w:rPr>
        <w:t>confirm all participants’ recording consent before any platform auto-recording, transcription, bot, or AI feature activates;</w:t>
      </w:r>
    </w:p>
    <w:p>
      <w:pPr>
        <w:spacing w:after="100"/>
        <w:ind w:left="720" w:hanging="360"/>
        <w:widowControl/>
        <w:numPr>
          <w:ilvl w:val="0"/>
          <w:numId w:val="22"/>
        </w:numPr>
      </w:pPr>
      <w:r>
        <w:rPr>
          <w:rFonts w:ascii="Calibri" w:hAnsi="Calibri" w:eastAsia="Calibri"/>
          <w:color w:val="202428"/>
          <w:sz w:val="22"/>
        </w:rPr>
        <w:t>assign a CSR record ID and create a blank audit entry; and</w:t>
      </w:r>
    </w:p>
    <w:p>
      <w:pPr>
        <w:spacing w:after="100"/>
        <w:ind w:left="720" w:hanging="360"/>
        <w:widowControl/>
        <w:numPr>
          <w:ilvl w:val="0"/>
          <w:numId w:val="22"/>
        </w:numPr>
      </w:pPr>
      <w:r>
        <w:rPr>
          <w:rFonts w:ascii="Calibri" w:hAnsi="Calibri" w:eastAsia="Calibri"/>
          <w:color w:val="202428"/>
          <w:sz w:val="22"/>
        </w:rPr>
        <w:t>confirm an empowered stop/pause contact.</w:t>
      </w:r>
    </w:p>
    <w:p>
      <w:pPr>
        <w:pStyle w:val="Heading2"/>
        <w:keepNext/>
        <w:widowControl/>
      </w:pPr>
      <w:r>
        <w:rPr>
          <w:rFonts w:ascii="Calibri" w:hAnsi="Calibri" w:eastAsia="Calibri"/>
          <w:color w:val="2E74B5"/>
          <w:sz w:val="26"/>
        </w:rPr>
        <w:t>5.4 The live workflow</w:t>
      </w:r>
    </w:p>
    <w:p>
      <w:pPr>
        <w:widowControl/>
      </w:pPr>
      <w:r>
        <w:rPr>
          <w:rFonts w:ascii="Calibri" w:hAnsi="Calibri" w:eastAsia="Calibri"/>
          <w:b/>
          <w:color w:val="202428"/>
          <w:sz w:val="22"/>
        </w:rPr>
        <w:t>Step 1 — Green-zone consent.</w:t>
      </w:r>
      <w:r>
        <w:rPr>
          <w:rFonts w:ascii="Calibri" w:hAnsi="Calibri" w:eastAsia="Calibri"/>
          <w:color w:val="202428"/>
          <w:sz w:val="22"/>
        </w:rPr>
        <w:t xml:space="preserve"> Before capture, DGG obtains signed consent for the production recording, transcription, accessibility processing, editing, clips, publication, retention, and the correction policy. After capture begins, every audible/visible participant separately states consent. Late joiners are reconsented before participation.</w:t>
      </w:r>
    </w:p>
    <w:p>
      <w:pPr>
        <w:widowControl/>
      </w:pPr>
      <w:r>
        <w:rPr>
          <w:rFonts w:ascii="Calibri" w:hAnsi="Calibri" w:eastAsia="Calibri"/>
          <w:b/>
          <w:color w:val="202428"/>
          <w:sz w:val="22"/>
        </w:rPr>
        <w:t>Step 2 — Unsworn preparation.</w:t>
      </w:r>
      <w:r>
        <w:rPr>
          <w:rFonts w:ascii="Calibri" w:hAnsi="Calibri" w:eastAsia="Calibri"/>
          <w:color w:val="202428"/>
          <w:sz w:val="22"/>
        </w:rPr>
        <w:t xml:space="preserve"> The host says: “Nothing in this preparation segment is being taken under oath. You may decline the format or any question, answer that you do not know, and add a written qualification.” DGG explains the published question definitions and supplies the uniform source packet. The participant or participant’s counsel alone authors each answer and qualification. DGG may make disclosed formatting changes or correct an objectively demonstrable transcription error but may not improve, paraphrase, or coauthor the substance. The notary is not present for preparation and joins only after the CSR is frozen.</w:t>
      </w:r>
    </w:p>
    <w:p>
      <w:pPr>
        <w:widowControl/>
      </w:pPr>
      <w:r>
        <w:rPr>
          <w:rFonts w:ascii="Calibri" w:hAnsi="Calibri" w:eastAsia="Calibri"/>
          <w:b/>
          <w:color w:val="202428"/>
          <w:sz w:val="22"/>
        </w:rPr>
        <w:t>Step 3 — Freeze the CSR.</w:t>
      </w:r>
      <w:r>
        <w:rPr>
          <w:rFonts w:ascii="Calibri" w:hAnsi="Calibri" w:eastAsia="Calibri"/>
          <w:color w:val="202428"/>
          <w:sz w:val="22"/>
        </w:rPr>
        <w:t xml:space="preserve"> The protocol owner exports a stable PDF/electronic record. It contains: title; participant; questions and exact answers; all qualifications; sources cited by the participant; record ID; semantic version; date/time; page count; and a cryptographic digest. The digest is an engineering control, not a Washington legal requirement. Every page displays the record ID/version.</w:t>
      </w:r>
    </w:p>
    <w:p>
      <w:pPr>
        <w:widowControl/>
      </w:pPr>
      <w:r>
        <w:rPr>
          <w:rFonts w:ascii="Calibri" w:hAnsi="Calibri" w:eastAsia="Calibri"/>
          <w:b/>
          <w:color w:val="202428"/>
          <w:sz w:val="22"/>
        </w:rPr>
        <w:t>Step 4 — Amber confirmation.</w:t>
      </w:r>
      <w:r>
        <w:rPr>
          <w:rFonts w:ascii="Calibri" w:hAnsi="Calibri" w:eastAsia="Calibri"/>
          <w:color w:val="202428"/>
          <w:sz w:val="22"/>
        </w:rPr>
        <w:t xml:space="preserve"> The participant confirms on camera:</w:t>
      </w:r>
    </w:p>
    <w:p>
      <w:pPr>
        <w:pStyle w:val="Callout"/>
        <w:keepLines/>
        <w:spacing w:before="160" w:after="240"/>
        <w:ind w:left="259" w:right="173"/>
        <w:shd w:fill="EAF2F8"/>
        <w:widowControl/>
        <w:pBdr>
          <w:left w:val="single" w:sz="18" w:space="8" w:color="2E74B5"/>
        </w:pBdr>
      </w:pPr>
      <w:r>
        <w:rPr>
          <w:rFonts w:ascii="Calibri" w:hAnsi="Calibri" w:eastAsia="Calibri"/>
          <w:color w:val="18324A"/>
          <w:sz w:val="22"/>
        </w:rPr>
        <w:t>“I reviewed every page of CSR [record ID], version [number]. It contains my answers and qualifications. I understand I may stop, decline a question, state that I do not know, or request a new version before signing. I understand the notary verifies the notarial procedure and does not determine whether my answers are true.”</w:t>
      </w:r>
    </w:p>
    <w:p>
      <w:pPr>
        <w:widowControl/>
      </w:pPr>
      <w:r>
        <w:rPr>
          <w:rFonts w:ascii="Calibri" w:hAnsi="Calibri" w:eastAsia="Calibri"/>
          <w:color w:val="202428"/>
          <w:sz w:val="22"/>
        </w:rPr>
        <w:t>The notary independently confirms identity, appearance, the same record/signature, and the appropriate certificate, and may refuse if capacity or knowing-voluntary signature is doubtful. DGG does not instruct the notary to proceed if the notary hesitates.</w:t>
      </w:r>
    </w:p>
    <w:p>
      <w:pPr>
        <w:widowControl/>
      </w:pPr>
      <w:r>
        <w:rPr>
          <w:rFonts w:ascii="Calibri" w:hAnsi="Calibri" w:eastAsia="Calibri"/>
          <w:b/>
          <w:color w:val="202428"/>
          <w:sz w:val="22"/>
        </w:rPr>
        <w:t>Step 5 — Red-zone oath/affirmation.</w:t>
      </w:r>
      <w:r>
        <w:rPr>
          <w:rFonts w:ascii="Calibri" w:hAnsi="Calibri" w:eastAsia="Calibri"/>
          <w:color w:val="202428"/>
          <w:sz w:val="22"/>
        </w:rPr>
        <w:t xml:space="preserve"> Counsel should approve the final wording. A conservative proposed script is:</w:t>
      </w:r>
    </w:p>
    <w:p>
      <w:pPr>
        <w:pStyle w:val="Callout"/>
        <w:keepNext/>
        <w:keepLines/>
        <w:spacing w:before="160" w:after="240"/>
        <w:ind w:left="259" w:right="173"/>
        <w:shd w:fill="EAF2F8"/>
        <w:widowControl/>
        <w:pBdr>
          <w:left w:val="single" w:sz="18" w:space="8" w:color="2E74B5"/>
        </w:pBdr>
      </w:pPr>
      <w:r>
        <w:rPr>
          <w:rFonts w:ascii="Calibri" w:hAnsi="Calibri" w:eastAsia="Calibri"/>
          <w:color w:val="18324A"/>
          <w:sz w:val="22"/>
        </w:rPr>
        <w:t>Notary: “Do you swear or affirm that the factual statements you have adopted in CSR [record ID], version [number], are true and correct to the best of your present personal knowledge and belief, subject to every written qualification in that record?”</w:t>
      </w:r>
    </w:p>
    <w:p>
      <w:pPr>
        <w:pStyle w:val="Callout"/>
        <w:keepLines/>
        <w:spacing w:before="160" w:after="240"/>
        <w:ind w:left="259" w:right="173"/>
        <w:shd w:fill="EAF2F8"/>
        <w:widowControl/>
        <w:pBdr>
          <w:left w:val="single" w:sz="18" w:space="8" w:color="2E74B5"/>
        </w:pBdr>
      </w:pPr>
      <w:r>
        <w:rPr>
          <w:rFonts w:ascii="Calibri" w:hAnsi="Calibri" w:eastAsia="Calibri"/>
          <w:color w:val="18324A"/>
          <w:sz w:val="22"/>
        </w:rPr>
        <w:t>Participant: “I do.”</w:t>
      </w:r>
    </w:p>
    <w:p>
      <w:pPr>
        <w:widowControl/>
      </w:pPr>
      <w:r>
        <w:rPr>
          <w:rFonts w:ascii="Calibri" w:hAnsi="Calibri" w:eastAsia="Calibri"/>
          <w:color w:val="202428"/>
          <w:sz w:val="22"/>
        </w:rPr>
        <w:t>The participant signs while appearing before the notary. The notary completes the appropriate jurat contemporaneously. For remote notarization, the certificate states that communication technology was used and the platform completes all statutory and WAC steps.</w:t>
      </w:r>
    </w:p>
    <w:p>
      <w:pPr>
        <w:widowControl/>
      </w:pPr>
      <w:r>
        <w:rPr>
          <w:rFonts w:ascii="Calibri" w:hAnsi="Calibri" w:eastAsia="Calibri"/>
          <w:b/>
          <w:color w:val="202428"/>
          <w:sz w:val="22"/>
        </w:rPr>
        <w:t>Step 6 — Close immediately.</w:t>
      </w:r>
      <w:r>
        <w:rPr>
          <w:rFonts w:ascii="Calibri" w:hAnsi="Calibri" w:eastAsia="Calibri"/>
          <w:color w:val="202428"/>
          <w:sz w:val="22"/>
        </w:rPr>
        <w:t xml:space="preserve"> The notary says:</w:t>
      </w:r>
    </w:p>
    <w:p>
      <w:pPr>
        <w:pStyle w:val="Callout"/>
        <w:keepLines/>
        <w:spacing w:before="160" w:after="240"/>
        <w:ind w:left="259" w:right="173"/>
        <w:shd w:fill="EAF2F8"/>
        <w:widowControl/>
        <w:pBdr>
          <w:left w:val="single" w:sz="18" w:space="8" w:color="2E74B5"/>
        </w:pBdr>
      </w:pPr>
      <w:r>
        <w:rPr>
          <w:rFonts w:ascii="Calibri" w:hAnsi="Calibri" w:eastAsia="Calibri"/>
          <w:color w:val="18324A"/>
          <w:sz w:val="22"/>
        </w:rPr>
        <w:t>“The notarial act for CSR [record ID], version [number], is complete as of [time]. No later statement in this program is part of that verification unless a separate notarial act is clearly opened and completed.”</w:t>
      </w:r>
    </w:p>
    <w:p>
      <w:pPr>
        <w:widowControl/>
      </w:pPr>
      <w:r>
        <w:rPr>
          <w:rFonts w:ascii="Calibri" w:hAnsi="Calibri" w:eastAsia="Calibri"/>
          <w:color w:val="202428"/>
          <w:sz w:val="22"/>
        </w:rPr>
        <w:t>The host then says: “We are returning to unsworn commentary.”</w:t>
      </w:r>
    </w:p>
    <w:p>
      <w:pPr>
        <w:widowControl/>
      </w:pPr>
      <w:r>
        <w:rPr>
          <w:rFonts w:ascii="Calibri" w:hAnsi="Calibri" w:eastAsia="Calibri"/>
          <w:b/>
          <w:color w:val="202428"/>
          <w:sz w:val="22"/>
        </w:rPr>
        <w:t>Step 7 — Optional unsworn read-back.</w:t>
      </w:r>
      <w:r>
        <w:rPr>
          <w:rFonts w:ascii="Calibri" w:hAnsi="Calibri" w:eastAsia="Calibri"/>
          <w:color w:val="202428"/>
          <w:sz w:val="22"/>
        </w:rPr>
        <w:t xml:space="preserve"> Only after the close, the participant may read the already adopted answers verbatim. The screen must say “UNSWORN READ-BACK OF CSR [ID/VERSION].” A variance is labeled unsworn and never changes the CSR. If the participant wants different sworn content, DGG creates a new version and conducts a completely new notarial act.</w:t>
      </w:r>
    </w:p>
    <w:p>
      <w:pPr>
        <w:pStyle w:val="Heading2"/>
        <w:keepNext/>
        <w:widowControl/>
      </w:pPr>
      <w:r>
        <w:rPr>
          <w:rFonts w:ascii="Calibri" w:hAnsi="Calibri" w:eastAsia="Calibri"/>
          <w:color w:val="2E74B5"/>
          <w:sz w:val="26"/>
        </w:rPr>
        <w:t>5.5 Proposed CSR language</w:t>
      </w:r>
    </w:p>
    <w:p>
      <w:pPr>
        <w:widowControl/>
      </w:pPr>
      <w:r>
        <w:rPr>
          <w:rFonts w:ascii="Calibri" w:hAnsi="Calibri" w:eastAsia="Calibri"/>
          <w:color w:val="202428"/>
          <w:sz w:val="22"/>
        </w:rPr>
        <w:t>The participant declaration should be short and counsel-approved:</w:t>
      </w:r>
    </w:p>
    <w:p>
      <w:pPr>
        <w:pStyle w:val="Callout"/>
        <w:keepLines/>
        <w:spacing w:before="160" w:after="240"/>
        <w:ind w:left="259" w:right="173"/>
        <w:shd w:fill="EAF2F8"/>
        <w:widowControl/>
        <w:pBdr>
          <w:left w:val="single" w:sz="18" w:space="8" w:color="2E74B5"/>
        </w:pBdr>
      </w:pPr>
      <w:r>
        <w:rPr>
          <w:rFonts w:ascii="Calibri" w:hAnsi="Calibri" w:eastAsia="Calibri"/>
          <w:b/>
          <w:color w:val="18324A"/>
          <w:sz w:val="22"/>
        </w:rPr>
        <w:t>Participant declaration.</w:t>
      </w:r>
      <w:r>
        <w:rPr>
          <w:rFonts w:ascii="Calibri" w:hAnsi="Calibri" w:eastAsia="Calibri"/>
          <w:color w:val="18324A"/>
          <w:sz w:val="22"/>
        </w:rPr>
        <w:t xml:space="preserve"> I, [name], voluntarily adopt the answers marked “Sworn” in this Canonical Sworn Record, ID [ID], version [version]. After reviewing every page, I state under the oath or affirmation administered before the undersigned notarial officer that those answers are true and correct to the best of my present personal knowledge and belief, subject to each written qualification. “I do not know” and “I cannot verify” do not affirm the underlying proposition, but they are representations about my present knowledge or ability to verify. A declined answer makes no adopted assertion about the underlying proposition. I do not adopt later unsworn commentary through this declaration.</w:t>
      </w:r>
    </w:p>
    <w:p>
      <w:pPr>
        <w:widowControl/>
      </w:pPr>
      <w:r>
        <w:rPr>
          <w:rFonts w:ascii="Calibri" w:hAnsi="Calibri" w:eastAsia="Calibri"/>
          <w:color w:val="202428"/>
          <w:sz w:val="22"/>
        </w:rPr>
        <w:t>The jurat should use the Washington statutory short form, completed by the notary:</w:t>
      </w:r>
    </w:p>
    <w:p>
      <w:pPr>
        <w:pStyle w:val="Callout"/>
        <w:keepNext/>
        <w:keepLines/>
        <w:spacing w:before="160" w:after="240"/>
        <w:ind w:left="259" w:right="173"/>
        <w:shd w:fill="EAF2F8"/>
        <w:widowControl/>
        <w:pBdr>
          <w:left w:val="single" w:sz="18" w:space="8" w:color="2E74B5"/>
        </w:pBdr>
      </w:pPr>
      <w:r>
        <w:rPr>
          <w:rFonts w:ascii="Calibri" w:hAnsi="Calibri" w:eastAsia="Calibri"/>
          <w:color w:val="18324A"/>
          <w:sz w:val="22"/>
        </w:rPr>
        <w:t>State of Washington</w:t>
      </w:r>
    </w:p>
    <w:p>
      <w:pPr>
        <w:pStyle w:val="Callout"/>
        <w:keepNext/>
        <w:keepLines/>
        <w:spacing w:before="160" w:after="240"/>
        <w:ind w:left="259" w:right="173"/>
        <w:shd w:fill="EAF2F8"/>
        <w:widowControl/>
        <w:pBdr>
          <w:left w:val="single" w:sz="18" w:space="8" w:color="2E74B5"/>
        </w:pBdr>
      </w:pPr>
      <w:r>
        <w:rPr>
          <w:rFonts w:ascii="Calibri" w:hAnsi="Calibri" w:eastAsia="Calibri"/>
          <w:color w:val="18324A"/>
          <w:sz w:val="22"/>
        </w:rPr>
        <w:t>County of __________</w:t>
      </w:r>
    </w:p>
    <w:p>
      <w:pPr>
        <w:pStyle w:val="Callout"/>
        <w:keepNext/>
        <w:keepLines/>
        <w:spacing w:before="160" w:after="240"/>
        <w:ind w:left="259" w:right="173"/>
        <w:shd w:fill="EAF2F8"/>
        <w:widowControl/>
        <w:pBdr>
          <w:left w:val="single" w:sz="18" w:space="8" w:color="2E74B5"/>
        </w:pBdr>
      </w:pPr>
      <w:r>
        <w:rPr>
          <w:rFonts w:ascii="Calibri" w:hAnsi="Calibri" w:eastAsia="Calibri"/>
          <w:color w:val="18324A"/>
          <w:sz w:val="22"/>
        </w:rPr>
        <w:t>Signed and sworn to (or affirmed) before me on __________ by __________.</w:t>
      </w:r>
    </w:p>
    <w:p>
      <w:pPr>
        <w:pStyle w:val="Callout"/>
        <w:keepLines/>
        <w:spacing w:before="160" w:after="240"/>
        <w:ind w:left="259" w:right="173"/>
        <w:shd w:fill="EAF2F8"/>
        <w:widowControl/>
        <w:pBdr>
          <w:left w:val="single" w:sz="18" w:space="8" w:color="2E74B5"/>
        </w:pBdr>
      </w:pPr>
      <w:r>
        <w:rPr>
          <w:rFonts w:ascii="Calibri" w:hAnsi="Calibri" w:eastAsia="Calibri"/>
          <w:color w:val="18324A"/>
          <w:sz w:val="22"/>
        </w:rPr>
        <w:t>[Notarial officer signature, title, official stamp, and commission expiration as required]</w:t>
      </w:r>
    </w:p>
    <w:p>
      <w:pPr>
        <w:widowControl/>
      </w:pPr>
      <w:r>
        <w:rPr>
          <w:rFonts w:ascii="Calibri" w:hAnsi="Calibri" w:eastAsia="Calibri"/>
          <w:color w:val="202428"/>
          <w:sz w:val="22"/>
        </w:rPr>
        <w:t>For a remote act, the certificate must add the legally required communication-technology indication. DGG should not pre-complete the notary’s factual fields or ask a nonlawyer notary to select or revise legal certificate language.</w:t>
      </w:r>
    </w:p>
    <w:p>
      <w:pPr>
        <w:pStyle w:val="Heading2"/>
        <w:keepNext/>
        <w:widowControl/>
      </w:pPr>
      <w:r>
        <w:rPr>
          <w:rFonts w:ascii="Calibri" w:hAnsi="Calibri" w:eastAsia="Calibri"/>
          <w:color w:val="2E74B5"/>
          <w:sz w:val="26"/>
        </w:rPr>
        <w:t>5.6 Publication package</w:t>
      </w:r>
    </w:p>
    <w:p>
      <w:pPr>
        <w:widowControl/>
      </w:pPr>
      <w:r>
        <w:rPr>
          <w:rFonts w:ascii="Calibri" w:hAnsi="Calibri" w:eastAsia="Calibri"/>
          <w:color w:val="202428"/>
          <w:sz w:val="22"/>
        </w:rPr>
        <w:t>For the initial research phases, DGG should publish materials only for a participant who completed the process and separately authorized publication. DGG should not publish invitee lists, nonparticipant pages, or comparison statuses until the Phase 2 audience study shows that the proposed neutral wording does not create a material dishonesty inference.</w:t>
      </w:r>
    </w:p>
    <w:p>
      <w:pPr>
        <w:widowControl/>
      </w:pPr>
      <w:r>
        <w:rPr>
          <w:rFonts w:ascii="Calibri" w:hAnsi="Calibri" w:eastAsia="Calibri"/>
          <w:color w:val="202428"/>
          <w:sz w:val="22"/>
        </w:rPr>
        <w:t>When publication is authorized, the package should include:</w:t>
      </w:r>
    </w:p>
    <w:p>
      <w:pPr>
        <w:spacing w:after="100"/>
        <w:ind w:left="720" w:hanging="360"/>
        <w:widowControl/>
        <w:numPr>
          <w:ilvl w:val="0"/>
          <w:numId w:val="23"/>
        </w:numPr>
      </w:pPr>
      <w:r>
        <w:rPr>
          <w:rFonts w:ascii="Calibri" w:hAnsi="Calibri" w:eastAsia="Calibri"/>
          <w:color w:val="202428"/>
          <w:sz w:val="22"/>
        </w:rPr>
        <w:t>the complete unaltered CSR and certificate as a linked file;</w:t>
      </w:r>
    </w:p>
    <w:p>
      <w:pPr>
        <w:spacing w:after="100"/>
        <w:ind w:left="720" w:hanging="360"/>
        <w:widowControl/>
        <w:numPr>
          <w:ilvl w:val="0"/>
          <w:numId w:val="23"/>
        </w:numPr>
      </w:pPr>
      <w:r>
        <w:rPr>
          <w:rFonts w:ascii="Calibri" w:hAnsi="Calibri" w:eastAsia="Calibri"/>
          <w:color w:val="202428"/>
          <w:sz w:val="22"/>
        </w:rPr>
        <w:t>a plain-language notice that the notary did not certify substantive truth;</w:t>
      </w:r>
    </w:p>
    <w:p>
      <w:pPr>
        <w:spacing w:after="100"/>
        <w:ind w:left="720" w:hanging="360"/>
        <w:widowControl/>
        <w:numPr>
          <w:ilvl w:val="0"/>
          <w:numId w:val="23"/>
        </w:numPr>
      </w:pPr>
      <w:r>
        <w:rPr>
          <w:rFonts w:ascii="Calibri" w:hAnsi="Calibri" w:eastAsia="Calibri"/>
          <w:color w:val="202428"/>
          <w:sz w:val="22"/>
        </w:rPr>
        <w:t>the complete relevant PMR segment, with timecodes;</w:t>
      </w:r>
    </w:p>
    <w:p>
      <w:pPr>
        <w:spacing w:after="100"/>
        <w:ind w:left="720" w:hanging="360"/>
        <w:widowControl/>
        <w:numPr>
          <w:ilvl w:val="0"/>
          <w:numId w:val="23"/>
        </w:numPr>
      </w:pPr>
      <w:r>
        <w:rPr>
          <w:rFonts w:ascii="Calibri" w:hAnsi="Calibri" w:eastAsia="Calibri"/>
          <w:color w:val="202428"/>
          <w:sz w:val="22"/>
        </w:rPr>
        <w:t>a machine-readable question/answer list and source sheet;</w:t>
      </w:r>
    </w:p>
    <w:p>
      <w:pPr>
        <w:spacing w:after="100"/>
        <w:ind w:left="720" w:hanging="360"/>
        <w:widowControl/>
        <w:numPr>
          <w:ilvl w:val="0"/>
          <w:numId w:val="23"/>
        </w:numPr>
      </w:pPr>
      <w:r>
        <w:rPr>
          <w:rFonts w:ascii="Calibri" w:hAnsi="Calibri" w:eastAsia="Calibri"/>
          <w:color w:val="202428"/>
          <w:sz w:val="22"/>
        </w:rPr>
        <w:t>the participation criteria and invitation date;</w:t>
      </w:r>
    </w:p>
    <w:p>
      <w:pPr>
        <w:spacing w:after="100"/>
        <w:ind w:left="720" w:hanging="360"/>
        <w:widowControl/>
        <w:numPr>
          <w:ilvl w:val="0"/>
          <w:numId w:val="23"/>
        </w:numPr>
      </w:pPr>
      <w:r>
        <w:rPr>
          <w:rFonts w:ascii="Calibri" w:hAnsi="Calibri" w:eastAsia="Calibri"/>
          <w:color w:val="202428"/>
          <w:sz w:val="22"/>
        </w:rPr>
        <w:t>the CSR hash/version, a digitally signed manifest or independently timestamped digest, and a public append-only change log;</w:t>
      </w:r>
    </w:p>
    <w:p>
      <w:pPr>
        <w:spacing w:after="100"/>
        <w:ind w:left="720" w:hanging="360"/>
        <w:widowControl/>
        <w:numPr>
          <w:ilvl w:val="0"/>
          <w:numId w:val="23"/>
        </w:numPr>
      </w:pPr>
      <w:r>
        <w:rPr>
          <w:rFonts w:ascii="Calibri" w:hAnsi="Calibri" w:eastAsia="Calibri"/>
          <w:color w:val="202428"/>
          <w:sz w:val="22"/>
        </w:rPr>
        <w:t>any participant-authorized reason for a question decline, without inference; and</w:t>
      </w:r>
    </w:p>
    <w:p>
      <w:pPr>
        <w:spacing w:after="100"/>
        <w:ind w:left="720" w:hanging="360"/>
        <w:widowControl/>
        <w:numPr>
          <w:ilvl w:val="0"/>
          <w:numId w:val="23"/>
        </w:numPr>
      </w:pPr>
      <w:r>
        <w:rPr>
          <w:rFonts w:ascii="Calibri" w:hAnsi="Calibri" w:eastAsia="Calibri"/>
          <w:color w:val="202428"/>
          <w:sz w:val="22"/>
        </w:rPr>
        <w:t>all corrections as separately signed, linked supplements.</w:t>
      </w:r>
    </w:p>
    <w:p>
      <w:pPr>
        <w:widowControl/>
      </w:pPr>
      <w:r>
        <w:rPr>
          <w:rFonts w:ascii="Calibri" w:hAnsi="Calibri" w:eastAsia="Calibri"/>
          <w:color w:val="202428"/>
          <w:sz w:val="22"/>
        </w:rPr>
        <w:t>After the audience-safety gate is passed, permissible status labels are completion states, not character judgments:</w:t>
      </w:r>
    </w:p>
    <w:p>
      <w:pPr>
        <w:spacing w:after="100"/>
        <w:ind w:left="720" w:hanging="360"/>
        <w:widowControl/>
        <w:numPr>
          <w:ilvl w:val="0"/>
          <w:numId w:val="24"/>
        </w:numPr>
      </w:pPr>
      <w:r>
        <w:rPr>
          <w:rFonts w:ascii="Calibri" w:hAnsi="Calibri" w:eastAsia="Calibri"/>
          <w:color w:val="202428"/>
          <w:sz w:val="22"/>
        </w:rPr>
        <w:t>“Notarized factual statement published — CSR [ID/version].”</w:t>
      </w:r>
    </w:p>
    <w:p>
      <w:pPr>
        <w:spacing w:after="100"/>
        <w:ind w:left="720" w:hanging="360"/>
        <w:widowControl/>
        <w:numPr>
          <w:ilvl w:val="0"/>
          <w:numId w:val="24"/>
        </w:numPr>
      </w:pPr>
      <w:r>
        <w:rPr>
          <w:rFonts w:ascii="Calibri" w:hAnsi="Calibri" w:eastAsia="Calibri"/>
          <w:color w:val="202428"/>
          <w:sz w:val="22"/>
        </w:rPr>
        <w:t>“Unsworn interview published; no notarized factual statement published.”</w:t>
      </w:r>
    </w:p>
    <w:p>
      <w:pPr>
        <w:spacing w:after="100"/>
        <w:ind w:left="720" w:hanging="360"/>
        <w:widowControl/>
        <w:numPr>
          <w:ilvl w:val="0"/>
          <w:numId w:val="24"/>
        </w:numPr>
      </w:pPr>
      <w:r>
        <w:rPr>
          <w:rFonts w:ascii="Calibri" w:hAnsi="Calibri" w:eastAsia="Calibri"/>
          <w:color w:val="202428"/>
          <w:sz w:val="22"/>
        </w:rPr>
        <w:t>“No interview or notarized statement published.”</w:t>
      </w:r>
    </w:p>
    <w:p>
      <w:pPr>
        <w:widowControl/>
      </w:pPr>
      <w:r>
        <w:rPr>
          <w:rFonts w:ascii="Calibri" w:hAnsi="Calibri" w:eastAsia="Calibri"/>
          <w:color w:val="202428"/>
          <w:sz w:val="22"/>
        </w:rPr>
        <w:t>Every status page should add: “No inference about honesty should be drawn from participation or nonparticipation.” Do not use “refused truth,” “failed the oath,” a red/green credibility badge, an honesty score, or a comparative leaderboard.</w:t>
      </w:r>
    </w:p>
    <w:p>
      <w:pPr>
        <w:pStyle w:val="Heading1"/>
        <w:keepNext/>
        <w:widowControl/>
      </w:pPr>
      <w:r>
        <w:rPr>
          <w:rFonts w:ascii="Calibri" w:hAnsi="Calibri" w:eastAsia="Calibri"/>
          <w:color w:val="2E74B5"/>
          <w:sz w:val="32"/>
        </w:rPr>
        <w:t>6. Accident, correction, and rewriting protocol</w:t>
      </w:r>
    </w:p>
    <w:p>
      <w:pPr>
        <w:widowControl/>
      </w:pPr>
      <w:r>
        <w:rPr>
          <w:rFonts w:ascii="Calibri" w:hAnsi="Calibri" w:eastAsia="Calibri"/>
          <w:color w:val="202428"/>
          <w:sz w:val="22"/>
        </w:rPr>
        <w:t>The protocol assumes that human beings will misspeak, platforms will fail, and editors will discover errors. The goal is to preserve evidence, avoid compounding the event, and prevent an inaccurate record from being laundered through a jurat.</w:t>
      </w:r>
    </w:p>
    <w:p>
      <w:pPr>
        <w:pStyle w:val="Heading2"/>
        <w:keepNext/>
        <w:widowControl/>
      </w:pPr>
      <w:r>
        <w:rPr>
          <w:rFonts w:ascii="Calibri" w:hAnsi="Calibri" w:eastAsia="Calibri"/>
          <w:color w:val="2E74B5"/>
          <w:sz w:val="26"/>
        </w:rPr>
        <w:t>6.1 Incident matrix</w:t>
      </w:r>
    </w:p>
    <w:p>
      <w:pPr>
        <w:widowControl/>
      </w:pPr>
      <w:r>
        <w:rPr>
          <w:rFonts w:ascii="Calibri" w:hAnsi="Calibri" w:eastAsia="Calibri"/>
          <w:b/>
          <w:color w:val="202428"/>
          <w:sz w:val="22"/>
        </w:rPr>
        <w:t>Host or participant casually says “I swear” in green zone.</w:t>
      </w:r>
      <w:r>
        <w:rPr>
          <w:rFonts w:ascii="Calibri" w:hAnsi="Calibri" w:eastAsia="Calibri"/>
          <w:color w:val="202428"/>
          <w:sz w:val="22"/>
        </w:rPr>
        <w:t xml:space="preserve"> Stop briefly; state on the record that no notarial act has begun; document who was present and whether a notary purported to administer anything. Casual language alone is unlikely to satisfy every statutory element, but </w:t>
      </w:r>
      <w:r>
        <w:rPr>
          <w:rFonts w:ascii="Calibri" w:hAnsi="Calibri" w:eastAsia="Calibri"/>
          <w:i/>
          <w:color w:val="202428"/>
          <w:sz w:val="22"/>
        </w:rPr>
        <w:t>Lewis</w:t>
      </w:r>
      <w:r>
        <w:rPr>
          <w:rFonts w:ascii="Calibri" w:hAnsi="Calibri" w:eastAsia="Calibri"/>
          <w:color w:val="202428"/>
          <w:sz w:val="22"/>
        </w:rPr>
        <w:t xml:space="preserve"> makes context and conscious assumption more important than magic words. Do not rely on informality; counsel reviews any meaningful ambiguity before publication.</w:t>
      </w:r>
    </w:p>
    <w:p>
      <w:pPr>
        <w:widowControl/>
      </w:pPr>
      <w:r>
        <w:rPr>
          <w:rFonts w:ascii="Calibri" w:hAnsi="Calibri" w:eastAsia="Calibri"/>
          <w:b/>
          <w:color w:val="202428"/>
          <w:sz w:val="22"/>
        </w:rPr>
        <w:t>A draft is falsely represented as already sworn or contains a precompleted jurat.</w:t>
      </w:r>
      <w:r>
        <w:rPr>
          <w:rFonts w:ascii="Calibri" w:hAnsi="Calibri" w:eastAsia="Calibri"/>
          <w:color w:val="202428"/>
          <w:sz w:val="22"/>
        </w:rPr>
        <w:t xml:space="preserve"> Quarantine it; do not sign, notarize, or publish it. Create a clean version with a new ID. A counsel-approved CSR may contain prospective oath-recitation language and a blank jurat; factual fields and the certificate are completed only during the actual notarial act. Never backdate or reuse a completed certificate.</w:t>
      </w:r>
    </w:p>
    <w:p>
      <w:pPr>
        <w:widowControl/>
      </w:pPr>
      <w:r>
        <w:rPr>
          <w:rFonts w:ascii="Calibri" w:hAnsi="Calibri" w:eastAsia="Calibri"/>
          <w:b/>
          <w:color w:val="202428"/>
          <w:sz w:val="22"/>
        </w:rPr>
        <w:t>Participant pre-signs or signs the wrong version.</w:t>
      </w:r>
      <w:r>
        <w:rPr>
          <w:rFonts w:ascii="Calibri" w:hAnsi="Calibri" w:eastAsia="Calibri"/>
          <w:color w:val="202428"/>
          <w:sz w:val="22"/>
        </w:rPr>
        <w:t xml:space="preserve"> Abort the act. Preserve the mistaken file, create a new version, repeat review and identity/appearance steps, and sign the correct record before the notary. Do not detach a certificate and move it to another version.</w:t>
      </w:r>
    </w:p>
    <w:p>
      <w:pPr>
        <w:widowControl/>
      </w:pPr>
      <w:r>
        <w:rPr>
          <w:rFonts w:ascii="Calibri" w:hAnsi="Calibri" w:eastAsia="Calibri"/>
          <w:b/>
          <w:color w:val="202428"/>
          <w:sz w:val="22"/>
        </w:rPr>
        <w:t>The participant changes an answer during the red zone.</w:t>
      </w:r>
      <w:r>
        <w:rPr>
          <w:rFonts w:ascii="Calibri" w:hAnsi="Calibri" w:eastAsia="Calibri"/>
          <w:color w:val="202428"/>
          <w:sz w:val="22"/>
        </w:rPr>
        <w:t xml:space="preserve"> Pause before completion. Create a new CSR version, allow full review, and restart the oath/signature sequence. The superseded unsigned draft stays internal under the retention policy.</w:t>
      </w:r>
    </w:p>
    <w:p>
      <w:pPr>
        <w:widowControl/>
      </w:pPr>
      <w:r>
        <w:rPr>
          <w:rFonts w:ascii="Calibri" w:hAnsi="Calibri" w:eastAsia="Calibri"/>
          <w:b/>
          <w:color w:val="202428"/>
          <w:sz w:val="22"/>
        </w:rPr>
        <w:t>The participant changes an answer during read-back.</w:t>
      </w:r>
      <w:r>
        <w:rPr>
          <w:rFonts w:ascii="Calibri" w:hAnsi="Calibri" w:eastAsia="Calibri"/>
          <w:color w:val="202428"/>
          <w:sz w:val="22"/>
        </w:rPr>
        <w:t xml:space="preserve"> Stop the read-back and label the variance unsworn. If the participant wants the changed answer to be sworn, make a new CSR and conduct a new act.</w:t>
      </w:r>
    </w:p>
    <w:p>
      <w:pPr>
        <w:widowControl/>
      </w:pPr>
      <w:r>
        <w:rPr>
          <w:rFonts w:ascii="Calibri" w:hAnsi="Calibri" w:eastAsia="Calibri"/>
          <w:b/>
          <w:color w:val="202428"/>
          <w:sz w:val="22"/>
        </w:rPr>
        <w:t>A platform disconnects or the signer exits the RON workflow.</w:t>
      </w:r>
      <w:r>
        <w:rPr>
          <w:rFonts w:ascii="Calibri" w:hAnsi="Calibri" w:eastAsia="Calibri"/>
          <w:color w:val="202428"/>
          <w:sz w:val="22"/>
        </w:rPr>
        <w:t xml:space="preserve"> Treat the act as incomplete. Follow WAC 308-30-310, including restarting identity verification when the signer exits the workflow. Resume only through the vendor’s compliant process; never splice recordings to simulate continuity.</w:t>
      </w:r>
    </w:p>
    <w:p>
      <w:pPr>
        <w:widowControl/>
      </w:pPr>
      <w:r>
        <w:rPr>
          <w:rFonts w:ascii="Calibri" w:hAnsi="Calibri" w:eastAsia="Calibri"/>
          <w:b/>
          <w:color w:val="202428"/>
          <w:sz w:val="22"/>
        </w:rPr>
        <w:t>Notary is not physically in Washington, lacks an endorsement, cannot verify identity, or has a capacity/knowing-voluntary concern.</w:t>
      </w:r>
      <w:r>
        <w:rPr>
          <w:rFonts w:ascii="Calibri" w:hAnsi="Calibri" w:eastAsia="Calibri"/>
          <w:color w:val="202428"/>
          <w:sz w:val="22"/>
        </w:rPr>
        <w:t xml:space="preserve"> Abort. Label the outcome “not completed,” not “invalid because participant failed.” Do not substitute a DGG host as oath administrator.</w:t>
      </w:r>
    </w:p>
    <w:p>
      <w:pPr>
        <w:widowControl/>
      </w:pPr>
      <w:r>
        <w:rPr>
          <w:rFonts w:ascii="Calibri" w:hAnsi="Calibri" w:eastAsia="Calibri"/>
          <w:b/>
          <w:color w:val="202428"/>
          <w:sz w:val="22"/>
        </w:rPr>
        <w:t>Recording or transcription starts before consent.</w:t>
      </w:r>
      <w:r>
        <w:rPr>
          <w:rFonts w:ascii="Calibri" w:hAnsi="Calibri" w:eastAsia="Calibri"/>
          <w:color w:val="202428"/>
          <w:sz w:val="22"/>
        </w:rPr>
        <w:t xml:space="preserve"> Stop and quarantine the file; preserve metadata and participant locations; do not listen, transcribe, circulate, or publish until counsel decides whether it can lawfully be retained or used. Disable all platform auto-features and start a clean take after valid consent. Post hoc consent should not be assumed to cure the initial interception.</w:t>
      </w:r>
    </w:p>
    <w:p>
      <w:pPr>
        <w:widowControl/>
      </w:pPr>
      <w:r>
        <w:rPr>
          <w:rFonts w:ascii="Calibri" w:hAnsi="Calibri" w:eastAsia="Calibri"/>
          <w:b/>
          <w:color w:val="202428"/>
          <w:sz w:val="22"/>
        </w:rPr>
        <w:t>An error is discovered after notarization but before publication.</w:t>
      </w:r>
      <w:r>
        <w:rPr>
          <w:rFonts w:ascii="Calibri" w:hAnsi="Calibri" w:eastAsia="Calibri"/>
          <w:color w:val="202428"/>
          <w:sz w:val="22"/>
        </w:rPr>
        <w:t xml:space="preserve"> Never edit the CSR. Preserve it under restricted access, create a corrected version with its own ID, repeat review/oath/signature/jurat, and have counsel decide what provenance must be disclosed. Do not promise that the statutory retraction defense applies.</w:t>
      </w:r>
    </w:p>
    <w:p>
      <w:pPr>
        <w:widowControl/>
      </w:pPr>
      <w:r>
        <w:rPr>
          <w:rFonts w:ascii="Calibri" w:hAnsi="Calibri" w:eastAsia="Calibri"/>
          <w:b/>
          <w:color w:val="202428"/>
          <w:sz w:val="22"/>
        </w:rPr>
        <w:t>An error is discovered after publication.</w:t>
      </w:r>
      <w:r>
        <w:rPr>
          <w:rFonts w:ascii="Calibri" w:hAnsi="Calibri" w:eastAsia="Calibri"/>
          <w:color w:val="202428"/>
          <w:sz w:val="22"/>
        </w:rPr>
        <w:t xml:space="preserve"> Promptly disable or annotate every misleading derivative, place a visible correction notice on every affected page/clip, and publish a separately signed supplemental CSR if the participant chooses. Preserve the original internally under restricted, tamper-evident retention; do not overwrite or destroy it. Media counsel decides whether a known-false or potentially defamatory superseded original remains publicly accessible, is access-restricted, or is replaced by a provenance stub linking to the correction. Evidence preservation does not require continued republication.</w:t>
      </w:r>
    </w:p>
    <w:p>
      <w:pPr>
        <w:widowControl/>
      </w:pPr>
      <w:r>
        <w:rPr>
          <w:rFonts w:ascii="Calibri" w:hAnsi="Calibri" w:eastAsia="Calibri"/>
          <w:b/>
          <w:color w:val="202428"/>
          <w:sz w:val="22"/>
        </w:rPr>
        <w:t>A campaign-coordination issue appears.</w:t>
      </w:r>
      <w:r>
        <w:rPr>
          <w:rFonts w:ascii="Calibri" w:hAnsi="Calibri" w:eastAsia="Calibri"/>
          <w:color w:val="202428"/>
          <w:sz w:val="22"/>
        </w:rPr>
        <w:t xml:space="preserve"> Stop substantive campaign communication, preserve all contacts and cost records, activate the editorial firewall, and obtain election-counsel classification/valuation/reporting advice. Later rewriting does not undo prior request, material involvement, or substantial discussion.</w:t>
      </w:r>
    </w:p>
    <w:p>
      <w:pPr>
        <w:widowControl/>
      </w:pPr>
      <w:r>
        <w:rPr>
          <w:rFonts w:ascii="Calibri" w:hAnsi="Calibri" w:eastAsia="Calibri"/>
          <w:b/>
          <w:color w:val="202428"/>
          <w:sz w:val="22"/>
        </w:rPr>
        <w:t>A demand letter, regulator inquiry, subpoena, or credible litigation/prosecution threat arrives.</w:t>
      </w:r>
      <w:r>
        <w:rPr>
          <w:rFonts w:ascii="Calibri" w:hAnsi="Calibri" w:eastAsia="Calibri"/>
          <w:color w:val="202428"/>
          <w:sz w:val="22"/>
        </w:rPr>
        <w:t xml:space="preserve"> Suspend ordinary deletion, issue a tailored preservation hold, preserve raw/derivative media and communications, notify insurers and counsel, and centralize response. No volunteer should contact a witness, campaign, prosecutor, or complainant independently.</w:t>
      </w:r>
    </w:p>
    <w:p>
      <w:pPr>
        <w:pStyle w:val="Heading2"/>
        <w:keepNext/>
        <w:widowControl/>
      </w:pPr>
      <w:r>
        <w:rPr>
          <w:rFonts w:ascii="Calibri" w:hAnsi="Calibri" w:eastAsia="Calibri"/>
          <w:color w:val="2E74B5"/>
          <w:sz w:val="26"/>
        </w:rPr>
        <w:t>6.2 Rewrite rule</w:t>
      </w:r>
    </w:p>
    <w:p>
      <w:pPr>
        <w:widowControl/>
      </w:pPr>
      <w:r>
        <w:rPr>
          <w:rFonts w:ascii="Calibri" w:hAnsi="Calibri" w:eastAsia="Calibri"/>
          <w:color w:val="202428"/>
          <w:sz w:val="22"/>
        </w:rPr>
        <w:t xml:space="preserve">A transcript may correct obvious transcription errors only if the audio remains the master and the change log shows the correction. It may not paraphrase, regularize, improve, or complete a participant’s thought and then put the result in quotation marks or the CSR. </w:t>
      </w:r>
      <w:r>
        <w:rPr>
          <w:rFonts w:ascii="Calibri" w:hAnsi="Calibri" w:eastAsia="Calibri"/>
          <w:i/>
          <w:color w:val="202428"/>
          <w:sz w:val="22"/>
        </w:rPr>
        <w:t>Masson v. New Yorker Magazine, Inc.</w:t>
      </w:r>
      <w:r>
        <w:rPr>
          <w:rFonts w:ascii="Calibri" w:hAnsi="Calibri" w:eastAsia="Calibri"/>
          <w:color w:val="202428"/>
          <w:sz w:val="22"/>
        </w:rPr>
        <w:t xml:space="preserve">, 501 U.S. 496 (1991), makes material meaning change through altered quotation a serious actual-malice issue; </w:t>
      </w:r>
      <w:r>
        <w:rPr>
          <w:rFonts w:ascii="Calibri" w:hAnsi="Calibri" w:eastAsia="Calibri"/>
          <w:i/>
          <w:color w:val="202428"/>
          <w:sz w:val="22"/>
        </w:rPr>
        <w:t>State v. McComas</w:t>
      </w:r>
      <w:r>
        <w:rPr>
          <w:rFonts w:ascii="Calibri" w:hAnsi="Calibri" w:eastAsia="Calibri"/>
          <w:color w:val="202428"/>
          <w:sz w:val="22"/>
        </w:rPr>
        <w:t>, 186 Wn. App. 307, 345 P.3d 36 (2015), makes adoption of the exact words important to sworn-statement analysis.</w:t>
      </w:r>
    </w:p>
    <w:p>
      <w:pPr>
        <w:pStyle w:val="Heading2"/>
        <w:keepNext/>
        <w:widowControl/>
      </w:pPr>
      <w:r>
        <w:rPr>
          <w:rFonts w:ascii="Calibri" w:hAnsi="Calibri" w:eastAsia="Calibri"/>
          <w:color w:val="2E74B5"/>
          <w:sz w:val="26"/>
        </w:rPr>
        <w:t>6.3 Retention rule</w:t>
      </w:r>
    </w:p>
    <w:p>
      <w:pPr>
        <w:widowControl/>
      </w:pPr>
      <w:r>
        <w:rPr>
          <w:rFonts w:ascii="Calibri" w:hAnsi="Calibri" w:eastAsia="Calibri"/>
          <w:color w:val="202428"/>
          <w:sz w:val="22"/>
        </w:rPr>
        <w:t>The recommended nonattorney notary controls the official journal and statutory RON audiovisual record. RCW 42.45.180(2) contains an attorney-notary exception that must be separately addressed if that model is considered. DGG controls the production master, CSR publication copy, audit log, consents, sources, and derivatives in a different capacity. DGG should not ask the notary to surrender the journal, ID-proofing materials, or statutory recording for content use. Washington rules require the RON recording to exclude images of the subject electronic record, which is another reason to segregate the notarial and production systems. WAC 308-30-330.</w:t>
      </w:r>
    </w:p>
    <w:p>
      <w:pPr>
        <w:pStyle w:val="Heading1"/>
        <w:keepNext/>
        <w:widowControl/>
      </w:pPr>
      <w:r>
        <w:rPr>
          <w:rFonts w:ascii="Calibri" w:hAnsi="Calibri" w:eastAsia="Calibri"/>
          <w:color w:val="2E74B5"/>
          <w:sz w:val="32"/>
        </w:rPr>
        <w:t>7. Remote and interstate operation</w:t>
      </w:r>
    </w:p>
    <w:p>
      <w:pPr>
        <w:pStyle w:val="Heading2"/>
        <w:keepNext/>
        <w:widowControl/>
      </w:pPr>
      <w:r>
        <w:rPr>
          <w:rFonts w:ascii="Calibri" w:hAnsi="Calibri" w:eastAsia="Calibri"/>
          <w:color w:val="2E74B5"/>
          <w:sz w:val="26"/>
        </w:rPr>
        <w:t>7.1 Six legal layers that must not be collapsed</w:t>
      </w:r>
    </w:p>
    <w:p>
      <w:pPr>
        <w:widowControl/>
      </w:pPr>
      <w:r>
        <w:rPr>
          <w:rFonts w:ascii="Calibri" w:hAnsi="Calibri" w:eastAsia="Calibri"/>
          <w:color w:val="202428"/>
          <w:sz w:val="22"/>
        </w:rPr>
        <w:t>For every interstate session, counsel must analyze separately:</w:t>
      </w:r>
    </w:p>
    <w:p>
      <w:pPr>
        <w:spacing w:after="100"/>
        <w:ind w:left="720" w:hanging="360"/>
        <w:widowControl/>
        <w:numPr>
          <w:ilvl w:val="0"/>
          <w:numId w:val="25"/>
        </w:numPr>
      </w:pPr>
      <w:r>
        <w:rPr>
          <w:rFonts w:ascii="Calibri" w:hAnsi="Calibri" w:eastAsia="Calibri"/>
          <w:b/>
          <w:color w:val="202428"/>
          <w:sz w:val="22"/>
        </w:rPr>
        <w:t>Notarial authority and venue:</w:t>
      </w:r>
      <w:r>
        <w:rPr>
          <w:rFonts w:ascii="Calibri" w:hAnsi="Calibri" w:eastAsia="Calibri"/>
          <w:color w:val="202428"/>
          <w:sz w:val="22"/>
        </w:rPr>
        <w:t xml:space="preserve"> where the notary is physically located and what endorsements/technology govern the act.</w:t>
      </w:r>
    </w:p>
    <w:p>
      <w:pPr>
        <w:spacing w:after="100"/>
        <w:ind w:left="720" w:hanging="360"/>
        <w:widowControl/>
        <w:numPr>
          <w:ilvl w:val="0"/>
          <w:numId w:val="25"/>
        </w:numPr>
      </w:pPr>
      <w:r>
        <w:rPr>
          <w:rFonts w:ascii="Calibri" w:hAnsi="Calibri" w:eastAsia="Calibri"/>
          <w:b/>
          <w:color w:val="202428"/>
          <w:sz w:val="22"/>
        </w:rPr>
        <w:t>Recognition/effect:</w:t>
      </w:r>
      <w:r>
        <w:rPr>
          <w:rFonts w:ascii="Calibri" w:hAnsi="Calibri" w:eastAsia="Calibri"/>
          <w:color w:val="202428"/>
          <w:sz w:val="22"/>
        </w:rPr>
        <w:t xml:space="preserve"> whether another jurisdiction recognizes the certificate or record.</w:t>
      </w:r>
    </w:p>
    <w:p>
      <w:pPr>
        <w:spacing w:after="100"/>
        <w:ind w:left="720" w:hanging="360"/>
        <w:widowControl/>
        <w:numPr>
          <w:ilvl w:val="0"/>
          <w:numId w:val="25"/>
        </w:numPr>
      </w:pPr>
      <w:r>
        <w:rPr>
          <w:rFonts w:ascii="Calibri" w:hAnsi="Calibri" w:eastAsia="Calibri"/>
          <w:b/>
          <w:color w:val="202428"/>
          <w:sz w:val="22"/>
        </w:rPr>
        <w:t>Substantive criminal law and territorial jurisdiction:</w:t>
      </w:r>
      <w:r>
        <w:rPr>
          <w:rFonts w:ascii="Calibri" w:hAnsi="Calibri" w:eastAsia="Calibri"/>
          <w:color w:val="202428"/>
          <w:sz w:val="22"/>
        </w:rPr>
        <w:t xml:space="preserve"> which state may prescribe and prosecute which conduct.</w:t>
      </w:r>
    </w:p>
    <w:p>
      <w:pPr>
        <w:spacing w:after="100"/>
        <w:ind w:left="720" w:hanging="360"/>
        <w:widowControl/>
        <w:numPr>
          <w:ilvl w:val="0"/>
          <w:numId w:val="25"/>
        </w:numPr>
      </w:pPr>
      <w:r>
        <w:rPr>
          <w:rFonts w:ascii="Calibri" w:hAnsi="Calibri" w:eastAsia="Calibri"/>
          <w:b/>
          <w:color w:val="202428"/>
          <w:sz w:val="22"/>
        </w:rPr>
        <w:t>Evidence:</w:t>
      </w:r>
      <w:r>
        <w:rPr>
          <w:rFonts w:ascii="Calibri" w:hAnsi="Calibri" w:eastAsia="Calibri"/>
          <w:color w:val="202428"/>
          <w:sz w:val="22"/>
        </w:rPr>
        <w:t xml:space="preserve"> authentication, hearsay, relevance, privilege, and admissibility in a later proceeding.</w:t>
      </w:r>
    </w:p>
    <w:p>
      <w:pPr>
        <w:spacing w:after="100"/>
        <w:ind w:left="720" w:hanging="360"/>
        <w:widowControl/>
        <w:numPr>
          <w:ilvl w:val="0"/>
          <w:numId w:val="25"/>
        </w:numPr>
      </w:pPr>
      <w:r>
        <w:rPr>
          <w:rFonts w:ascii="Calibri" w:hAnsi="Calibri" w:eastAsia="Calibri"/>
          <w:b/>
          <w:color w:val="202428"/>
          <w:sz w:val="22"/>
        </w:rPr>
        <w:t>Recording, privacy, publicity, and data:</w:t>
      </w:r>
      <w:r>
        <w:rPr>
          <w:rFonts w:ascii="Calibri" w:hAnsi="Calibri" w:eastAsia="Calibri"/>
          <w:color w:val="202428"/>
          <w:sz w:val="22"/>
        </w:rPr>
        <w:t xml:space="preserve"> the laws of every participant and storage location.</w:t>
      </w:r>
    </w:p>
    <w:p>
      <w:pPr>
        <w:spacing w:after="100"/>
        <w:ind w:left="720" w:hanging="360"/>
        <w:widowControl/>
        <w:numPr>
          <w:ilvl w:val="0"/>
          <w:numId w:val="25"/>
        </w:numPr>
      </w:pPr>
      <w:r>
        <w:rPr>
          <w:rFonts w:ascii="Calibri" w:hAnsi="Calibri" w:eastAsia="Calibri"/>
          <w:b/>
          <w:color w:val="202428"/>
          <w:sz w:val="22"/>
        </w:rPr>
        <w:t>Campaign, tax, and enforcement:</w:t>
      </w:r>
      <w:r>
        <w:rPr>
          <w:rFonts w:ascii="Calibri" w:hAnsi="Calibri" w:eastAsia="Calibri"/>
          <w:color w:val="202428"/>
          <w:sz w:val="22"/>
        </w:rPr>
        <w:t xml:space="preserve"> contribution/reporting rules, entity status, charging, demand, and extradition procedures.</w:t>
      </w:r>
    </w:p>
    <w:p>
      <w:pPr>
        <w:widowControl/>
      </w:pPr>
      <w:r>
        <w:rPr>
          <w:rFonts w:ascii="Calibri" w:hAnsi="Calibri" w:eastAsia="Calibri"/>
          <w:color w:val="202428"/>
          <w:sz w:val="22"/>
        </w:rPr>
        <w:t>A valid Washington certificate resolves Washington authority and form. Effect in another forum depends on that forum’s recognition statute; recognition may authenticate the notarial act but does not establish substantive truth, admissibility, criminal jurisdiction, or imported penal law. Compare RCW 42.45.090, 57 Pa.C.S. § 311, A.R.S. § 41-259, and the narrower Florida rule in Fla. Stat. § 92.50(2). A Washington certificate does not choose Washington criminal law or make interstate enforcement automatic.</w:t>
      </w:r>
    </w:p>
    <w:p>
      <w:pPr>
        <w:pStyle w:val="Heading2"/>
        <w:keepNext/>
        <w:widowControl/>
      </w:pPr>
      <w:r>
        <w:rPr>
          <w:rFonts w:ascii="Calibri" w:hAnsi="Calibri" w:eastAsia="Calibri"/>
          <w:color w:val="2E74B5"/>
          <w:sz w:val="26"/>
        </w:rPr>
        <w:t>7.2 Washington RON through December 31, 2026</w:t>
      </w:r>
    </w:p>
    <w:p>
      <w:pPr>
        <w:widowControl/>
      </w:pPr>
      <w:r>
        <w:rPr>
          <w:rFonts w:ascii="Calibri" w:hAnsi="Calibri" w:eastAsia="Calibri"/>
          <w:color w:val="202428"/>
          <w:sz w:val="22"/>
        </w:rPr>
        <w:t>Current RCW 42.45.280 allows an electronic-records notary located in Washington to perform a notarial act for a remotely located individual using simultaneous sight-and-sound technology if the notary establishes identity through an authorized route, reasonably confirms the same record, creates an audiovisual recording, uses the required certificate indication, and retains the recording as required. WAC 308-30-290 through -330 adds endorsement, credential-analysis/knowledge-based-authentication rules when that identity route is used, security, same-record, certificate, restart, recording-format, and 10-year retention requirements.</w:t>
      </w:r>
    </w:p>
    <w:p>
      <w:pPr>
        <w:widowControl/>
      </w:pPr>
      <w:r>
        <w:rPr>
          <w:rFonts w:ascii="Calibri" w:hAnsi="Calibri" w:eastAsia="Calibri"/>
          <w:color w:val="202428"/>
          <w:sz w:val="22"/>
        </w:rPr>
        <w:t xml:space="preserve">The signer may be elsewhere in the United States. The notary must remain physically in Washington. In 2026, WAC 308-30-290 expressly lists remote </w:t>
      </w:r>
      <w:r>
        <w:rPr>
          <w:rFonts w:ascii="Calibri" w:hAnsi="Calibri" w:eastAsia="Calibri"/>
          <w:b/>
          <w:color w:val="202428"/>
          <w:sz w:val="22"/>
        </w:rPr>
        <w:t>verification on oath or affirmation</w:t>
      </w:r>
      <w:r>
        <w:rPr>
          <w:rFonts w:ascii="Calibri" w:hAnsi="Calibri" w:eastAsia="Calibri"/>
          <w:color w:val="202428"/>
          <w:sz w:val="22"/>
        </w:rPr>
        <w:t xml:space="preserve"> but does not separately list standalone administration of an oral oath; the 2027 amendment adds that express authority and new tangible-record procedures. The conservative 2026 design is therefore a signed electronic verification/jurat—not a standalone remote oral Q&amp;A and not a paper record mailed to the notary afterward. The protocol should use a vetted RON provider, not a general videoconference plus an electronic signature app.</w:t>
      </w:r>
    </w:p>
    <w:p>
      <w:pPr>
        <w:widowControl/>
      </w:pPr>
      <w:r>
        <w:rPr>
          <w:rFonts w:ascii="Calibri" w:hAnsi="Calibri" w:eastAsia="Calibri"/>
          <w:color w:val="202428"/>
          <w:sz w:val="22"/>
        </w:rPr>
        <w:t>For a signer outside the United States, current RCW 42.45.280 imposes additional connections to a U.S. public official/court/governmental matter, U.S. property, or a transaction substantially connected with the United States, and the act must not be prohibited where the signer is located. A political-media CSR ordinarily does not present a clean fit. Foreign signers are a no-go absent specific counsel approval.</w:t>
      </w:r>
    </w:p>
    <w:p>
      <w:pPr>
        <w:pStyle w:val="Heading2"/>
        <w:keepNext/>
        <w:widowControl/>
      </w:pPr>
      <w:r>
        <w:rPr>
          <w:rFonts w:ascii="Calibri" w:hAnsi="Calibri" w:eastAsia="Calibri"/>
          <w:color w:val="2E74B5"/>
          <w:sz w:val="26"/>
        </w:rPr>
        <w:t>7.3 Change effective January 1, 2027</w:t>
      </w:r>
    </w:p>
    <w:p>
      <w:pPr>
        <w:widowControl/>
      </w:pPr>
      <w:r>
        <w:rPr>
          <w:rFonts w:ascii="Calibri" w:hAnsi="Calibri" w:eastAsia="Calibri"/>
          <w:color w:val="202428"/>
          <w:sz w:val="22"/>
        </w:rPr>
        <w:t>The amended RCW 42.45.280 effective January 1, 2027 adds express provisions for remote administration of an oath or affirmation and for certain tangible-record workflows. It retains identity, audiovisual, retention, certificate, technology, and foreign-signer requirements. The amendment improves textual clarity; it does not eliminate other-state recording law, criminal jurisdiction, campaign law, or factual proof issues. DGG should rerun an authority and rule audit immediately before any 2027 session.</w:t>
      </w:r>
    </w:p>
    <w:p>
      <w:pPr>
        <w:pStyle w:val="Heading2"/>
        <w:keepNext/>
        <w:widowControl/>
      </w:pPr>
      <w:r>
        <w:rPr>
          <w:rFonts w:ascii="Calibri" w:hAnsi="Calibri" w:eastAsia="Calibri"/>
          <w:color w:val="2E74B5"/>
          <w:sz w:val="26"/>
        </w:rPr>
        <w:t>7.4 Territorial jurisdiction and extradition</w:t>
      </w:r>
    </w:p>
    <w:p>
      <w:pPr>
        <w:widowControl/>
      </w:pPr>
      <w:r>
        <w:rPr>
          <w:rFonts w:ascii="Calibri" w:hAnsi="Calibri" w:eastAsia="Calibri"/>
          <w:color w:val="202428"/>
          <w:sz w:val="22"/>
        </w:rPr>
        <w:t>RCW 9A.04.030 supplies several territorial bases for Washington offenses, including conduct occurring wholly or partly in Washington and specified out-of-state conduct with Washington effects. Subsection (6) specifically addresses an out-of-state chapter 5.50 declaration that would be perjury. That specificity makes it dangerous to imply that any out-of-state remote notarization automatically falls within Washington criminal jurisdiction.</w:t>
      </w:r>
    </w:p>
    <w:p>
      <w:pPr>
        <w:widowControl/>
      </w:pPr>
      <w:r>
        <w:rPr>
          <w:rFonts w:ascii="Calibri" w:hAnsi="Calibri" w:eastAsia="Calibri"/>
          <w:color w:val="202428"/>
          <w:sz w:val="22"/>
        </w:rPr>
        <w:t xml:space="preserve">If a charge were ever filed, interstate surrender would be a later governmental process—not a feature DGG controls. A person conclusively never present in the demanding state is not thereby a federal “fugitive” for mandatory rendition. 18 U.S.C. § 3182; </w:t>
      </w:r>
      <w:r>
        <w:rPr>
          <w:rFonts w:ascii="Calibri" w:hAnsi="Calibri" w:eastAsia="Calibri"/>
          <w:i/>
          <w:color w:val="202428"/>
          <w:sz w:val="22"/>
        </w:rPr>
        <w:t>Hyatt v. People ex rel. Corkran</w:t>
      </w:r>
      <w:r>
        <w:rPr>
          <w:rFonts w:ascii="Calibri" w:hAnsi="Calibri" w:eastAsia="Calibri"/>
          <w:color w:val="202428"/>
          <w:sz w:val="22"/>
        </w:rPr>
        <w:t>, 188 U.S. 691 (1903). Nonfugitive surrender, if available, depends on the asylum state’s Uniform Criminal Extradition Act provision and is discretionary, ordinarily requiring a charged out-of-state act intentionally resulting in a crime in the demanding state. RCW 10.88.250 applies when the person is found in Washington; likely signer-state analogues include 42 Pa.C.S. § 9127, A.R.S. § 13-3846, and Fla. Stat. § 941.06. Formal charging, demand, executive, counsel, and habeas procedures still apply. DGG should not discuss extradition or surrender in invitations, the oath script, public graphics, or promotional material.</w:t>
      </w:r>
    </w:p>
    <w:p>
      <w:pPr>
        <w:pStyle w:val="Heading1"/>
        <w:keepNext/>
        <w:widowControl/>
      </w:pPr>
      <w:r>
        <w:rPr>
          <w:rFonts w:ascii="Calibri" w:hAnsi="Calibri" w:eastAsia="Calibri"/>
          <w:color w:val="2E74B5"/>
          <w:sz w:val="32"/>
        </w:rPr>
        <w:t>8. Pennsylvania and other-state comparators</w:t>
      </w:r>
    </w:p>
    <w:p>
      <w:pPr>
        <w:pStyle w:val="Heading2"/>
        <w:keepNext/>
        <w:widowControl/>
      </w:pPr>
      <w:r>
        <w:rPr>
          <w:rFonts w:ascii="Calibri" w:hAnsi="Calibri" w:eastAsia="Calibri"/>
          <w:color w:val="2E74B5"/>
          <w:sz w:val="26"/>
        </w:rPr>
        <w:t>8.1 Pennsylvania: useful warning, weak backbone</w:t>
      </w:r>
    </w:p>
    <w:p>
      <w:pPr>
        <w:widowControl/>
      </w:pPr>
      <w:r>
        <w:rPr>
          <w:rFonts w:ascii="Calibri" w:hAnsi="Calibri" w:eastAsia="Calibri"/>
          <w:color w:val="202428"/>
          <w:sz w:val="22"/>
        </w:rPr>
        <w:t xml:space="preserve">Pennsylvania perjury requires a materially false statement in an official proceeding. 18 Pa.C.S. § 4902. Section 4501 defines that term as a governmental proceeding and includes notarial testimony or depositions only when connected with such a proceeding. False swearing in official matters requires an official proceeding or intent to mislead a public servant. Section 4903(a). The residual “other false swearing” offense applies only when the statement is </w:t>
      </w:r>
      <w:r>
        <w:rPr>
          <w:rFonts w:ascii="Calibri" w:hAnsi="Calibri" w:eastAsia="Calibri"/>
          <w:b/>
          <w:color w:val="202428"/>
          <w:sz w:val="22"/>
        </w:rPr>
        <w:t>required by law</w:t>
      </w:r>
      <w:r>
        <w:rPr>
          <w:rFonts w:ascii="Calibri" w:hAnsi="Calibri" w:eastAsia="Calibri"/>
          <w:color w:val="202428"/>
          <w:sz w:val="22"/>
        </w:rPr>
        <w:t xml:space="preserve"> to be sworn or affirmed before a notary or other authorized person. Section 4903(b). A private DGG rule requiring a participant to swear is not itself a legal requirement. Pennsylvania territorial applicability under 18 Pa.C.S. § 102 is a separate element.</w:t>
      </w:r>
    </w:p>
    <w:p>
      <w:pPr>
        <w:widowControl/>
      </w:pPr>
      <w:r>
        <w:rPr>
          <w:rFonts w:ascii="Calibri" w:hAnsi="Calibri" w:eastAsia="Calibri"/>
          <w:color w:val="202428"/>
          <w:sz w:val="22"/>
        </w:rPr>
        <w:t>Pennsylvania RON can make a notarial act logistically possible when the Pennsylvania notary remains in Pennsylvania and follows 57 Pa.C.S. § 306.1 and Department of State requirements. It does not supply the missing substantive element in § 4903(b). Pennsylvania also generally requires consent of all parties to record a conversation. 18 Pa.C.S. § 5704(4). The conclusion is therefore: use Pennsylvania law for Pennsylvania notary/recording compliance when necessary, not as a broader criminal-law anchor.</w:t>
      </w:r>
    </w:p>
    <w:p>
      <w:pPr>
        <w:pStyle w:val="Heading2"/>
        <w:keepNext/>
        <w:widowControl/>
      </w:pPr>
      <w:r>
        <w:rPr>
          <w:rFonts w:ascii="Calibri" w:hAnsi="Calibri" w:eastAsia="Calibri"/>
          <w:color w:val="2E74B5"/>
          <w:sz w:val="26"/>
        </w:rPr>
        <w:t>8.2 Arizona: strongest substantive text, unresolved application</w:t>
      </w:r>
    </w:p>
    <w:p>
      <w:pPr>
        <w:widowControl/>
      </w:pPr>
      <w:r>
        <w:rPr>
          <w:rFonts w:ascii="Calibri" w:hAnsi="Calibri" w:eastAsia="Calibri"/>
          <w:color w:val="202428"/>
          <w:sz w:val="22"/>
        </w:rPr>
        <w:t>Arizona’s current text defines “sworn statement” to include a notarized statement whether or not connected with an official proceeding, and false swearing punishes a person who makes a false sworn statement believing it false. A.R.S. §§ 13-2701(3), 13-2703. A materially false sworn statement may implicate perjury under § 13-2702. On the page, this is the strongest substantive comparator located.</w:t>
      </w:r>
    </w:p>
    <w:p>
      <w:pPr>
        <w:widowControl/>
      </w:pPr>
      <w:r>
        <w:rPr>
          <w:rFonts w:ascii="Calibri" w:hAnsi="Calibri" w:eastAsia="Calibri"/>
          <w:i/>
          <w:color w:val="202428"/>
          <w:sz w:val="22"/>
        </w:rPr>
        <w:t>Franzi v. Superior Court</w:t>
      </w:r>
      <w:r>
        <w:rPr>
          <w:rFonts w:ascii="Calibri" w:hAnsi="Calibri" w:eastAsia="Calibri"/>
          <w:color w:val="202428"/>
          <w:sz w:val="22"/>
        </w:rPr>
        <w:t xml:space="preserve">, 139 Ariz. 556, 679 P.2d 1043 (1984), construed the then-operative scheme to require an official proceeding. Current A.R.S. § 13-2701(3) contains contrary express language, but the exact amendment history was not reconstructed and no located reported decision resolves the current clause’s application to private media. Arizona RON also requires the notary to remain in Arizona, and territorial jurisdiction under A.R.S. § 13-108 remains an independent question for a never-present signer. Arizona is therefore the strongest </w:t>
      </w:r>
      <w:r>
        <w:rPr>
          <w:rFonts w:ascii="Calibri" w:hAnsi="Calibri" w:eastAsia="Calibri"/>
          <w:b/>
          <w:color w:val="202428"/>
          <w:sz w:val="22"/>
        </w:rPr>
        <w:t>textual and untested</w:t>
      </w:r>
      <w:r>
        <w:rPr>
          <w:rFonts w:ascii="Calibri" w:hAnsi="Calibri" w:eastAsia="Calibri"/>
          <w:color w:val="202428"/>
          <w:sz w:val="22"/>
        </w:rPr>
        <w:t xml:space="preserve"> comparator, requiring an Arizona written opinion rather than venue shopping.</w:t>
      </w:r>
    </w:p>
    <w:p>
      <w:pPr>
        <w:pStyle w:val="Heading2"/>
        <w:keepNext/>
        <w:widowControl/>
      </w:pPr>
      <w:r>
        <w:rPr>
          <w:rFonts w:ascii="Calibri" w:hAnsi="Calibri" w:eastAsia="Calibri"/>
          <w:color w:val="2E74B5"/>
          <w:sz w:val="26"/>
        </w:rPr>
        <w:t>8.3 Florida: strongest interstate-RON chassis, unresolved criminal application</w:t>
      </w:r>
    </w:p>
    <w:p>
      <w:pPr>
        <w:widowControl/>
      </w:pPr>
      <w:r>
        <w:rPr>
          <w:rFonts w:ascii="Calibri" w:hAnsi="Calibri" w:eastAsia="Calibri"/>
          <w:color w:val="202428"/>
          <w:sz w:val="22"/>
        </w:rPr>
        <w:t>Florida has a statute captioned “Perjury when not in an official proceeding,” Fla. Stat. § 837.012, but §§ 837.011(2)–(3) tie the oath and materiality elements to legally required or authorized attestation in an official proceeding or other official matter. Located cases concern affidavits or statements tied to legal or investigative matters, not a wholly private media program. Substantive application is therefore textually uncertain, untested, and may be unavailable.</w:t>
      </w:r>
    </w:p>
    <w:p>
      <w:pPr>
        <w:widowControl/>
      </w:pPr>
      <w:r>
        <w:rPr>
          <w:rFonts w:ascii="Calibri" w:hAnsi="Calibri" w:eastAsia="Calibri"/>
          <w:color w:val="202428"/>
          <w:sz w:val="22"/>
        </w:rPr>
        <w:t>Florida supplies the cleanest interstate-RON language among the audited comparators. A Florida online notary physically in Florida may serve a principal elsewhere; a compliant online notarization is deemed performed in Florida and governed by Florida law. Fla. Stat. §§ 117.209, 117.265. The statutory jurat expressly accommodates online notarization, and the journal and audiovisual record generally must be retained ten years. Fla. Stat. §§ 117.05(13), 117.245. But that choice-of-notary rule does not itself establish penal territorial jurisdiction under Fla. Stat. § 910.005. No located case combines §§ 117.265, 837.012, and 910.005 against a never-present private interviewee.</w:t>
      </w:r>
    </w:p>
    <w:p>
      <w:pPr>
        <w:pStyle w:val="Heading2"/>
        <w:keepNext/>
        <w:widowControl/>
      </w:pPr>
      <w:r>
        <w:rPr>
          <w:rFonts w:ascii="Calibri" w:hAnsi="Calibri" w:eastAsia="Calibri"/>
          <w:color w:val="2E74B5"/>
          <w:sz w:val="26"/>
        </w:rPr>
        <w:t>8.4 Four interstate questions that must not be collapsed</w:t>
      </w:r>
    </w:p>
    <w:p>
      <w:pPr>
        <w:spacing w:after="100"/>
        <w:ind w:left="720" w:hanging="360"/>
        <w:widowControl/>
        <w:numPr>
          <w:ilvl w:val="0"/>
          <w:numId w:val="26"/>
        </w:numPr>
      </w:pPr>
      <w:r>
        <w:rPr>
          <w:rFonts w:ascii="Calibri" w:hAnsi="Calibri" w:eastAsia="Calibri"/>
          <w:b/>
          <w:color w:val="202428"/>
          <w:sz w:val="22"/>
        </w:rPr>
        <w:t>Validity of the notarial act.</w:t>
      </w:r>
      <w:r>
        <w:rPr>
          <w:rFonts w:ascii="Calibri" w:hAnsi="Calibri" w:eastAsia="Calibri"/>
          <w:color w:val="202428"/>
          <w:sz w:val="22"/>
        </w:rPr>
        <w:t xml:space="preserve"> A remote signer may validly appear before a notary located in another state when that state authorizes the arrangement and all technology, identity, record, journal, and certificate rules are met.</w:t>
      </w:r>
    </w:p>
    <w:p>
      <w:pPr>
        <w:spacing w:after="100"/>
        <w:ind w:left="720" w:hanging="360"/>
        <w:widowControl/>
        <w:numPr>
          <w:ilvl w:val="0"/>
          <w:numId w:val="26"/>
        </w:numPr>
      </w:pPr>
      <w:r>
        <w:rPr>
          <w:rFonts w:ascii="Calibri" w:hAnsi="Calibri" w:eastAsia="Calibri"/>
          <w:b/>
          <w:color w:val="202428"/>
          <w:sz w:val="22"/>
        </w:rPr>
        <w:t>Recognition and evidence.</w:t>
      </w:r>
      <w:r>
        <w:rPr>
          <w:rFonts w:ascii="Calibri" w:hAnsi="Calibri" w:eastAsia="Calibri"/>
          <w:color w:val="202428"/>
          <w:sz w:val="22"/>
        </w:rPr>
        <w:t xml:space="preserve"> Effect in the receiving forum depends on that forum’s recognition statute. Recognition may authenticate the notarial act; it does not certify truth, guarantee admissibility, or import the commissioning state’s penal statute. RCW 42.45.090; 57 Pa.C.S. § 311; A.R.S. § 41-259; </w:t>
      </w:r>
      <w:r>
        <w:rPr>
          <w:rFonts w:ascii="Calibri" w:hAnsi="Calibri" w:eastAsia="Calibri"/>
          <w:i/>
          <w:color w:val="202428"/>
          <w:sz w:val="22"/>
        </w:rPr>
        <w:t>Baker v. General Motors Corp.</w:t>
      </w:r>
      <w:r>
        <w:rPr>
          <w:rFonts w:ascii="Calibri" w:hAnsi="Calibri" w:eastAsia="Calibri"/>
          <w:color w:val="202428"/>
          <w:sz w:val="22"/>
        </w:rPr>
        <w:t xml:space="preserve">, 522 U.S. 222 (1998); </w:t>
      </w:r>
      <w:r>
        <w:rPr>
          <w:rFonts w:ascii="Calibri" w:hAnsi="Calibri" w:eastAsia="Calibri"/>
          <w:i/>
          <w:color w:val="202428"/>
          <w:sz w:val="22"/>
        </w:rPr>
        <w:t>Huntington v. Attrill</w:t>
      </w:r>
      <w:r>
        <w:rPr>
          <w:rFonts w:ascii="Calibri" w:hAnsi="Calibri" w:eastAsia="Calibri"/>
          <w:color w:val="202428"/>
          <w:sz w:val="22"/>
        </w:rPr>
        <w:t>, 146 U.S. 657 (1892).</w:t>
      </w:r>
    </w:p>
    <w:p>
      <w:pPr>
        <w:spacing w:after="100"/>
        <w:ind w:left="720" w:hanging="360"/>
        <w:widowControl/>
        <w:numPr>
          <w:ilvl w:val="0"/>
          <w:numId w:val="26"/>
        </w:numPr>
      </w:pPr>
      <w:r>
        <w:rPr>
          <w:rFonts w:ascii="Calibri" w:hAnsi="Calibri" w:eastAsia="Calibri"/>
          <w:b/>
          <w:color w:val="202428"/>
          <w:sz w:val="22"/>
        </w:rPr>
        <w:t>Criminal territorial jurisdiction.</w:t>
      </w:r>
      <w:r>
        <w:rPr>
          <w:rFonts w:ascii="Calibri" w:hAnsi="Calibri" w:eastAsia="Calibri"/>
          <w:color w:val="202428"/>
          <w:sz w:val="22"/>
        </w:rPr>
        <w:t xml:space="preserve"> The prosecuting state must independently prove its offense and territorial nexus. A choice-of-law clause cannot manufacture criminal jurisdiction.</w:t>
      </w:r>
    </w:p>
    <w:p>
      <w:pPr>
        <w:spacing w:after="100"/>
        <w:ind w:left="720" w:hanging="360"/>
        <w:widowControl/>
        <w:numPr>
          <w:ilvl w:val="0"/>
          <w:numId w:val="26"/>
        </w:numPr>
      </w:pPr>
      <w:r>
        <w:rPr>
          <w:rFonts w:ascii="Calibri" w:hAnsi="Calibri" w:eastAsia="Calibri"/>
          <w:b/>
          <w:color w:val="202428"/>
          <w:sz w:val="22"/>
        </w:rPr>
        <w:t>Extradition or surrender.</w:t>
      </w:r>
      <w:r>
        <w:rPr>
          <w:rFonts w:ascii="Calibri" w:hAnsi="Calibri" w:eastAsia="Calibri"/>
          <w:color w:val="202428"/>
          <w:sz w:val="22"/>
        </w:rPr>
        <w:t xml:space="preserve"> A remote notarization does not automatically make a never-present signer a fugitive. Mandatory fugitive extradition and discretionary nonfugitive surrender are different; the latter depends on the asylum state’s statute. 18 U.S.C. § 3182; </w:t>
      </w:r>
      <w:r>
        <w:rPr>
          <w:rFonts w:ascii="Calibri" w:hAnsi="Calibri" w:eastAsia="Calibri"/>
          <w:i/>
          <w:color w:val="202428"/>
          <w:sz w:val="22"/>
        </w:rPr>
        <w:t>Hyatt v. People ex rel. Corkran</w:t>
      </w:r>
      <w:r>
        <w:rPr>
          <w:rFonts w:ascii="Calibri" w:hAnsi="Calibri" w:eastAsia="Calibri"/>
          <w:color w:val="202428"/>
          <w:sz w:val="22"/>
        </w:rPr>
        <w:t xml:space="preserve">, 188 U.S. 691 (1903); </w:t>
      </w:r>
      <w:r>
        <w:rPr>
          <w:rFonts w:ascii="Calibri" w:hAnsi="Calibri" w:eastAsia="Calibri"/>
          <w:i/>
          <w:color w:val="202428"/>
          <w:sz w:val="22"/>
        </w:rPr>
        <w:t>Strassheim v. Daily</w:t>
      </w:r>
      <w:r>
        <w:rPr>
          <w:rFonts w:ascii="Calibri" w:hAnsi="Calibri" w:eastAsia="Calibri"/>
          <w:color w:val="202428"/>
          <w:sz w:val="22"/>
        </w:rPr>
        <w:t>, 221 U.S. 280 (1911); RCW 10.88.250; 42 Pa.C.S. § 9127; A.R.S. § 13-3846; Fla. Stat. § 941.06.</w:t>
      </w:r>
    </w:p>
    <w:p>
      <w:pPr>
        <w:pStyle w:val="Heading2"/>
        <w:keepNext/>
        <w:widowControl/>
      </w:pPr>
      <w:r>
        <w:rPr>
          <w:rFonts w:ascii="Calibri" w:hAnsi="Calibri" w:eastAsia="Calibri"/>
          <w:color w:val="2E74B5"/>
          <w:sz w:val="26"/>
        </w:rPr>
        <w:t>8.5 Better “something else”: procedural integrity rather than forum shopping</w:t>
      </w:r>
    </w:p>
    <w:p>
      <w:pPr>
        <w:widowControl/>
      </w:pPr>
      <w:r>
        <w:rPr>
          <w:rFonts w:ascii="Calibri" w:hAnsi="Calibri" w:eastAsia="Calibri"/>
          <w:color w:val="202428"/>
          <w:sz w:val="22"/>
        </w:rPr>
        <w:t>The best alternative to a Washington criminal-law theory is not another state’s harsher statute. It is a contractual/editorial and scientific integrity system: exact participant adoption; independent sources; neutral questions; preserved, append-only, tamper-evident versions; complete context; correction duties; transparent methods; and third-party audit. Those controls create public value even if no criminal statute applies and avoid turning the program into a threat-based trap.</w:t>
      </w:r>
    </w:p>
    <w:p>
      <w:pPr>
        <w:pStyle w:val="Heading1"/>
        <w:keepNext/>
        <w:widowControl/>
      </w:pPr>
      <w:r>
        <w:rPr>
          <w:rFonts w:ascii="Calibri" w:hAnsi="Calibri" w:eastAsia="Calibri"/>
          <w:color w:val="2E74B5"/>
          <w:sz w:val="32"/>
        </w:rPr>
        <w:t>9. Campaign, tax, speech, and publication risks</w:t>
      </w:r>
    </w:p>
    <w:p>
      <w:pPr>
        <w:pStyle w:val="Heading2"/>
        <w:keepNext/>
        <w:widowControl/>
      </w:pPr>
      <w:r>
        <w:rPr>
          <w:rFonts w:ascii="Calibri" w:hAnsi="Calibri" w:eastAsia="Calibri"/>
          <w:color w:val="2E74B5"/>
          <w:sz w:val="26"/>
        </w:rPr>
        <w:t>9.1 Why DGG needs entity-specific advice</w:t>
      </w:r>
    </w:p>
    <w:p>
      <w:pPr>
        <w:widowControl/>
      </w:pPr>
      <w:r>
        <w:rPr>
          <w:rFonts w:ascii="Calibri" w:hAnsi="Calibri" w:eastAsia="Calibri"/>
          <w:color w:val="202428"/>
          <w:sz w:val="22"/>
        </w:rPr>
        <w:t>DGG’s public website describes a national community-driven movement using evidence-based political action, a research team, a media team, candidate and creator collaborations, funded canvassing, and liberal/Democratic messaging. Its footer states “A 501(c)(4) non-profit organization.” Its Creator Corner says DGG can help creators with candidate interviews, suggested questions, scheduling, promotion, clips, and follow-up resources. Those facts make the concept operationally relevant—and make generic “press” assumptions unsafe.</w:t>
      </w:r>
    </w:p>
    <w:p>
      <w:pPr>
        <w:widowControl/>
      </w:pPr>
      <w:r>
        <w:rPr>
          <w:rFonts w:ascii="Calibri" w:hAnsi="Calibri" w:eastAsia="Calibri"/>
          <w:color w:val="202428"/>
          <w:sz w:val="22"/>
        </w:rPr>
        <w:t>The website statement does not independently establish DGG’s legal name, EIN, state incorporation, IRS recognition, political-committee registrations, or which entity would own and fund the program. Before launch, counsel needs governing documents, IRS correspondence, current filings, Form 990s/990-Ns as applicable, PDC/FEC records, contracts, insurance, the funding source, and the responsible publisher.</w:t>
      </w:r>
    </w:p>
    <w:p>
      <w:pPr>
        <w:pStyle w:val="Heading2"/>
        <w:keepNext/>
        <w:widowControl/>
      </w:pPr>
      <w:r>
        <w:rPr>
          <w:rFonts w:ascii="Calibri" w:hAnsi="Calibri" w:eastAsia="Calibri"/>
          <w:color w:val="2E74B5"/>
          <w:sz w:val="26"/>
        </w:rPr>
        <w:t>9.2 Federal campaign coordination and press exemption</w:t>
      </w:r>
    </w:p>
    <w:p>
      <w:pPr>
        <w:widowControl/>
      </w:pPr>
      <w:r>
        <w:rPr>
          <w:rFonts w:ascii="Calibri" w:hAnsi="Calibri" w:eastAsia="Calibri"/>
          <w:color w:val="202428"/>
          <w:sz w:val="22"/>
        </w:rPr>
        <w:t>Federal coordination analysis under 11 C.F.R. § 109.21 generally asks about payment, content, and conduct. Candidate requests or suggestions, material involvement, and substantial discussions can satisfy conduct standards even without a formal written agreement. A limited safe harbor addresses candidate responses to certain inquiries about legislative or policy positions; it does not authorize sharing campaign plans, projects, activities, or needs.</w:t>
      </w:r>
    </w:p>
    <w:p>
      <w:pPr>
        <w:widowControl/>
      </w:pPr>
      <w:r>
        <w:rPr>
          <w:rFonts w:ascii="Calibri" w:hAnsi="Calibri" w:eastAsia="Calibri"/>
          <w:color w:val="202428"/>
          <w:sz w:val="22"/>
        </w:rPr>
        <w:t>The press exemption in 11 C.F.R. § 100.73 protects costs of bona fide news stories, commentary, and editorials by a press entity unless the facility is owned or controlled by a candidate, party, or political committee, subject to the regulation’s terms. FEC Advisory Opinion 2008-14 applies a fact-specific inquiry into whether an entity is a press entity and is acting in a legitimate press function. A partisan viewpoint does not alone eliminate the exemption; campaign-like services, candidate control, or departure from normal press functions can.</w:t>
      </w:r>
    </w:p>
    <w:p>
      <w:pPr>
        <w:widowControl/>
      </w:pPr>
      <w:r>
        <w:rPr>
          <w:rFonts w:ascii="Calibri" w:hAnsi="Calibri" w:eastAsia="Calibri"/>
          <w:color w:val="202428"/>
          <w:sz w:val="22"/>
        </w:rPr>
        <w:t>Required controls:</w:t>
      </w:r>
    </w:p>
    <w:p>
      <w:pPr>
        <w:spacing w:after="100"/>
        <w:ind w:left="720" w:hanging="360"/>
        <w:widowControl/>
        <w:numPr>
          <w:ilvl w:val="0"/>
          <w:numId w:val="27"/>
        </w:numPr>
      </w:pPr>
      <w:r>
        <w:rPr>
          <w:rFonts w:ascii="Calibri" w:hAnsi="Calibri" w:eastAsia="Calibri"/>
          <w:color w:val="202428"/>
          <w:sz w:val="22"/>
        </w:rPr>
        <w:t>final question content is one-way and editorially controlled by DGG under a public method;</w:t>
      </w:r>
    </w:p>
    <w:p>
      <w:pPr>
        <w:spacing w:after="100"/>
        <w:ind w:left="720" w:hanging="360"/>
        <w:widowControl/>
        <w:numPr>
          <w:ilvl w:val="0"/>
          <w:numId w:val="27"/>
        </w:numPr>
      </w:pPr>
      <w:r>
        <w:rPr>
          <w:rFonts w:ascii="Calibri" w:hAnsi="Calibri" w:eastAsia="Calibri"/>
          <w:color w:val="202428"/>
          <w:sz w:val="22"/>
        </w:rPr>
        <w:t>campaigns may identify an objectively demonstrable identity/date/source or verbatim transcription error, but DGG retains the editorial decision and campaigns may not negotiate substance, audience, release strategy, targeting, graphics, clips, promotion, or calls to action;</w:t>
      </w:r>
    </w:p>
    <w:p>
      <w:pPr>
        <w:spacing w:after="100"/>
        <w:ind w:left="720" w:hanging="360"/>
        <w:widowControl/>
        <w:numPr>
          <w:ilvl w:val="0"/>
          <w:numId w:val="27"/>
        </w:numPr>
      </w:pPr>
      <w:r>
        <w:rPr>
          <w:rFonts w:ascii="Calibri" w:hAnsi="Calibri" w:eastAsia="Calibri"/>
          <w:color w:val="202428"/>
          <w:sz w:val="22"/>
        </w:rPr>
        <w:t>every contact is logged, including participants, date, subject, documents, and whether campaign plans/needs were discussed;</w:t>
      </w:r>
    </w:p>
    <w:p>
      <w:pPr>
        <w:spacing w:after="100"/>
        <w:ind w:left="720" w:hanging="360"/>
        <w:widowControl/>
        <w:numPr>
          <w:ilvl w:val="0"/>
          <w:numId w:val="27"/>
        </w:numPr>
      </w:pPr>
      <w:r>
        <w:rPr>
          <w:rFonts w:ascii="Calibri" w:hAnsi="Calibri" w:eastAsia="Calibri"/>
          <w:color w:val="202428"/>
          <w:sz w:val="22"/>
        </w:rPr>
        <w:t>DGG tracks fair market value and actual cost of notary, research, production, clips, and distribution;</w:t>
      </w:r>
    </w:p>
    <w:p>
      <w:pPr>
        <w:spacing w:after="100"/>
        <w:ind w:left="720" w:hanging="360"/>
        <w:widowControl/>
        <w:numPr>
          <w:ilvl w:val="0"/>
          <w:numId w:val="27"/>
        </w:numPr>
      </w:pPr>
      <w:r>
        <w:rPr>
          <w:rFonts w:ascii="Calibri" w:hAnsi="Calibri" w:eastAsia="Calibri"/>
          <w:color w:val="202428"/>
          <w:sz w:val="22"/>
        </w:rPr>
        <w:t>election counsel decides, before spending, whether the activity is exempt press, an independent expenditure, an electioneering communication, a contribution/in-kind service, or another category; and</w:t>
      </w:r>
    </w:p>
    <w:p>
      <w:pPr>
        <w:spacing w:after="100"/>
        <w:ind w:left="720" w:hanging="360"/>
        <w:widowControl/>
        <w:numPr>
          <w:ilvl w:val="0"/>
          <w:numId w:val="27"/>
        </w:numPr>
      </w:pPr>
      <w:r>
        <w:rPr>
          <w:rFonts w:ascii="Calibri" w:hAnsi="Calibri" w:eastAsia="Calibri"/>
          <w:color w:val="202428"/>
          <w:sz w:val="22"/>
        </w:rPr>
        <w:t>DGG makes any required report and disclaimer rather than assuming the format’s civic purpose creates an exemption; and</w:t>
      </w:r>
    </w:p>
    <w:p>
      <w:pPr>
        <w:spacing w:after="100"/>
        <w:ind w:left="720" w:hanging="360"/>
        <w:widowControl/>
        <w:numPr>
          <w:ilvl w:val="0"/>
          <w:numId w:val="27"/>
        </w:numPr>
      </w:pPr>
      <w:r>
        <w:rPr>
          <w:rFonts w:ascii="Calibri" w:hAnsi="Calibri" w:eastAsia="Calibri"/>
          <w:color w:val="202428"/>
          <w:sz w:val="22"/>
        </w:rPr>
        <w:t>if DGG is a corporation and counsel finds a coordinated federal contribution, reporting does not cure the corporate-contribution prohibition in 11 C.F.R. § 114.2.</w:t>
      </w:r>
    </w:p>
    <w:p>
      <w:pPr>
        <w:pStyle w:val="Heading2"/>
        <w:keepNext/>
        <w:widowControl/>
      </w:pPr>
      <w:r>
        <w:rPr>
          <w:rFonts w:ascii="Calibri" w:hAnsi="Calibri" w:eastAsia="Calibri"/>
          <w:color w:val="2E74B5"/>
          <w:sz w:val="26"/>
        </w:rPr>
        <w:t>9.3 Washington campaign-finance law</w:t>
      </w:r>
    </w:p>
    <w:p>
      <w:pPr>
        <w:widowControl/>
      </w:pPr>
      <w:r>
        <w:rPr>
          <w:rFonts w:ascii="Calibri" w:hAnsi="Calibri" w:eastAsia="Calibri"/>
          <w:color w:val="202428"/>
          <w:sz w:val="22"/>
        </w:rPr>
        <w:t>Washington recodified former chapter 42.17A RCW into Title 29B effective January 1, 2026. Current definitions reach cooperative or consultative spending and republication in specified circumstances; media/news and regularly scheduled program exclusions are conditional. RCW 29B.10.160, .220, .230, .310. Special independent-expenditure reports can begin when campaign expenditures reach $100 in the same election campaign. RCW 29B.25.120. Political-ad sponsor identification and other disclaimers may apply. RCW 29B.30.050. Sponsoring, with actual malice, political advertising or an electioneering communication that contains a materially false defamatory statement about a candidate can violate RCW 29B.30.070.</w:t>
      </w:r>
    </w:p>
    <w:p>
      <w:pPr>
        <w:widowControl/>
      </w:pPr>
      <w:r>
        <w:rPr>
          <w:rFonts w:ascii="Calibri" w:hAnsi="Calibri" w:eastAsia="Calibri"/>
          <w:color w:val="202428"/>
          <w:sz w:val="22"/>
        </w:rPr>
        <w:t>The format must therefore be classified before each election use. Uniform invitations and editorial independence help but are not self-executing safe harbors. DGG should maintain a Washington PDC decision memo for each pilot and preserve the valuation, funding, content, audience, date, and candidate-contact facts used.</w:t>
      </w:r>
    </w:p>
    <w:p>
      <w:pPr>
        <w:pStyle w:val="Heading2"/>
        <w:keepNext/>
        <w:widowControl/>
      </w:pPr>
      <w:r>
        <w:rPr>
          <w:rFonts w:ascii="Calibri" w:hAnsi="Calibri" w:eastAsia="Calibri"/>
          <w:color w:val="2E74B5"/>
          <w:sz w:val="26"/>
        </w:rPr>
        <w:t>9.4 Section 501(c)(4) and tax accounting</w:t>
      </w:r>
    </w:p>
    <w:p>
      <w:pPr>
        <w:widowControl/>
      </w:pPr>
      <w:r>
        <w:rPr>
          <w:rFonts w:ascii="Calibri" w:hAnsi="Calibri" w:eastAsia="Calibri"/>
          <w:color w:val="202428"/>
          <w:sz w:val="22"/>
        </w:rPr>
        <w:t>IRS guidance permits a § 501(c)(4) social-welfare organization to engage in some political campaign intervention, but political intervention may not be its primary activity; political expenditures can also implicate I.R.C. § 527(f). DGG should separately code staff/volunteer time, vendors, notary fees, research, production, promotion, and distribution; identify restricted funds; and review the aggregate annually with tax counsel. A single pilot may be small, but a repeat media format can become a program line whose total activity matters.</w:t>
      </w:r>
    </w:p>
    <w:p>
      <w:pPr>
        <w:pStyle w:val="Heading2"/>
        <w:keepNext/>
        <w:widowControl/>
      </w:pPr>
      <w:r>
        <w:rPr>
          <w:rFonts w:ascii="Calibri" w:hAnsi="Calibri" w:eastAsia="Calibri"/>
          <w:color w:val="2E74B5"/>
          <w:sz w:val="26"/>
        </w:rPr>
        <w:t>9.5 Voluntariness, private editorial choice, and state action</w:t>
      </w:r>
    </w:p>
    <w:p>
      <w:pPr>
        <w:widowControl/>
      </w:pPr>
      <w:r>
        <w:rPr>
          <w:rFonts w:ascii="Calibri" w:hAnsi="Calibri" w:eastAsia="Calibri"/>
          <w:color w:val="202428"/>
          <w:sz w:val="22"/>
        </w:rPr>
        <w:t xml:space="preserve">The First Amendment usually constrains government, not a private media organization’s voluntary editorial format. </w:t>
      </w:r>
      <w:r>
        <w:rPr>
          <w:rFonts w:ascii="Calibri" w:hAnsi="Calibri" w:eastAsia="Calibri"/>
          <w:i/>
          <w:color w:val="202428"/>
          <w:sz w:val="22"/>
        </w:rPr>
        <w:t>Manhattan Community Access Corp. v. Halleck</w:t>
      </w:r>
      <w:r>
        <w:rPr>
          <w:rFonts w:ascii="Calibri" w:hAnsi="Calibri" w:eastAsia="Calibri"/>
          <w:color w:val="202428"/>
          <w:sz w:val="22"/>
        </w:rPr>
        <w:t>, 587 U.S. 802 (2019). DGG may generally invite, question, and publish under private editorial standards. The existence of a state-commissioned notary does not, by itself, make every DGG editorial choice state action.</w:t>
      </w:r>
    </w:p>
    <w:p>
      <w:pPr>
        <w:widowControl/>
      </w:pPr>
      <w:r>
        <w:rPr>
          <w:rFonts w:ascii="Calibri" w:hAnsi="Calibri" w:eastAsia="Calibri"/>
          <w:color w:val="202428"/>
          <w:sz w:val="22"/>
        </w:rPr>
        <w:t xml:space="preserve">That conclusion changes if a government agency co-designs the program, conditions ballot/debate/benefit access on participation, supplies official staff or resources, adopts DGG’s labels, or delegates an exclusive governmental function. Federal doctrine and Washington Constitution article I, §§ 5 and 7 would then require specific review. The pilot should use no government seal, official co-sponsor, ballot condition, access penalty, public resource, or official “truth certification.” Public officials should be warned that records prepared, used, or retained in their official capacity may be public records even on a private device. </w:t>
      </w:r>
      <w:r>
        <w:rPr>
          <w:rFonts w:ascii="Calibri" w:hAnsi="Calibri" w:eastAsia="Calibri"/>
          <w:i/>
          <w:color w:val="202428"/>
          <w:sz w:val="22"/>
        </w:rPr>
        <w:t>Nissen v. Pierce County</w:t>
      </w:r>
      <w:r>
        <w:rPr>
          <w:rFonts w:ascii="Calibri" w:hAnsi="Calibri" w:eastAsia="Calibri"/>
          <w:color w:val="202428"/>
          <w:sz w:val="22"/>
        </w:rPr>
        <w:t>, 183 Wn.2d 863, 357 P.3d 45 (2015). No one should be instructed to evade a lawful retention or disclosure duty.</w:t>
      </w:r>
    </w:p>
    <w:p>
      <w:pPr>
        <w:pStyle w:val="Heading2"/>
        <w:keepNext/>
        <w:widowControl/>
      </w:pPr>
      <w:r>
        <w:rPr>
          <w:rFonts w:ascii="Calibri" w:hAnsi="Calibri" w:eastAsia="Calibri"/>
          <w:color w:val="2E74B5"/>
          <w:sz w:val="26"/>
        </w:rPr>
        <w:t>9.6 Recording, privacy, and data</w:t>
      </w:r>
    </w:p>
    <w:p>
      <w:pPr>
        <w:widowControl/>
      </w:pPr>
      <w:r>
        <w:rPr>
          <w:rFonts w:ascii="Calibri" w:hAnsi="Calibri" w:eastAsia="Calibri"/>
          <w:color w:val="202428"/>
          <w:sz w:val="22"/>
        </w:rPr>
        <w:t>Washington generally requires consent of all participants to record a private conversation or interstate communication. RCW 9.73.030. An unlawful recording may be inadmissible, expose the recorder to civil damages and fees, and create criminal exposure. RCW 9.73.050, .060, .080. Pennsylvania likewise generally requires prior consent of all parties; intentional interception can be a felony and can support civil damages and fees. 18 Pa.C.S. §§ 5703, 5704(4), 5725. Federal one-party consent is a floor, not a safe rule when a more protective state law may apply.</w:t>
      </w:r>
    </w:p>
    <w:p>
      <w:pPr>
        <w:widowControl/>
      </w:pPr>
      <w:r>
        <w:rPr>
          <w:rFonts w:ascii="Calibri" w:hAnsi="Calibri" w:eastAsia="Calibri"/>
          <w:color w:val="202428"/>
          <w:sz w:val="22"/>
        </w:rPr>
        <w:t>DGG should apply the most protective plausibly applicable rule after location-specific review and obtain two layers of consent: signed consent before capture, then express verbal consent on the recording. The release should separately address the DGG production recording, statutory RON recording, transcription, accessibility services, AI processing, raw retention, editing, clips, promotion, syndication, and publication. Consent to one is not assumed to cover the others.</w:t>
      </w:r>
    </w:p>
    <w:p>
      <w:pPr>
        <w:widowControl/>
      </w:pPr>
      <w:r>
        <w:rPr>
          <w:rFonts w:ascii="Calibri" w:hAnsi="Calibri" w:eastAsia="Calibri"/>
          <w:color w:val="202428"/>
          <w:sz w:val="22"/>
        </w:rPr>
        <w:t>Data controls should minimize collection. A qualified RON vendor—not DGG’s media volunteers—should handle credential analysis and identity proofing. Access to raw recordings and IDs should be role-based and logged; encryption, retention, incident notification, vendor deletion, legal hold, and breach response should be written. The public CSR should not expose home address, ID number, credential images, knowledge-based-authentication answers, or journal details not legally required in the published certificate.</w:t>
      </w:r>
    </w:p>
    <w:p>
      <w:pPr>
        <w:pStyle w:val="Heading2"/>
        <w:keepNext/>
        <w:widowControl/>
      </w:pPr>
      <w:r>
        <w:rPr>
          <w:rFonts w:ascii="Calibri" w:hAnsi="Calibri" w:eastAsia="Calibri"/>
          <w:color w:val="2E74B5"/>
          <w:sz w:val="26"/>
        </w:rPr>
        <w:t>9.7 Defamation, false implication, quotes, and refusal</w:t>
      </w:r>
    </w:p>
    <w:p>
      <w:pPr>
        <w:widowControl/>
      </w:pPr>
      <w:r>
        <w:rPr>
          <w:rFonts w:ascii="Calibri" w:hAnsi="Calibri" w:eastAsia="Calibri"/>
          <w:color w:val="202428"/>
          <w:sz w:val="22"/>
        </w:rPr>
        <w:t xml:space="preserve">Candidates and officeholders often face the public-figure actual-malice standard, but that is not editorial immunity. Knowledge of probable falsity, purposeful avoidance, materially altered quotations, or a consciously false implication can create evidence of actual malice. </w:t>
      </w:r>
      <w:r>
        <w:rPr>
          <w:rFonts w:ascii="Calibri" w:hAnsi="Calibri" w:eastAsia="Calibri"/>
          <w:i/>
          <w:color w:val="202428"/>
          <w:sz w:val="22"/>
        </w:rPr>
        <w:t>Masson v. New Yorker Magazine, Inc.</w:t>
      </w:r>
      <w:r>
        <w:rPr>
          <w:rFonts w:ascii="Calibri" w:hAnsi="Calibri" w:eastAsia="Calibri"/>
          <w:color w:val="202428"/>
          <w:sz w:val="22"/>
        </w:rPr>
        <w:t xml:space="preserve">, 501 U.S. 496 (1991), holds that quotation alterations can matter when they materially change meaning. </w:t>
      </w:r>
      <w:r>
        <w:rPr>
          <w:rFonts w:ascii="Calibri" w:hAnsi="Calibri" w:eastAsia="Calibri"/>
          <w:i/>
          <w:color w:val="202428"/>
          <w:sz w:val="22"/>
        </w:rPr>
        <w:t>Mohr v. Grant</w:t>
      </w:r>
      <w:r>
        <w:rPr>
          <w:rFonts w:ascii="Calibri" w:hAnsi="Calibri" w:eastAsia="Calibri"/>
          <w:color w:val="202428"/>
          <w:sz w:val="22"/>
        </w:rPr>
        <w:t xml:space="preserve">, 153 Wn.2d 812, 108 P.3d 768 (2005), recognizes a Washington defamation-by-implication theory involving omitted facts and a false defamatory implication. Washington also recognizes false-light privacy. </w:t>
      </w:r>
      <w:r>
        <w:rPr>
          <w:rFonts w:ascii="Calibri" w:hAnsi="Calibri" w:eastAsia="Calibri"/>
          <w:i/>
          <w:color w:val="202428"/>
          <w:sz w:val="22"/>
        </w:rPr>
        <w:t>Eastwood v. Cascade Broadcasting Co.</w:t>
      </w:r>
      <w:r>
        <w:rPr>
          <w:rFonts w:ascii="Calibri" w:hAnsi="Calibri" w:eastAsia="Calibri"/>
          <w:color w:val="202428"/>
          <w:sz w:val="22"/>
        </w:rPr>
        <w:t>, 106 Wn.2d 466, 722 P.2d 1295 (1986).</w:t>
      </w:r>
    </w:p>
    <w:p>
      <w:pPr>
        <w:widowControl/>
      </w:pPr>
      <w:r>
        <w:rPr>
          <w:rFonts w:ascii="Calibri" w:hAnsi="Calibri" w:eastAsia="Calibri"/>
          <w:color w:val="202428"/>
          <w:sz w:val="22"/>
        </w:rPr>
        <w:t>The historical proposal’s “Declined Sworn Format” label is therefore rejected as a public trust score. A person may decline because of counsel, privacy, disability, technology, scheduling, campaign rules, disagreement with the unresolved legal theory, or dislike of DGG’s editing policy. DGG already knows these innocent explanations, so publishing a label designed to invite a dishonesty inference is avoidable risk.</w:t>
      </w:r>
    </w:p>
    <w:p>
      <w:pPr>
        <w:widowControl/>
      </w:pPr>
      <w:r>
        <w:rPr>
          <w:rFonts w:ascii="Calibri" w:hAnsi="Calibri" w:eastAsia="Calibri"/>
          <w:color w:val="202428"/>
          <w:sz w:val="22"/>
        </w:rPr>
        <w:t>Use only neutral publication facts and the no-inference notice in Section 5.6. Prepublication media counsel should review every headline, thumbnail, excerpt, misconduct allegation, comparative graphic, and correction. Correction and context notices must travel with clips; public access to a superseded original is a media-counsel decision, not an automatic preservation rule. DGG is responsible for its own questions, summaries, labels, and materially developed content; 47 U.S.C. § 230 is not a general shield for the publisher’s own editorial work.</w:t>
      </w:r>
    </w:p>
    <w:p>
      <w:pPr>
        <w:widowControl/>
      </w:pPr>
      <w:r>
        <w:rPr>
          <w:rFonts w:ascii="Calibri" w:hAnsi="Calibri" w:eastAsia="Calibri"/>
          <w:color w:val="202428"/>
          <w:sz w:val="22"/>
        </w:rPr>
        <w:t>Washington’s personality-rights statute also requires a written name, voice, image, editing, publication, syndication, and fundraising license calibrated to chapter 63.60 RCW. The 2026 amendments expressly address a “forged digital likeness.” DGG should prohibit false endorsement and synthetic alteration of a participant’s words, voice, or appearance, and obtain media-counsel review before AI translation, voice cleanup, dubbing, or likeness generation.</w:t>
      </w:r>
    </w:p>
    <w:p>
      <w:pPr>
        <w:pStyle w:val="Heading2"/>
        <w:keepNext/>
        <w:widowControl/>
      </w:pPr>
      <w:r>
        <w:rPr>
          <w:rFonts w:ascii="Calibri" w:hAnsi="Calibri" w:eastAsia="Calibri"/>
          <w:color w:val="2E74B5"/>
          <w:sz w:val="26"/>
        </w:rPr>
        <w:t>9.8 Coercion and prosecutorial theater</w:t>
      </w:r>
    </w:p>
    <w:p>
      <w:pPr>
        <w:widowControl/>
      </w:pPr>
      <w:r>
        <w:rPr>
          <w:rFonts w:ascii="Calibri" w:hAnsi="Calibri" w:eastAsia="Calibri"/>
          <w:color w:val="202428"/>
          <w:sz w:val="22"/>
        </w:rPr>
        <w:t>An ordinary voluntary invitation is not coercion. The risk rises when DGG tells a candidate to submit to an oath or suffer a public honesty penalty while also advertising a prosecution or extradition theory. Because DGG advances a possible “official proceeding” argument, counsel must also consider Washington witness-intimidation and tampering provisions, RCW 9A.72.110–.120. The pilot must not threaten referral, prosecution, reputational punishment, or an adverse inference; offer a benefit for a specified answer; or ask anyone to evade, alter, or withhold evidence. Participants may decline the entire process or a single question without explanation. Legal consequences appear in a counsel disclosure, not in host cross-examination or promotional copy.</w:t>
      </w:r>
    </w:p>
    <w:p>
      <w:pPr>
        <w:pStyle w:val="Heading1"/>
        <w:keepNext/>
        <w:widowControl/>
      </w:pPr>
      <w:r>
        <w:rPr>
          <w:rFonts w:ascii="Calibri" w:hAnsi="Calibri" w:eastAsia="Calibri"/>
          <w:color w:val="2E74B5"/>
          <w:sz w:val="32"/>
        </w:rPr>
        <w:t>10. Evidence architecture borrowed from research and mathematics</w:t>
      </w:r>
    </w:p>
    <w:p>
      <w:pPr>
        <w:pStyle w:val="Heading2"/>
        <w:keepNext/>
        <w:widowControl/>
      </w:pPr>
      <w:r>
        <w:rPr>
          <w:rFonts w:ascii="Calibri" w:hAnsi="Calibri" w:eastAsia="Calibri"/>
          <w:color w:val="2E74B5"/>
          <w:sz w:val="26"/>
        </w:rPr>
        <w:t>10.1 The protocol tests a process; it does not certify truth</w:t>
      </w:r>
    </w:p>
    <w:p>
      <w:pPr>
        <w:widowControl/>
      </w:pPr>
      <w:r>
        <w:rPr>
          <w:rFonts w:ascii="Calibri" w:hAnsi="Calibri" w:eastAsia="Calibri"/>
          <w:color w:val="202428"/>
          <w:sz w:val="22"/>
        </w:rPr>
        <w:t>Laboratory work supplies a reason to test solemnization, not a conclusion about politicians. Jacquemet and colleagues reported that oath-taking reduced dishonest behavior in some experimental conditions, especially a socially “loaded” context; effects were not uniform. Zickfeld and colleagues found that honesty commitments can reduce dishonesty but that competing social commitments matter. Accuracy-prompt studies show modest improvements in social-media sharing discernment, a different behavior and setting. These results justify a pilot hypothesis—not a “scientifically proven truthful” badge.</w:t>
      </w:r>
    </w:p>
    <w:p>
      <w:pPr>
        <w:widowControl/>
      </w:pPr>
      <w:r>
        <w:rPr>
          <w:rFonts w:ascii="Calibri" w:hAnsi="Calibri" w:eastAsia="Calibri"/>
          <w:color w:val="202428"/>
          <w:sz w:val="22"/>
        </w:rPr>
        <w:t>The report affirmatively excludes the famous claim that signing an honesty statement at the beginning of a form reliably increases honesty. The original paper was retracted and subsequent work failed to replicate the central effect. A retracted result must not become program copy or a design premise.</w:t>
      </w:r>
    </w:p>
    <w:p>
      <w:pPr>
        <w:pStyle w:val="Heading2"/>
        <w:keepNext/>
        <w:widowControl/>
      </w:pPr>
      <w:r>
        <w:rPr>
          <w:rFonts w:ascii="Calibri" w:hAnsi="Calibri" w:eastAsia="Calibri"/>
          <w:color w:val="2E74B5"/>
          <w:sz w:val="26"/>
        </w:rPr>
        <w:t>10.2 Preregistered hypotheses</w:t>
      </w:r>
    </w:p>
    <w:p>
      <w:pPr>
        <w:widowControl/>
      </w:pPr>
      <w:r>
        <w:rPr>
          <w:rFonts w:ascii="Calibri" w:hAnsi="Calibri" w:eastAsia="Calibri"/>
          <w:color w:val="202428"/>
          <w:sz w:val="22"/>
        </w:rPr>
        <w:t>Before inviting public figures, DGG should timestamp and publish a protocol registration with these falsifiable hypotheses:</w:t>
      </w:r>
    </w:p>
    <w:p>
      <w:pPr>
        <w:spacing w:after="100"/>
        <w:ind w:left="720" w:hanging="360"/>
        <w:widowControl/>
        <w:numPr>
          <w:ilvl w:val="0"/>
          <w:numId w:val="28"/>
        </w:numPr>
      </w:pPr>
      <w:r>
        <w:rPr>
          <w:rFonts w:ascii="Calibri" w:hAnsi="Calibri" w:eastAsia="Calibri"/>
          <w:b/>
          <w:color w:val="202428"/>
          <w:sz w:val="22"/>
        </w:rPr>
        <w:t>H1 — Classification:</w:t>
      </w:r>
      <w:r>
        <w:rPr>
          <w:rFonts w:ascii="Calibri" w:hAnsi="Calibri" w:eastAsia="Calibri"/>
          <w:color w:val="202428"/>
          <w:sz w:val="22"/>
        </w:rPr>
        <w:t xml:space="preserve"> participants exposed to the protocol more often distinguish facts, forecasts, and opinions than participants in DGG’s matched ordinary interviews.</w:t>
      </w:r>
    </w:p>
    <w:p>
      <w:pPr>
        <w:spacing w:after="100"/>
        <w:ind w:left="720" w:hanging="360"/>
        <w:widowControl/>
        <w:numPr>
          <w:ilvl w:val="0"/>
          <w:numId w:val="28"/>
        </w:numPr>
      </w:pPr>
      <w:r>
        <w:rPr>
          <w:rFonts w:ascii="Calibri" w:hAnsi="Calibri" w:eastAsia="Calibri"/>
          <w:b/>
          <w:color w:val="202428"/>
          <w:sz w:val="22"/>
        </w:rPr>
        <w:t>H2 — Qualification:</w:t>
      </w:r>
      <w:r>
        <w:rPr>
          <w:rFonts w:ascii="Calibri" w:hAnsi="Calibri" w:eastAsia="Calibri"/>
          <w:color w:val="202428"/>
          <w:sz w:val="22"/>
        </w:rPr>
        <w:t xml:space="preserve"> the sworn-record option increases appropriate “I do not know” and written qualification without increasing editing disputes.</w:t>
      </w:r>
    </w:p>
    <w:p>
      <w:pPr>
        <w:spacing w:after="100"/>
        <w:ind w:left="720" w:hanging="360"/>
        <w:widowControl/>
        <w:numPr>
          <w:ilvl w:val="0"/>
          <w:numId w:val="28"/>
        </w:numPr>
      </w:pPr>
      <w:r>
        <w:rPr>
          <w:rFonts w:ascii="Calibri" w:hAnsi="Calibri" w:eastAsia="Calibri"/>
          <w:b/>
          <w:color w:val="202428"/>
          <w:sz w:val="22"/>
        </w:rPr>
        <w:t>H3 — Sourceability:</w:t>
      </w:r>
      <w:r>
        <w:rPr>
          <w:rFonts w:ascii="Calibri" w:hAnsi="Calibri" w:eastAsia="Calibri"/>
          <w:color w:val="202428"/>
          <w:sz w:val="22"/>
        </w:rPr>
        <w:t xml:space="preserve"> a larger share of factual propositions is paired with an inspectable source.</w:t>
      </w:r>
    </w:p>
    <w:p>
      <w:pPr>
        <w:spacing w:after="100"/>
        <w:ind w:left="720" w:hanging="360"/>
        <w:widowControl/>
        <w:numPr>
          <w:ilvl w:val="0"/>
          <w:numId w:val="28"/>
        </w:numPr>
      </w:pPr>
      <w:r>
        <w:rPr>
          <w:rFonts w:ascii="Calibri" w:hAnsi="Calibri" w:eastAsia="Calibri"/>
          <w:b/>
          <w:color w:val="202428"/>
          <w:sz w:val="22"/>
        </w:rPr>
        <w:t>H4 — Correction:</w:t>
      </w:r>
      <w:r>
        <w:rPr>
          <w:rFonts w:ascii="Calibri" w:hAnsi="Calibri" w:eastAsia="Calibri"/>
          <w:color w:val="202428"/>
          <w:sz w:val="22"/>
        </w:rPr>
        <w:t xml:space="preserve"> errors are corrected faster and with more visible provenance.</w:t>
      </w:r>
    </w:p>
    <w:p>
      <w:pPr>
        <w:spacing w:after="100"/>
        <w:ind w:left="720" w:hanging="360"/>
        <w:widowControl/>
        <w:numPr>
          <w:ilvl w:val="0"/>
          <w:numId w:val="28"/>
        </w:numPr>
      </w:pPr>
      <w:r>
        <w:rPr>
          <w:rFonts w:ascii="Calibri" w:hAnsi="Calibri" w:eastAsia="Calibri"/>
          <w:b/>
          <w:color w:val="202428"/>
          <w:sz w:val="22"/>
        </w:rPr>
        <w:t>H5 — Audience comprehension:</w:t>
      </w:r>
      <w:r>
        <w:rPr>
          <w:rFonts w:ascii="Calibri" w:hAnsi="Calibri" w:eastAsia="Calibri"/>
          <w:color w:val="202428"/>
          <w:sz w:val="22"/>
        </w:rPr>
        <w:t xml:space="preserve"> viewers more accurately understand what a notary did and did not certify.</w:t>
      </w:r>
    </w:p>
    <w:p>
      <w:pPr>
        <w:spacing w:after="100"/>
        <w:ind w:left="720" w:hanging="360"/>
        <w:widowControl/>
        <w:numPr>
          <w:ilvl w:val="0"/>
          <w:numId w:val="28"/>
        </w:numPr>
      </w:pPr>
      <w:r>
        <w:rPr>
          <w:rFonts w:ascii="Calibri" w:hAnsi="Calibri" w:eastAsia="Calibri"/>
          <w:b/>
          <w:color w:val="202428"/>
          <w:sz w:val="22"/>
        </w:rPr>
        <w:t>H6 — Null safety:</w:t>
      </w:r>
      <w:r>
        <w:rPr>
          <w:rFonts w:ascii="Calibri" w:hAnsi="Calibri" w:eastAsia="Calibri"/>
          <w:color w:val="202428"/>
          <w:sz w:val="22"/>
        </w:rPr>
        <w:t xml:space="preserve"> participation/nonparticipation status does not cause viewers to infer dishonesty after the neutral no-inference language.</w:t>
      </w:r>
    </w:p>
    <w:p>
      <w:pPr>
        <w:widowControl/>
      </w:pPr>
      <w:r>
        <w:rPr>
          <w:rFonts w:ascii="Calibri" w:hAnsi="Calibri" w:eastAsia="Calibri"/>
          <w:color w:val="202428"/>
          <w:sz w:val="22"/>
        </w:rPr>
        <w:t>H6 is a safety hypothesis. If audiences still infer that nonparticipation means dishonesty, DGG must redesign or remove the public status display rather than call the effect a success.</w:t>
      </w:r>
    </w:p>
    <w:p>
      <w:pPr>
        <w:pStyle w:val="Heading2"/>
        <w:keepNext/>
        <w:widowControl/>
      </w:pPr>
      <w:r>
        <w:rPr>
          <w:rFonts w:ascii="Calibri" w:hAnsi="Calibri" w:eastAsia="Calibri"/>
          <w:color w:val="2E74B5"/>
          <w:sz w:val="26"/>
        </w:rPr>
        <w:t>10.3 Claim taxonomy and adjudication</w:t>
      </w:r>
    </w:p>
    <w:p>
      <w:pPr>
        <w:widowControl/>
      </w:pPr>
      <w:r>
        <w:rPr>
          <w:rFonts w:ascii="Calibri" w:hAnsi="Calibri" w:eastAsia="Calibri"/>
          <w:color w:val="202428"/>
          <w:sz w:val="22"/>
        </w:rPr>
        <w:t>Every statement receives a stable claim ID and one of these pre-defined types:</w:t>
      </w:r>
    </w:p>
    <w:p>
      <w:pPr>
        <w:spacing w:after="100"/>
        <w:ind w:left="720" w:hanging="360"/>
        <w:widowControl/>
        <w:numPr>
          <w:ilvl w:val="0"/>
          <w:numId w:val="29"/>
        </w:numPr>
      </w:pPr>
      <w:r>
        <w:rPr>
          <w:rFonts w:ascii="Calibri" w:hAnsi="Calibri" w:eastAsia="Calibri"/>
          <w:color w:val="202428"/>
          <w:sz w:val="22"/>
        </w:rPr>
        <w:t>past/present factual proposition;</w:t>
      </w:r>
    </w:p>
    <w:p>
      <w:pPr>
        <w:spacing w:after="100"/>
        <w:ind w:left="720" w:hanging="360"/>
        <w:widowControl/>
        <w:numPr>
          <w:ilvl w:val="0"/>
          <w:numId w:val="29"/>
        </w:numPr>
      </w:pPr>
      <w:r>
        <w:rPr>
          <w:rFonts w:ascii="Calibri" w:hAnsi="Calibri" w:eastAsia="Calibri"/>
          <w:color w:val="202428"/>
          <w:sz w:val="22"/>
        </w:rPr>
        <w:t>numerical factual proposition;</w:t>
      </w:r>
    </w:p>
    <w:p>
      <w:pPr>
        <w:spacing w:after="100"/>
        <w:ind w:left="720" w:hanging="360"/>
        <w:widowControl/>
        <w:numPr>
          <w:ilvl w:val="0"/>
          <w:numId w:val="29"/>
        </w:numPr>
      </w:pPr>
      <w:r>
        <w:rPr>
          <w:rFonts w:ascii="Calibri" w:hAnsi="Calibri" w:eastAsia="Calibri"/>
          <w:color w:val="202428"/>
          <w:sz w:val="22"/>
        </w:rPr>
        <w:t>record-dependent proposition;</w:t>
      </w:r>
    </w:p>
    <w:p>
      <w:pPr>
        <w:spacing w:after="100"/>
        <w:ind w:left="720" w:hanging="360"/>
        <w:widowControl/>
        <w:numPr>
          <w:ilvl w:val="0"/>
          <w:numId w:val="29"/>
        </w:numPr>
      </w:pPr>
      <w:r>
        <w:rPr>
          <w:rFonts w:ascii="Calibri" w:hAnsi="Calibri" w:eastAsia="Calibri"/>
          <w:color w:val="202428"/>
          <w:sz w:val="22"/>
        </w:rPr>
        <w:t>personal-knowledge proposition;</w:t>
      </w:r>
    </w:p>
    <w:p>
      <w:pPr>
        <w:spacing w:after="100"/>
        <w:ind w:left="720" w:hanging="360"/>
        <w:widowControl/>
        <w:numPr>
          <w:ilvl w:val="0"/>
          <w:numId w:val="29"/>
        </w:numPr>
      </w:pPr>
      <w:r>
        <w:rPr>
          <w:rFonts w:ascii="Calibri" w:hAnsi="Calibri" w:eastAsia="Calibri"/>
          <w:color w:val="202428"/>
          <w:sz w:val="22"/>
        </w:rPr>
        <w:t>forecast with a resolution date;</w:t>
      </w:r>
    </w:p>
    <w:p>
      <w:pPr>
        <w:spacing w:after="100"/>
        <w:ind w:left="720" w:hanging="360"/>
        <w:widowControl/>
        <w:numPr>
          <w:ilvl w:val="0"/>
          <w:numId w:val="29"/>
        </w:numPr>
      </w:pPr>
      <w:r>
        <w:rPr>
          <w:rFonts w:ascii="Calibri" w:hAnsi="Calibri" w:eastAsia="Calibri"/>
          <w:color w:val="202428"/>
          <w:sz w:val="22"/>
        </w:rPr>
        <w:t>opinion/value judgment;</w:t>
      </w:r>
    </w:p>
    <w:p>
      <w:pPr>
        <w:spacing w:after="100"/>
        <w:ind w:left="720" w:hanging="360"/>
        <w:widowControl/>
        <w:numPr>
          <w:ilvl w:val="0"/>
          <w:numId w:val="29"/>
        </w:numPr>
      </w:pPr>
      <w:r>
        <w:rPr>
          <w:rFonts w:ascii="Calibri" w:hAnsi="Calibri" w:eastAsia="Calibri"/>
          <w:color w:val="202428"/>
          <w:sz w:val="22"/>
        </w:rPr>
        <w:t>rhetorical or nonfalsifiable statement;</w:t>
      </w:r>
    </w:p>
    <w:p>
      <w:pPr>
        <w:spacing w:after="100"/>
        <w:ind w:left="720" w:hanging="360"/>
        <w:widowControl/>
        <w:numPr>
          <w:ilvl w:val="0"/>
          <w:numId w:val="29"/>
        </w:numPr>
      </w:pPr>
      <w:r>
        <w:rPr>
          <w:rFonts w:ascii="Calibri" w:hAnsi="Calibri" w:eastAsia="Calibri"/>
          <w:color w:val="202428"/>
          <w:sz w:val="22"/>
        </w:rPr>
        <w:t>procedural statement about the CSR itself.</w:t>
      </w:r>
    </w:p>
    <w:p>
      <w:pPr>
        <w:widowControl/>
      </w:pPr>
      <w:r>
        <w:rPr>
          <w:rFonts w:ascii="Calibri" w:hAnsi="Calibri" w:eastAsia="Calibri"/>
          <w:color w:val="202428"/>
          <w:sz w:val="22"/>
        </w:rPr>
        <w:t>Independent reviewers should code factual claims as Supported; Contradicted; Mixed/qualified; Indeterminate; or Not yet resolvable. “Lie” is not an evidence code because it asserts knowledge and intent. Reviewers should be blinded to sworn-status and, when practicable, participant identity until after the source assessment. Disagreements receive written reasons and a third reviewer. Report raw agreement and an appropriate reliability statistic such as Krippendorff’s alpha, but do not hide category-specific disagreement inside one summary number.</w:t>
      </w:r>
    </w:p>
    <w:p>
      <w:pPr>
        <w:pStyle w:val="Heading2"/>
        <w:keepNext/>
        <w:widowControl/>
      </w:pPr>
      <w:r>
        <w:rPr>
          <w:rFonts w:ascii="Calibri" w:hAnsi="Calibri" w:eastAsia="Calibri"/>
          <w:color w:val="2E74B5"/>
          <w:sz w:val="26"/>
        </w:rPr>
        <w:t>10.4 Forecast calibration</w:t>
      </w:r>
    </w:p>
    <w:p>
      <w:pPr>
        <w:widowControl/>
      </w:pPr>
      <w:r>
        <w:rPr>
          <w:rFonts w:ascii="Calibri" w:hAnsi="Calibri" w:eastAsia="Calibri"/>
          <w:color w:val="202428"/>
          <w:sz w:val="22"/>
        </w:rPr>
        <w:t>Only genuinely probabilistic forecasts with a predeclared resolution source should receive a Brier score:</w:t>
      </w:r>
    </w:p>
    <w:p>
      <w:pPr>
        <w:pStyle w:val="Equation"/>
        <w:widowControl/>
      </w:pPr>
      <w:r>
        <w:rPr>
          <w:rFonts w:ascii="Calibri" w:hAnsi="Calibri" w:eastAsia="Calibri"/>
          <w:color w:val="18324A"/>
          <w:sz w:val="22"/>
        </w:rPr>
        <w:t>BS =  (1/N)Σᵢ₌₁ᴺ(pᵢ − yᵢ)²,</w:t>
      </w:r>
    </w:p>
    <w:p>
      <w:pPr>
        <w:widowControl/>
      </w:pPr>
      <w:r>
        <w:rPr>
          <w:rFonts w:ascii="Calibri" w:hAnsi="Calibri" w:eastAsia="Calibri"/>
          <w:color w:val="202428"/>
          <w:sz w:val="22"/>
        </w:rPr>
        <w:t>where pᵢ is the stated probability and yᵢ is 1 if the event occurs and 0 otherwise. Lower is better. A Brier score is not itself proof of calibration, and scores should be compared only across sufficiently similar forecasting questions and populations. Past/present facts, moral claims, and yes/no sworn answers do not receive a Brier score.</w:t>
      </w:r>
    </w:p>
    <w:p>
      <w:pPr>
        <w:pStyle w:val="Heading2"/>
        <w:keepNext/>
        <w:widowControl/>
      </w:pPr>
      <w:r>
        <w:rPr>
          <w:rFonts w:ascii="Calibri" w:hAnsi="Calibri" w:eastAsia="Calibri"/>
          <w:color w:val="2E74B5"/>
          <w:sz w:val="26"/>
        </w:rPr>
        <w:t>10.5 Pilot phases</w:t>
      </w:r>
    </w:p>
    <w:p>
      <w:pPr>
        <w:widowControl/>
      </w:pPr>
      <w:r>
        <w:rPr>
          <w:rFonts w:ascii="Calibri" w:hAnsi="Calibri" w:eastAsia="Calibri"/>
          <w:b/>
          <w:color w:val="202428"/>
          <w:sz w:val="22"/>
        </w:rPr>
        <w:t>Phase 0 — Dry run.</w:t>
      </w:r>
      <w:r>
        <w:rPr>
          <w:rFonts w:ascii="Calibri" w:hAnsi="Calibri" w:eastAsia="Calibri"/>
          <w:color w:val="202428"/>
          <w:sz w:val="22"/>
        </w:rPr>
        <w:t xml:space="preserve"> Three to five noncandidate volunteers test scripts, version control, notary independence, recording consent, accessibility, RON segregation, and incident response. No criminal-law marketing; no public trust conclusions.</w:t>
      </w:r>
    </w:p>
    <w:p>
      <w:pPr>
        <w:widowControl/>
      </w:pPr>
      <w:r>
        <w:rPr>
          <w:rFonts w:ascii="Calibri" w:hAnsi="Calibri" w:eastAsia="Calibri"/>
          <w:b/>
          <w:color w:val="202428"/>
          <w:sz w:val="22"/>
        </w:rPr>
        <w:t>Phase 1 — Controlled feasibility pilot.</w:t>
      </w:r>
      <w:r>
        <w:rPr>
          <w:rFonts w:ascii="Calibri" w:hAnsi="Calibri" w:eastAsia="Calibri"/>
          <w:color w:val="202428"/>
          <w:sz w:val="22"/>
        </w:rPr>
        <w:t xml:space="preserve"> A small cohort selected under a published, viewpoint-neutral rule completes in-person Washington sessions in a nonpublic test environment. Publish no invitee list, nonparticipant status, comparative badge, or named public output. Report aggregate descriptive metrics only; do not claim population-level causal effects. Include at least two political perspectives or state clearly that the sample cannot test fairness.</w:t>
      </w:r>
    </w:p>
    <w:p>
      <w:pPr>
        <w:widowControl/>
      </w:pPr>
      <w:r>
        <w:rPr>
          <w:rFonts w:ascii="Calibri" w:hAnsi="Calibri" w:eastAsia="Calibri"/>
          <w:b/>
          <w:color w:val="202428"/>
          <w:sz w:val="22"/>
        </w:rPr>
        <w:t>Phase 2 — Audience comprehension and adverse-inference study.</w:t>
      </w:r>
      <w:r>
        <w:rPr>
          <w:rFonts w:ascii="Calibri" w:hAnsi="Calibri" w:eastAsia="Calibri"/>
          <w:color w:val="202428"/>
          <w:sz w:val="22"/>
        </w:rPr>
        <w:t xml:space="preserve"> Use mock or specifically consented materials and an independent research partner to test whether viewers understand the notary’s limited role and whether even neutral nonparticipation language creates a dishonesty inference. Conduct a power analysis before inferential claims and consider ethics/IRB review if the work is intended as generalizable human-subject research. If the predeclared safety threshold fails, retire public participation-status displays.</w:t>
      </w:r>
    </w:p>
    <w:p>
      <w:pPr>
        <w:widowControl/>
      </w:pPr>
      <w:r>
        <w:rPr>
          <w:rFonts w:ascii="Calibri" w:hAnsi="Calibri" w:eastAsia="Calibri"/>
          <w:b/>
          <w:color w:val="202428"/>
          <w:sz w:val="22"/>
        </w:rPr>
        <w:t>Phase 3 — Limited public in-person pilot.</w:t>
      </w:r>
      <w:r>
        <w:rPr>
          <w:rFonts w:ascii="Calibri" w:hAnsi="Calibri" w:eastAsia="Calibri"/>
          <w:color w:val="202428"/>
          <w:sz w:val="22"/>
        </w:rPr>
        <w:t xml:space="preserve"> Only after Phase 1 produces no unresolved protocol incident and Phase 2 passes the adverse-inference threshold. Publish only completed, participant-authorized packages under the approved correction and publicity license.</w:t>
      </w:r>
    </w:p>
    <w:p>
      <w:pPr>
        <w:widowControl/>
      </w:pPr>
      <w:r>
        <w:rPr>
          <w:rFonts w:ascii="Calibri" w:hAnsi="Calibri" w:eastAsia="Calibri"/>
          <w:b/>
          <w:color w:val="202428"/>
          <w:sz w:val="22"/>
        </w:rPr>
        <w:t>Phase 4 — Counsel-gated remote expansion.</w:t>
      </w:r>
      <w:r>
        <w:rPr>
          <w:rFonts w:ascii="Calibri" w:hAnsi="Calibri" w:eastAsia="Calibri"/>
          <w:color w:val="202428"/>
          <w:sz w:val="22"/>
        </w:rPr>
        <w:t xml:space="preserve"> Only after the prior gates, a 2027 law/rule refresh, vendor audit, and a signer-location matrix.</w:t>
      </w:r>
    </w:p>
    <w:p>
      <w:pPr>
        <w:pStyle w:val="Heading2"/>
        <w:keepNext/>
        <w:widowControl/>
      </w:pPr>
      <w:r>
        <w:rPr>
          <w:rFonts w:ascii="Calibri" w:hAnsi="Calibri" w:eastAsia="Calibri"/>
          <w:color w:val="2E74B5"/>
          <w:sz w:val="26"/>
        </w:rPr>
        <w:t>10.6 Metrics and stopping rules</w:t>
      </w:r>
    </w:p>
    <w:p>
      <w:pPr>
        <w:widowControl/>
      </w:pPr>
      <w:r>
        <w:rPr>
          <w:rFonts w:ascii="Calibri" w:hAnsi="Calibri" w:eastAsia="Calibri"/>
          <w:color w:val="202428"/>
          <w:sz w:val="22"/>
        </w:rPr>
        <w:t>Operational metrics include:</w:t>
      </w:r>
    </w:p>
    <w:p>
      <w:pPr>
        <w:spacing w:after="100"/>
        <w:ind w:left="720" w:hanging="360"/>
        <w:widowControl/>
        <w:numPr>
          <w:ilvl w:val="0"/>
          <w:numId w:val="30"/>
        </w:numPr>
      </w:pPr>
      <w:r>
        <w:rPr>
          <w:rFonts w:ascii="Calibri" w:hAnsi="Calibri" w:eastAsia="Calibri"/>
          <w:color w:val="202428"/>
          <w:sz w:val="22"/>
        </w:rPr>
        <w:t>valid-consent rate;</w:t>
      </w:r>
    </w:p>
    <w:p>
      <w:pPr>
        <w:spacing w:after="100"/>
        <w:ind w:left="720" w:hanging="360"/>
        <w:widowControl/>
        <w:numPr>
          <w:ilvl w:val="0"/>
          <w:numId w:val="30"/>
        </w:numPr>
      </w:pPr>
      <w:r>
        <w:rPr>
          <w:rFonts w:ascii="Calibri" w:hAnsi="Calibri" w:eastAsia="Calibri"/>
          <w:color w:val="202428"/>
          <w:sz w:val="22"/>
        </w:rPr>
        <w:t>exact CSR/version match rate;</w:t>
      </w:r>
    </w:p>
    <w:p>
      <w:pPr>
        <w:spacing w:after="100"/>
        <w:ind w:left="720" w:hanging="360"/>
        <w:widowControl/>
        <w:numPr>
          <w:ilvl w:val="0"/>
          <w:numId w:val="30"/>
        </w:numPr>
      </w:pPr>
      <w:r>
        <w:rPr>
          <w:rFonts w:ascii="Calibri" w:hAnsi="Calibri" w:eastAsia="Calibri"/>
          <w:color w:val="202428"/>
          <w:sz w:val="22"/>
        </w:rPr>
        <w:t>identity/notary completion rate;</w:t>
      </w:r>
    </w:p>
    <w:p>
      <w:pPr>
        <w:spacing w:after="100"/>
        <w:ind w:left="720" w:hanging="360"/>
        <w:widowControl/>
        <w:numPr>
          <w:ilvl w:val="0"/>
          <w:numId w:val="30"/>
        </w:numPr>
      </w:pPr>
      <w:r>
        <w:rPr>
          <w:rFonts w:ascii="Calibri" w:hAnsi="Calibri" w:eastAsia="Calibri"/>
          <w:color w:val="202428"/>
          <w:sz w:val="22"/>
        </w:rPr>
        <w:t>question response, “I do not know,” qualification, and question-decline rates;</w:t>
      </w:r>
    </w:p>
    <w:p>
      <w:pPr>
        <w:spacing w:after="100"/>
        <w:ind w:left="720" w:hanging="360"/>
        <w:widowControl/>
        <w:numPr>
          <w:ilvl w:val="0"/>
          <w:numId w:val="30"/>
        </w:numPr>
      </w:pPr>
      <w:r>
        <w:rPr>
          <w:rFonts w:ascii="Calibri" w:hAnsi="Calibri" w:eastAsia="Calibri"/>
          <w:color w:val="202428"/>
          <w:sz w:val="22"/>
        </w:rPr>
        <w:t>source-link completeness;</w:t>
      </w:r>
    </w:p>
    <w:p>
      <w:pPr>
        <w:spacing w:after="100"/>
        <w:ind w:left="720" w:hanging="360"/>
        <w:widowControl/>
        <w:numPr>
          <w:ilvl w:val="0"/>
          <w:numId w:val="30"/>
        </w:numPr>
      </w:pPr>
      <w:r>
        <w:rPr>
          <w:rFonts w:ascii="Calibri" w:hAnsi="Calibri" w:eastAsia="Calibri"/>
          <w:color w:val="202428"/>
          <w:sz w:val="22"/>
        </w:rPr>
        <w:t>reviewer agreement by claim type;</w:t>
      </w:r>
    </w:p>
    <w:p>
      <w:pPr>
        <w:spacing w:after="100"/>
        <w:ind w:left="720" w:hanging="360"/>
        <w:widowControl/>
        <w:numPr>
          <w:ilvl w:val="0"/>
          <w:numId w:val="30"/>
        </w:numPr>
      </w:pPr>
      <w:r>
        <w:rPr>
          <w:rFonts w:ascii="Calibri" w:hAnsi="Calibri" w:eastAsia="Calibri"/>
          <w:color w:val="202428"/>
          <w:sz w:val="22"/>
        </w:rPr>
        <w:t>correction count, correction latency, and proportion of affected derivatives fixed;</w:t>
      </w:r>
    </w:p>
    <w:p>
      <w:pPr>
        <w:spacing w:after="100"/>
        <w:ind w:left="720" w:hanging="360"/>
        <w:widowControl/>
        <w:numPr>
          <w:ilvl w:val="0"/>
          <w:numId w:val="30"/>
        </w:numPr>
      </w:pPr>
      <w:r>
        <w:rPr>
          <w:rFonts w:ascii="Calibri" w:hAnsi="Calibri" w:eastAsia="Calibri"/>
          <w:color w:val="202428"/>
          <w:sz w:val="22"/>
        </w:rPr>
        <w:t>audience comprehension of what the notary certified;</w:t>
      </w:r>
    </w:p>
    <w:p>
      <w:pPr>
        <w:spacing w:after="100"/>
        <w:ind w:left="720" w:hanging="360"/>
        <w:widowControl/>
        <w:numPr>
          <w:ilvl w:val="0"/>
          <w:numId w:val="30"/>
        </w:numPr>
      </w:pPr>
      <w:r>
        <w:rPr>
          <w:rFonts w:ascii="Calibri" w:hAnsi="Calibri" w:eastAsia="Calibri"/>
          <w:color w:val="202428"/>
          <w:sz w:val="22"/>
        </w:rPr>
        <w:t>adverse-inference rate for nonparticipation;</w:t>
      </w:r>
    </w:p>
    <w:p>
      <w:pPr>
        <w:spacing w:after="100"/>
        <w:ind w:left="720" w:hanging="360"/>
        <w:widowControl/>
        <w:numPr>
          <w:ilvl w:val="0"/>
          <w:numId w:val="30"/>
        </w:numPr>
      </w:pPr>
      <w:r>
        <w:rPr>
          <w:rFonts w:ascii="Calibri" w:hAnsi="Calibri" w:eastAsia="Calibri"/>
          <w:color w:val="202428"/>
          <w:sz w:val="22"/>
        </w:rPr>
        <w:t>campaign-contact exceptions;</w:t>
      </w:r>
    </w:p>
    <w:p>
      <w:pPr>
        <w:spacing w:after="100"/>
        <w:ind w:left="720" w:hanging="360"/>
        <w:widowControl/>
        <w:numPr>
          <w:ilvl w:val="0"/>
          <w:numId w:val="30"/>
        </w:numPr>
      </w:pPr>
      <w:r>
        <w:rPr>
          <w:rFonts w:ascii="Calibri" w:hAnsi="Calibri" w:eastAsia="Calibri"/>
          <w:color w:val="202428"/>
          <w:sz w:val="22"/>
        </w:rPr>
        <w:t>recording/privacy incidents;</w:t>
      </w:r>
    </w:p>
    <w:p>
      <w:pPr>
        <w:spacing w:after="100"/>
        <w:ind w:left="720" w:hanging="360"/>
        <w:widowControl/>
        <w:numPr>
          <w:ilvl w:val="0"/>
          <w:numId w:val="30"/>
        </w:numPr>
      </w:pPr>
      <w:r>
        <w:rPr>
          <w:rFonts w:ascii="Calibri" w:hAnsi="Calibri" w:eastAsia="Calibri"/>
          <w:color w:val="202428"/>
          <w:sz w:val="22"/>
        </w:rPr>
        <w:t>counsel escalations; and</w:t>
      </w:r>
    </w:p>
    <w:p>
      <w:pPr>
        <w:spacing w:after="100"/>
        <w:ind w:left="720" w:hanging="360"/>
        <w:widowControl/>
        <w:numPr>
          <w:ilvl w:val="0"/>
          <w:numId w:val="30"/>
        </w:numPr>
      </w:pPr>
      <w:r>
        <w:rPr>
          <w:rFonts w:ascii="Calibri" w:hAnsi="Calibri" w:eastAsia="Calibri"/>
          <w:color w:val="202428"/>
          <w:sz w:val="22"/>
        </w:rPr>
        <w:t>participant burden/accessibility complaints.</w:t>
      </w:r>
    </w:p>
    <w:p>
      <w:pPr>
        <w:widowControl/>
      </w:pPr>
      <w:r>
        <w:rPr>
          <w:rFonts w:ascii="Calibri" w:hAnsi="Calibri" w:eastAsia="Calibri"/>
          <w:color w:val="202428"/>
          <w:sz w:val="22"/>
        </w:rPr>
        <w:t>Mandatory pause events are: an ambiguous oath boundary; incorrect record or certificate; preconsent recording; campaign substantive involvement; missing notary authority/endorsement/location; publication of a materially altered quote; identity/data exposure; an adverse label; a regulator or prosecutor contact; or a credible legal claim. “No prosecution occurred” is not a success metric.</w:t>
      </w:r>
    </w:p>
    <w:p>
      <w:pPr>
        <w:pStyle w:val="Heading2"/>
        <w:keepNext/>
        <w:widowControl/>
      </w:pPr>
      <w:r>
        <w:rPr>
          <w:rFonts w:ascii="Calibri" w:hAnsi="Calibri" w:eastAsia="Calibri"/>
          <w:color w:val="2E74B5"/>
          <w:sz w:val="26"/>
        </w:rPr>
        <w:t>10.7 Auditability and falsification</w:t>
      </w:r>
    </w:p>
    <w:p>
      <w:pPr>
        <w:widowControl/>
      </w:pPr>
      <w:r>
        <w:rPr>
          <w:rFonts w:ascii="Calibri" w:hAnsi="Calibri" w:eastAsia="Calibri"/>
          <w:color w:val="202428"/>
          <w:sz w:val="22"/>
        </w:rPr>
        <w:t>The evaluation team should attempt to disprove the program’s own claims. It should publish null and adverse results, source changes, protocol deviations, reviewer disagreements, and all retired metrics. Each major legal conclusion uses a two-key check: one reviewer validates the substantive rule and effective date; another validates that the operational facts actually satisfy the rule. Hashes show whether a file changed; they do not show whether the original content was true.</w:t>
      </w:r>
    </w:p>
    <w:p>
      <w:pPr>
        <w:pStyle w:val="Heading1"/>
        <w:keepNext/>
        <w:widowControl/>
      </w:pPr>
      <w:r>
        <w:rPr>
          <w:rFonts w:ascii="Calibri" w:hAnsi="Calibri" w:eastAsia="Calibri"/>
          <w:color w:val="2E74B5"/>
          <w:sz w:val="32"/>
        </w:rPr>
        <w:t>11. Launch gates and decision matrix</w:t>
      </w:r>
    </w:p>
    <w:p>
      <w:pPr>
        <w:pStyle w:val="Heading2"/>
        <w:keepNext/>
        <w:widowControl/>
      </w:pPr>
      <w:r>
        <w:rPr>
          <w:rFonts w:ascii="Calibri" w:hAnsi="Calibri" w:eastAsia="Calibri"/>
          <w:color w:val="2E74B5"/>
          <w:sz w:val="26"/>
        </w:rPr>
        <w:t>11.1 Required gates</w:t>
      </w:r>
    </w:p>
    <w:p>
      <w:pPr>
        <w:widowControl/>
      </w:pPr>
      <w:r>
        <w:rPr>
          <w:rFonts w:ascii="Calibri" w:hAnsi="Calibri" w:eastAsia="Calibri"/>
          <w:color w:val="202428"/>
          <w:sz w:val="22"/>
        </w:rPr>
        <w:t>DGG may proceed to a public pilot only when every item is documented:</w:t>
      </w:r>
    </w:p>
    <w:p>
      <w:pPr>
        <w:spacing w:after="100"/>
        <w:ind w:left="720" w:hanging="360"/>
        <w:widowControl/>
        <w:numPr>
          <w:ilvl w:val="0"/>
          <w:numId w:val="31"/>
        </w:numPr>
      </w:pPr>
      <w:r>
        <w:rPr>
          <w:rFonts w:ascii="Calibri" w:hAnsi="Calibri" w:eastAsia="Calibri"/>
          <w:b/>
          <w:color w:val="202428"/>
          <w:sz w:val="22"/>
        </w:rPr>
        <w:t>Entity:</w:t>
      </w:r>
      <w:r>
        <w:rPr>
          <w:rFonts w:ascii="Calibri" w:hAnsi="Calibri" w:eastAsia="Calibri"/>
          <w:color w:val="202428"/>
          <w:sz w:val="22"/>
        </w:rPr>
        <w:t xml:space="preserve"> legal name, EIN, incorporation, tax status, responsible publisher, funding source, insurance, and campaign registrations verified.</w:t>
      </w:r>
    </w:p>
    <w:p>
      <w:pPr>
        <w:spacing w:after="100"/>
        <w:ind w:left="720" w:hanging="360"/>
        <w:widowControl/>
        <w:numPr>
          <w:ilvl w:val="0"/>
          <w:numId w:val="31"/>
        </w:numPr>
      </w:pPr>
      <w:r>
        <w:rPr>
          <w:rFonts w:ascii="Calibri" w:hAnsi="Calibri" w:eastAsia="Calibri"/>
          <w:b/>
          <w:color w:val="202428"/>
          <w:sz w:val="22"/>
        </w:rPr>
        <w:t>Counsel:</w:t>
      </w:r>
      <w:r>
        <w:rPr>
          <w:rFonts w:ascii="Calibri" w:hAnsi="Calibri" w:eastAsia="Calibri"/>
          <w:color w:val="202428"/>
          <w:sz w:val="22"/>
        </w:rPr>
        <w:t xml:space="preserve"> Washington criminal/notary, election, media/defamation, privacy/recording, and tax counsel approve the fixed form and workflow; other-state counsel approves each remote signer location.</w:t>
      </w:r>
    </w:p>
    <w:p>
      <w:pPr>
        <w:spacing w:after="100"/>
        <w:ind w:left="720" w:hanging="360"/>
        <w:widowControl/>
        <w:numPr>
          <w:ilvl w:val="0"/>
          <w:numId w:val="31"/>
        </w:numPr>
      </w:pPr>
      <w:r>
        <w:rPr>
          <w:rFonts w:ascii="Calibri" w:hAnsi="Calibri" w:eastAsia="Calibri"/>
          <w:b/>
          <w:color w:val="202428"/>
          <w:sz w:val="22"/>
        </w:rPr>
        <w:t>Notary:</w:t>
      </w:r>
      <w:r>
        <w:rPr>
          <w:rFonts w:ascii="Calibri" w:hAnsi="Calibri" w:eastAsia="Calibri"/>
          <w:color w:val="202428"/>
          <w:sz w:val="22"/>
        </w:rPr>
        <w:t xml:space="preserve"> independent, active, conflict-cleared, appropriately endorsed, vendor-ready, paid only lawful disclosed fees/charges under WAC 308-30-220, and trained only on the counsel-approved protocol.</w:t>
      </w:r>
    </w:p>
    <w:p>
      <w:pPr>
        <w:spacing w:after="100"/>
        <w:ind w:left="720" w:hanging="360"/>
        <w:widowControl/>
        <w:numPr>
          <w:ilvl w:val="0"/>
          <w:numId w:val="31"/>
        </w:numPr>
      </w:pPr>
      <w:r>
        <w:rPr>
          <w:rFonts w:ascii="Calibri" w:hAnsi="Calibri" w:eastAsia="Calibri"/>
          <w:b/>
          <w:color w:val="202428"/>
          <w:sz w:val="22"/>
        </w:rPr>
        <w:t>Form:</w:t>
      </w:r>
      <w:r>
        <w:rPr>
          <w:rFonts w:ascii="Calibri" w:hAnsi="Calibri" w:eastAsia="Calibri"/>
          <w:color w:val="202428"/>
          <w:sz w:val="22"/>
        </w:rPr>
        <w:t xml:space="preserve"> one frozen CSR template, statutory jurat, oath/close scripts, version/hash rules, neutral status copy, and correction supplement approved.</w:t>
      </w:r>
    </w:p>
    <w:p>
      <w:pPr>
        <w:spacing w:after="100"/>
        <w:ind w:left="720" w:hanging="360"/>
        <w:widowControl/>
        <w:numPr>
          <w:ilvl w:val="0"/>
          <w:numId w:val="31"/>
        </w:numPr>
      </w:pPr>
      <w:r>
        <w:rPr>
          <w:rFonts w:ascii="Calibri" w:hAnsi="Calibri" w:eastAsia="Calibri"/>
          <w:b/>
          <w:color w:val="202428"/>
          <w:sz w:val="22"/>
        </w:rPr>
        <w:t>Recording/data:</w:t>
      </w:r>
      <w:r>
        <w:rPr>
          <w:rFonts w:ascii="Calibri" w:hAnsi="Calibri" w:eastAsia="Calibri"/>
          <w:color w:val="202428"/>
          <w:sz w:val="22"/>
        </w:rPr>
        <w:t xml:space="preserve"> location matrix, written and recorded consent, no preconsent auto-capture, vendor agreements, segregated RON/production records, access control, retention, breach response, and legal hold.</w:t>
      </w:r>
    </w:p>
    <w:p>
      <w:pPr>
        <w:spacing w:after="100"/>
        <w:ind w:left="720" w:hanging="360"/>
        <w:widowControl/>
        <w:numPr>
          <w:ilvl w:val="0"/>
          <w:numId w:val="31"/>
        </w:numPr>
      </w:pPr>
      <w:r>
        <w:rPr>
          <w:rFonts w:ascii="Calibri" w:hAnsi="Calibri" w:eastAsia="Calibri"/>
          <w:b/>
          <w:color w:val="202428"/>
          <w:sz w:val="22"/>
        </w:rPr>
        <w:t>Campaign:</w:t>
      </w:r>
      <w:r>
        <w:rPr>
          <w:rFonts w:ascii="Calibri" w:hAnsi="Calibri" w:eastAsia="Calibri"/>
          <w:color w:val="202428"/>
          <w:sz w:val="22"/>
        </w:rPr>
        <w:t xml:space="preserve"> public eligibility rule, equal invitation method, editorial firewall, contact log, cost ledger, classification memo, reporting/disclaimers, and no campaign content control.</w:t>
      </w:r>
    </w:p>
    <w:p>
      <w:pPr>
        <w:spacing w:after="100"/>
        <w:ind w:left="720" w:hanging="360"/>
        <w:widowControl/>
        <w:numPr>
          <w:ilvl w:val="0"/>
          <w:numId w:val="31"/>
        </w:numPr>
      </w:pPr>
      <w:r>
        <w:rPr>
          <w:rFonts w:ascii="Calibri" w:hAnsi="Calibri" w:eastAsia="Calibri"/>
          <w:b/>
          <w:color w:val="202428"/>
          <w:sz w:val="22"/>
        </w:rPr>
        <w:t>Publication:</w:t>
      </w:r>
      <w:r>
        <w:rPr>
          <w:rFonts w:ascii="Calibri" w:hAnsi="Calibri" w:eastAsia="Calibri"/>
          <w:color w:val="202428"/>
          <w:sz w:val="22"/>
        </w:rPr>
        <w:t xml:space="preserve"> complete context, no adverse refusal label, no truth certification, prepublication review, provenance links, and derivative correction system.</w:t>
      </w:r>
    </w:p>
    <w:p>
      <w:pPr>
        <w:spacing w:after="100"/>
        <w:ind w:left="720" w:hanging="360"/>
        <w:widowControl/>
        <w:numPr>
          <w:ilvl w:val="0"/>
          <w:numId w:val="31"/>
        </w:numPr>
      </w:pPr>
      <w:r>
        <w:rPr>
          <w:rFonts w:ascii="Calibri" w:hAnsi="Calibri" w:eastAsia="Calibri"/>
          <w:b/>
          <w:color w:val="202428"/>
          <w:sz w:val="22"/>
        </w:rPr>
        <w:t>Research:</w:t>
      </w:r>
      <w:r>
        <w:rPr>
          <w:rFonts w:ascii="Calibri" w:hAnsi="Calibri" w:eastAsia="Calibri"/>
          <w:color w:val="202428"/>
          <w:sz w:val="22"/>
        </w:rPr>
        <w:t xml:space="preserve"> preregistration, claim codebook, independent reviewers, adverse-result publication, accessibility plan, and stopping authority.</w:t>
      </w:r>
    </w:p>
    <w:p>
      <w:pPr>
        <w:pStyle w:val="Heading2"/>
        <w:keepNext/>
        <w:widowControl/>
      </w:pPr>
      <w:r>
        <w:rPr>
          <w:rFonts w:ascii="Calibri" w:hAnsi="Calibri" w:eastAsia="Calibri"/>
          <w:color w:val="2E74B5"/>
          <w:sz w:val="26"/>
        </w:rPr>
        <w:t>11.2 Option matrix</w:t>
      </w:r>
    </w:p>
    <w:p>
      <w:pPr>
        <w:widowControl/>
      </w:pPr>
      <w:r>
        <w:rPr>
          <w:rFonts w:ascii="Calibri" w:hAnsi="Calibri" w:eastAsia="Calibri"/>
          <w:b/>
          <w:color w:val="202428"/>
          <w:sz w:val="22"/>
        </w:rPr>
        <w:t>Option A — In-person Washington CSR pilot (recommended).</w:t>
      </w:r>
      <w:r>
        <w:rPr>
          <w:rFonts w:ascii="Calibri" w:hAnsi="Calibri" w:eastAsia="Calibri"/>
          <w:color w:val="202428"/>
          <w:sz w:val="22"/>
        </w:rPr>
        <w:t xml:space="preserve"> Highest control, clearest appearance/signature facts, simplest recording/location analysis, and easiest visual separation. Use nonpublicly for Phase 1 and publicly only after the Phase 2 safety gate.</w:t>
      </w:r>
    </w:p>
    <w:p>
      <w:pPr>
        <w:widowControl/>
      </w:pPr>
      <w:r>
        <w:rPr>
          <w:rFonts w:ascii="Calibri" w:hAnsi="Calibri" w:eastAsia="Calibri"/>
          <w:b/>
          <w:color w:val="202428"/>
          <w:sz w:val="22"/>
        </w:rPr>
        <w:t>Option B — Washington RON for U.S. signers (later).</w:t>
      </w:r>
      <w:r>
        <w:rPr>
          <w:rFonts w:ascii="Calibri" w:hAnsi="Calibri" w:eastAsia="Calibri"/>
          <w:color w:val="202428"/>
          <w:sz w:val="22"/>
        </w:rPr>
        <w:t xml:space="preserve"> Scalable but adds identity proofing, vendor, 10-year audiovisual storage, separate-recording, signer-state, campaign, and territorial-jurisdiction issues. Use only in Phase 4 after the earlier safety gates and signer-state opinions.</w:t>
      </w:r>
    </w:p>
    <w:p>
      <w:pPr>
        <w:widowControl/>
      </w:pPr>
      <w:r>
        <w:rPr>
          <w:rFonts w:ascii="Calibri" w:hAnsi="Calibri" w:eastAsia="Calibri"/>
          <w:b/>
          <w:color w:val="202428"/>
          <w:sz w:val="22"/>
        </w:rPr>
        <w:t>Option C — Pennsylvania substantive-law pilot.</w:t>
      </w:r>
      <w:r>
        <w:rPr>
          <w:rFonts w:ascii="Calibri" w:hAnsi="Calibri" w:eastAsia="Calibri"/>
          <w:color w:val="202428"/>
          <w:sz w:val="22"/>
        </w:rPr>
        <w:t xml:space="preserve"> Not recommended. Pennsylvania notarization is possible, but the residual false-swearing statute generally requires that law itself require the oath.</w:t>
      </w:r>
    </w:p>
    <w:p>
      <w:pPr>
        <w:widowControl/>
      </w:pPr>
      <w:r>
        <w:rPr>
          <w:rFonts w:ascii="Calibri" w:hAnsi="Calibri" w:eastAsia="Calibri"/>
          <w:b/>
          <w:color w:val="202428"/>
          <w:sz w:val="22"/>
        </w:rPr>
        <w:t>Option D — Comparator-state pilot (Arizona or Florida).</w:t>
      </w:r>
      <w:r>
        <w:rPr>
          <w:rFonts w:ascii="Calibri" w:hAnsi="Calibri" w:eastAsia="Calibri"/>
          <w:color w:val="202428"/>
          <w:sz w:val="22"/>
        </w:rPr>
        <w:t xml:space="preserve"> Not recommended as a shortcut. Arizona has the strongest current substantive text but no located private-media application; Florida has the strongest interstate-RON chassis but an unresolved “official matter” and territorial-jurisdiction question. Local counsel and an independent policy justification would be required.</w:t>
      </w:r>
    </w:p>
    <w:p>
      <w:pPr>
        <w:widowControl/>
      </w:pPr>
      <w:r>
        <w:rPr>
          <w:rFonts w:ascii="Calibri" w:hAnsi="Calibri" w:eastAsia="Calibri"/>
          <w:b/>
          <w:color w:val="202428"/>
          <w:sz w:val="22"/>
        </w:rPr>
        <w:t>Option E — Non-notarial evidence protocol.</w:t>
      </w:r>
      <w:r>
        <w:rPr>
          <w:rFonts w:ascii="Calibri" w:hAnsi="Calibri" w:eastAsia="Calibri"/>
          <w:color w:val="202428"/>
          <w:sz w:val="22"/>
        </w:rPr>
        <w:t xml:space="preserve"> Legally simplest and valuable if DGG wants rapid deployment: exact participant-certified statements, transparent sources, independent fact review, versioned corrections, and no criminal-law representation. This is the fallback if counsel is uncomfortable with the oath theory.</w:t>
      </w:r>
    </w:p>
    <w:p>
      <w:pPr>
        <w:pStyle w:val="Heading2"/>
        <w:keepNext/>
        <w:widowControl/>
      </w:pPr>
      <w:r>
        <w:rPr>
          <w:rFonts w:ascii="Calibri" w:hAnsi="Calibri" w:eastAsia="Calibri"/>
          <w:color w:val="2E74B5"/>
          <w:sz w:val="26"/>
        </w:rPr>
        <w:t>11.3 Counsel questions that must receive written answers</w:t>
      </w:r>
    </w:p>
    <w:p>
      <w:pPr>
        <w:spacing w:after="100"/>
        <w:ind w:left="720" w:hanging="360"/>
        <w:widowControl/>
        <w:numPr>
          <w:ilvl w:val="0"/>
          <w:numId w:val="32"/>
        </w:numPr>
      </w:pPr>
      <w:r>
        <w:rPr>
          <w:rFonts w:ascii="Calibri" w:hAnsi="Calibri" w:eastAsia="Calibri"/>
          <w:color w:val="202428"/>
          <w:sz w:val="22"/>
        </w:rPr>
        <w:t>Does the approved CSR and ceremony create an oath “required or authorized by law” for RCW 9A.72.040 on these facts?</w:t>
      </w:r>
    </w:p>
    <w:p>
      <w:pPr>
        <w:spacing w:after="100"/>
        <w:ind w:left="720" w:hanging="360"/>
        <w:widowControl/>
        <w:numPr>
          <w:ilvl w:val="0"/>
          <w:numId w:val="32"/>
        </w:numPr>
      </w:pPr>
      <w:r>
        <w:rPr>
          <w:rFonts w:ascii="Calibri" w:hAnsi="Calibri" w:eastAsia="Calibri"/>
          <w:color w:val="202428"/>
          <w:sz w:val="22"/>
        </w:rPr>
        <w:t>Is there a credible contrary Washington interpretation that makes “official proceeding” unavailable for RCW 9A.72.020, and what public phrasing accurately reflects uncertainty?</w:t>
      </w:r>
    </w:p>
    <w:p>
      <w:pPr>
        <w:spacing w:after="100"/>
        <w:ind w:left="720" w:hanging="360"/>
        <w:widowControl/>
        <w:numPr>
          <w:ilvl w:val="0"/>
          <w:numId w:val="32"/>
        </w:numPr>
      </w:pPr>
      <w:r>
        <w:rPr>
          <w:rFonts w:ascii="Calibri" w:hAnsi="Calibri" w:eastAsia="Calibri"/>
          <w:color w:val="202428"/>
          <w:sz w:val="22"/>
        </w:rPr>
        <w:t>Which entity pays, owns, publishes, and bears campaign-finance/tax responsibility?</w:t>
      </w:r>
    </w:p>
    <w:p>
      <w:pPr>
        <w:spacing w:after="100"/>
        <w:ind w:left="720" w:hanging="360"/>
        <w:widowControl/>
        <w:numPr>
          <w:ilvl w:val="0"/>
          <w:numId w:val="32"/>
        </w:numPr>
      </w:pPr>
      <w:r>
        <w:rPr>
          <w:rFonts w:ascii="Calibri" w:hAnsi="Calibri" w:eastAsia="Calibri"/>
          <w:color w:val="202428"/>
          <w:sz w:val="22"/>
        </w:rPr>
        <w:t>Does DGG qualify for a federal and Washington media/news exclusion for this exact operation?</w:t>
      </w:r>
    </w:p>
    <w:p>
      <w:pPr>
        <w:spacing w:after="100"/>
        <w:ind w:left="720" w:hanging="360"/>
        <w:widowControl/>
        <w:numPr>
          <w:ilvl w:val="0"/>
          <w:numId w:val="32"/>
        </w:numPr>
      </w:pPr>
      <w:r>
        <w:rPr>
          <w:rFonts w:ascii="Calibri" w:hAnsi="Calibri" w:eastAsia="Calibri"/>
          <w:color w:val="202428"/>
          <w:sz w:val="22"/>
        </w:rPr>
        <w:t>What campaign contacts are allowed, logged, valued, reported, and disclosed?</w:t>
      </w:r>
    </w:p>
    <w:p>
      <w:pPr>
        <w:spacing w:after="100"/>
        <w:ind w:left="720" w:hanging="360"/>
        <w:widowControl/>
        <w:numPr>
          <w:ilvl w:val="0"/>
          <w:numId w:val="32"/>
        </w:numPr>
      </w:pPr>
      <w:r>
        <w:rPr>
          <w:rFonts w:ascii="Calibri" w:hAnsi="Calibri" w:eastAsia="Calibri"/>
          <w:color w:val="202428"/>
          <w:sz w:val="22"/>
        </w:rPr>
        <w:t>What state recording/privacy law governs each participant and vendor?</w:t>
      </w:r>
    </w:p>
    <w:p>
      <w:pPr>
        <w:spacing w:after="100"/>
        <w:ind w:left="720" w:hanging="360"/>
        <w:widowControl/>
        <w:numPr>
          <w:ilvl w:val="0"/>
          <w:numId w:val="32"/>
        </w:numPr>
      </w:pPr>
      <w:r>
        <w:rPr>
          <w:rFonts w:ascii="Calibri" w:hAnsi="Calibri" w:eastAsia="Calibri"/>
          <w:color w:val="202428"/>
          <w:sz w:val="22"/>
        </w:rPr>
        <w:t>May the approved notary use the proposed form without selecting legal certificate language or acquiring a disqualifying interest?</w:t>
      </w:r>
    </w:p>
    <w:p>
      <w:pPr>
        <w:spacing w:after="100"/>
        <w:ind w:left="720" w:hanging="360"/>
        <w:widowControl/>
        <w:numPr>
          <w:ilvl w:val="0"/>
          <w:numId w:val="32"/>
        </w:numPr>
      </w:pPr>
      <w:r>
        <w:rPr>
          <w:rFonts w:ascii="Calibri" w:hAnsi="Calibri" w:eastAsia="Calibri"/>
          <w:color w:val="202428"/>
          <w:sz w:val="22"/>
        </w:rPr>
        <w:t>Which records DGG, the notary, the vendor, the participant, and any public office retain, and for how long?</w:t>
      </w:r>
    </w:p>
    <w:p>
      <w:pPr>
        <w:spacing w:after="100"/>
        <w:ind w:left="720" w:hanging="360"/>
        <w:widowControl/>
        <w:numPr>
          <w:ilvl w:val="0"/>
          <w:numId w:val="32"/>
        </w:numPr>
      </w:pPr>
      <w:r>
        <w:rPr>
          <w:rFonts w:ascii="Calibri" w:hAnsi="Calibri" w:eastAsia="Calibri"/>
          <w:color w:val="202428"/>
          <w:sz w:val="22"/>
        </w:rPr>
        <w:t>What insurer notices, releases, indemnities, accessibility provisions, and prepublication checks are required?</w:t>
      </w:r>
    </w:p>
    <w:p>
      <w:pPr>
        <w:spacing w:after="100"/>
        <w:ind w:left="720" w:hanging="360"/>
        <w:widowControl/>
        <w:numPr>
          <w:ilvl w:val="0"/>
          <w:numId w:val="32"/>
        </w:numPr>
      </w:pPr>
      <w:r>
        <w:rPr>
          <w:rFonts w:ascii="Calibri" w:hAnsi="Calibri" w:eastAsia="Calibri"/>
          <w:color w:val="202428"/>
          <w:sz w:val="22"/>
        </w:rPr>
        <w:t>What event triggers a preservation hold, correction, re-notarization, regulator filing, or public pause?</w:t>
      </w:r>
    </w:p>
    <w:p>
      <w:pPr>
        <w:pStyle w:val="Heading1"/>
        <w:keepNext/>
        <w:widowControl/>
      </w:pPr>
      <w:r>
        <w:rPr>
          <w:rFonts w:ascii="Calibri" w:hAnsi="Calibri" w:eastAsia="Calibri"/>
          <w:color w:val="2E74B5"/>
          <w:sz w:val="32"/>
        </w:rPr>
        <w:t>12. Deconstructive, reconstructive, and middle-out analysis</w:t>
      </w:r>
    </w:p>
    <w:p>
      <w:pPr>
        <w:pStyle w:val="Heading2"/>
        <w:keepNext/>
        <w:widowControl/>
      </w:pPr>
      <w:r>
        <w:rPr>
          <w:rFonts w:ascii="Calibri" w:hAnsi="Calibri" w:eastAsia="Calibri"/>
          <w:color w:val="2E74B5"/>
          <w:sz w:val="26"/>
        </w:rPr>
        <w:t>12.1 Deconstructive view</w:t>
      </w:r>
    </w:p>
    <w:p>
      <w:pPr>
        <w:widowControl/>
      </w:pPr>
      <w:r>
        <w:rPr>
          <w:rFonts w:ascii="Calibri" w:hAnsi="Calibri" w:eastAsia="Calibri"/>
          <w:color w:val="202428"/>
          <w:sz w:val="22"/>
        </w:rPr>
        <w:t>The dangerous version of the idea combines too many claims: that a notary makes a media interview official; that every inaccuracy is perjury; that Washington law follows remote participants; that extradition supplies teeth; that refusal reveals dishonesty; and that a 501(c)(4) political organization is automatically press. None of those compound claims is established. Taken together, they would create more coercive theater than reliable evidence.</w:t>
      </w:r>
    </w:p>
    <w:p>
      <w:pPr>
        <w:pStyle w:val="Heading2"/>
        <w:keepNext/>
        <w:widowControl/>
      </w:pPr>
      <w:r>
        <w:rPr>
          <w:rFonts w:ascii="Calibri" w:hAnsi="Calibri" w:eastAsia="Calibri"/>
          <w:color w:val="2E74B5"/>
          <w:sz w:val="26"/>
        </w:rPr>
        <w:t>12.2 Reconstructive view</w:t>
      </w:r>
    </w:p>
    <w:p>
      <w:pPr>
        <w:widowControl/>
      </w:pPr>
      <w:r>
        <w:rPr>
          <w:rFonts w:ascii="Calibri" w:hAnsi="Calibri" w:eastAsia="Calibri"/>
          <w:color w:val="202428"/>
          <w:sz w:val="22"/>
        </w:rPr>
        <w:t>The durable core is smaller and stronger. Washington clearly supplies a lawful solemnization procedure for an exact record. Research practice supplies preregistration, source hierarchy, independent review, versioning, and correction. Media law supplies context preservation and careful quotation. Campaign law supplies independence and accounting. Combined, these tools can create an unusually auditable public-fact format without promising punishment.</w:t>
      </w:r>
    </w:p>
    <w:p>
      <w:pPr>
        <w:pStyle w:val="Heading2"/>
        <w:keepNext/>
        <w:widowControl/>
      </w:pPr>
      <w:r>
        <w:rPr>
          <w:rFonts w:ascii="Calibri" w:hAnsi="Calibri" w:eastAsia="Calibri"/>
          <w:color w:val="2E74B5"/>
          <w:sz w:val="26"/>
        </w:rPr>
        <w:t>12.3 Middle-out view</w:t>
      </w:r>
    </w:p>
    <w:p>
      <w:pPr>
        <w:widowControl/>
      </w:pPr>
      <w:r>
        <w:rPr>
          <w:rFonts w:ascii="Calibri" w:hAnsi="Calibri" w:eastAsia="Calibri"/>
          <w:color w:val="202428"/>
          <w:sz w:val="22"/>
        </w:rPr>
        <w:t>Start with the smallest unit that can be verified: one factual proposition in one frozen record. Build outward to the signer’s knowledge qualifier, source packet, notarial procedure, publication context, correction chain, campaign classification, and audience study. Do not begin with the desired national effect and reason backward into whichever state statute sounds strongest. The middle-out design makes every claim traceable to a record and every legal conclusion traceable to both an authority and an operational fact.</w:t>
      </w:r>
    </w:p>
    <w:p>
      <w:pPr>
        <w:pStyle w:val="Heading1"/>
        <w:keepNext/>
        <w:widowControl/>
      </w:pPr>
      <w:r>
        <w:rPr>
          <w:rFonts w:ascii="Calibri" w:hAnsi="Calibri" w:eastAsia="Calibri"/>
          <w:color w:val="2E74B5"/>
          <w:sz w:val="32"/>
        </w:rPr>
        <w:t>13. Conclusion</w:t>
      </w:r>
    </w:p>
    <w:p>
      <w:pPr>
        <w:widowControl/>
      </w:pPr>
      <w:r>
        <w:rPr>
          <w:rFonts w:ascii="Calibri" w:hAnsi="Calibri" w:eastAsia="Calibri"/>
          <w:color w:val="202428"/>
          <w:sz w:val="22"/>
        </w:rPr>
        <w:t xml:space="preserve">The proposal is </w:t>
      </w:r>
      <w:r>
        <w:rPr>
          <w:rFonts w:ascii="Calibri" w:hAnsi="Calibri" w:eastAsia="Calibri"/>
          <w:b/>
          <w:color w:val="202428"/>
          <w:sz w:val="22"/>
        </w:rPr>
        <w:t>legally plausible as a Washington notarial record format and not established as a universal criminal-liability format</w:t>
      </w:r>
      <w:r>
        <w:rPr>
          <w:rFonts w:ascii="Calibri" w:hAnsi="Calibri" w:eastAsia="Calibri"/>
          <w:color w:val="202428"/>
          <w:sz w:val="22"/>
        </w:rPr>
        <w:t>. That distinction should become the program’s central act of intellectual honesty.</w:t>
      </w:r>
    </w:p>
    <w:p>
      <w:pPr>
        <w:widowControl/>
      </w:pPr>
      <w:r>
        <w:rPr>
          <w:rFonts w:ascii="Calibri" w:hAnsi="Calibri" w:eastAsia="Calibri"/>
          <w:color w:val="202428"/>
          <w:sz w:val="22"/>
        </w:rPr>
        <w:t>Washington law gives DGG a credible path to create a voluntary, exact, sworn factual record. The text also gives counsel a serious false-swearing argument and a more contestable first-degree-perjury argument. Pennsylvania does not improve the theory; Arizona and Florida demonstrate why broad-looking statutory text or strong RON language still demands separate case-law, definition, territorial-jurisdiction, and policy analysis. Interstate recognition, criminal jurisdiction, recording consent, campaign classification, tax status, and extradition are separate questions.</w:t>
      </w:r>
    </w:p>
    <w:p>
      <w:pPr>
        <w:widowControl/>
      </w:pPr>
      <w:r>
        <w:rPr>
          <w:rFonts w:ascii="Calibri" w:hAnsi="Calibri" w:eastAsia="Calibri"/>
          <w:color w:val="202428"/>
          <w:sz w:val="22"/>
        </w:rPr>
        <w:t>The best pilot is therefore quiet about punishment and loud about method: independent notary; one-proposition questions; “I do not know” and qualification options; frozen CSR; separate PMR; exact oath boundaries; append-only, tamper-evident corrections; contextual publication; neutral status only after audience-safety testing; campaign firewall; and preregistered audit. If DGG cannot implement all of that, it should use the non-notarial evidence protocol instead.</w:t>
      </w:r>
    </w:p>
    <w:p>
      <w:pPr>
        <w:pStyle w:val="Heading1"/>
        <w:keepNext/>
        <w:widowControl/>
      </w:pPr>
      <w:r>
        <w:rPr>
          <w:rFonts w:ascii="Calibri" w:hAnsi="Calibri" w:eastAsia="Calibri"/>
          <w:color w:val="2E74B5"/>
          <w:sz w:val="32"/>
        </w:rPr>
        <w:t>14. Metacognitive audit: what this report knows and does not know</w:t>
      </w:r>
    </w:p>
    <w:p>
      <w:pPr>
        <w:pStyle w:val="Heading2"/>
        <w:keepNext/>
        <w:widowControl/>
      </w:pPr>
      <w:r>
        <w:rPr>
          <w:rFonts w:ascii="Calibri" w:hAnsi="Calibri" w:eastAsia="Calibri"/>
          <w:color w:val="2E74B5"/>
          <w:sz w:val="26"/>
        </w:rPr>
        <w:t>14.1 Confidence map</w:t>
      </w:r>
    </w:p>
    <w:p>
      <w:pPr>
        <w:widowControl/>
      </w:pPr>
      <w:r>
        <w:rPr>
          <w:rFonts w:ascii="Calibri" w:hAnsi="Calibri" w:eastAsia="Calibri"/>
          <w:b/>
          <w:color w:val="202428"/>
          <w:sz w:val="22"/>
        </w:rPr>
        <w:t>High confidence:</w:t>
      </w:r>
      <w:r>
        <w:rPr>
          <w:rFonts w:ascii="Calibri" w:hAnsi="Calibri" w:eastAsia="Calibri"/>
          <w:color w:val="202428"/>
          <w:sz w:val="22"/>
        </w:rPr>
        <w:t xml:space="preserve"> Washington notaries may administer oaths and take verifications; the CSR approach fits the record-centered notary statute; false swearing lacks materiality/official-proceeding elements; Pennsylvania is not a broad private false-swearing solution; RON notary location and recording controls matter; all-party recording and campaign/defamation controls are genuine launch issues.</w:t>
      </w:r>
    </w:p>
    <w:p>
      <w:pPr>
        <w:widowControl/>
      </w:pPr>
      <w:r>
        <w:rPr>
          <w:rFonts w:ascii="Calibri" w:hAnsi="Calibri" w:eastAsia="Calibri"/>
          <w:b/>
          <w:color w:val="202428"/>
          <w:sz w:val="22"/>
        </w:rPr>
        <w:t>Moderate confidence:</w:t>
      </w:r>
      <w:r>
        <w:rPr>
          <w:rFonts w:ascii="Calibri" w:hAnsi="Calibri" w:eastAsia="Calibri"/>
          <w:color w:val="202428"/>
          <w:sz w:val="22"/>
        </w:rPr>
        <w:t xml:space="preserve"> a deliberately notarized Washington CSR supplies a viable RCW 9A.72.040 theory. The statutory fit is strong, but the precise private-media application is unreported in located appellate law.</w:t>
      </w:r>
    </w:p>
    <w:p>
      <w:pPr>
        <w:widowControl/>
      </w:pPr>
      <w:r>
        <w:rPr>
          <w:rFonts w:ascii="Calibri" w:hAnsi="Calibri" w:eastAsia="Calibri"/>
          <w:b/>
          <w:color w:val="202428"/>
          <w:sz w:val="22"/>
        </w:rPr>
        <w:t>Low-to-moderate confidence:</w:t>
      </w:r>
      <w:r>
        <w:rPr>
          <w:rFonts w:ascii="Calibri" w:hAnsi="Calibri" w:eastAsia="Calibri"/>
          <w:color w:val="202428"/>
          <w:sz w:val="22"/>
        </w:rPr>
        <w:t xml:space="preserve"> a DGG sworn airlock is an “official proceeding” for first-degree perjury. The definition expressly mentions a notary, but no direct case resolves this format and materiality remains fact-specific.</w:t>
      </w:r>
    </w:p>
    <w:p>
      <w:pPr>
        <w:widowControl/>
      </w:pPr>
      <w:r>
        <w:rPr>
          <w:rFonts w:ascii="Calibri" w:hAnsi="Calibri" w:eastAsia="Calibri"/>
          <w:b/>
          <w:color w:val="202428"/>
          <w:sz w:val="22"/>
        </w:rPr>
        <w:t>Unknown:</w:t>
      </w:r>
      <w:r>
        <w:rPr>
          <w:rFonts w:ascii="Calibri" w:hAnsi="Calibri" w:eastAsia="Calibri"/>
          <w:color w:val="202428"/>
          <w:sz w:val="22"/>
        </w:rPr>
        <w:t xml:space="preserve"> prosecutor interest; court treatment of this exact protocol; audience behavioral effects; whether DGG’s exact entity and operation qualify for media exemptions; all laws of a future remote signer’s location; and whether an unlocated analogue exists.</w:t>
      </w:r>
    </w:p>
    <w:p>
      <w:pPr>
        <w:pStyle w:val="Heading2"/>
        <w:keepNext/>
        <w:widowControl/>
      </w:pPr>
      <w:r>
        <w:rPr>
          <w:rFonts w:ascii="Calibri" w:hAnsi="Calibri" w:eastAsia="Calibri"/>
          <w:color w:val="2E74B5"/>
          <w:sz w:val="26"/>
        </w:rPr>
        <w:t>14.2 Systematic-review reflection</w:t>
      </w:r>
    </w:p>
    <w:p>
      <w:pPr>
        <w:widowControl/>
      </w:pPr>
      <w:r>
        <w:rPr>
          <w:rFonts w:ascii="Calibri" w:hAnsi="Calibri" w:eastAsia="Calibri"/>
          <w:color w:val="202428"/>
          <w:sz w:val="22"/>
        </w:rPr>
        <w:t>This is not a statistical meta-analysis of legal holdings. Cases differ in statute version, procedural posture, government involvement, materiality, oath form, and evidentiary purpose; pooling them would imply a common outcome they do not measure. The empirical oath studies also use heterogeneous tasks, incentives, populations, and endpoints, so this report does not calculate a combined effect size.</w:t>
      </w:r>
    </w:p>
    <w:p>
      <w:pPr>
        <w:widowControl/>
      </w:pPr>
      <w:r>
        <w:rPr>
          <w:rFonts w:ascii="Calibri" w:hAnsi="Calibri" w:eastAsia="Calibri"/>
          <w:color w:val="202428"/>
          <w:sz w:val="22"/>
        </w:rPr>
        <w:t>The search has predictable biases: published prosecutions overrepresent disputes; absence of a reported private-media case may mean novelty, nonprosecution, settlement, or indexing failure; official web text can change; negative analogue searches cannot prove nonexistence; and DGG’s own website is authoritative only for what it publicly says, not for unverified entity status. The claim ledger records these asymmetries and uses the legal rule effective on the research cutoff.</w:t>
      </w:r>
    </w:p>
    <w:p>
      <w:pPr>
        <w:pStyle w:val="Heading2"/>
        <w:keepNext/>
        <w:widowControl/>
      </w:pPr>
      <w:r>
        <w:rPr>
          <w:rFonts w:ascii="Calibri" w:hAnsi="Calibri" w:eastAsia="Calibri"/>
          <w:color w:val="2E74B5"/>
          <w:sz w:val="26"/>
        </w:rPr>
        <w:t>14.3 Falsifiers</w:t>
      </w:r>
    </w:p>
    <w:p>
      <w:pPr>
        <w:widowControl/>
      </w:pPr>
      <w:r>
        <w:rPr>
          <w:rFonts w:ascii="Calibri" w:hAnsi="Calibri" w:eastAsia="Calibri"/>
          <w:color w:val="202428"/>
          <w:sz w:val="22"/>
        </w:rPr>
        <w:t>The principal recommendation should change if Washington appellate authority holds that a private notarial verification cannot satisfy RCW 9A.72.040; if DOL rules bar a required protocol step; if election counsel finds the operation is an impermissible corporate contribution that cannot be cured; if audience testing shows the neutral status still creates a substantial dishonesty inference; if the notarial/production data cannot be segregated; or if participants cannot meaningfully understand and decline the process.</w:t>
      </w:r>
    </w:p>
    <w:p>
      <w:pPr>
        <w:pStyle w:val="Heading2"/>
        <w:keepNext/>
        <w:widowControl/>
      </w:pPr>
      <w:r>
        <w:rPr>
          <w:rFonts w:ascii="Calibri" w:hAnsi="Calibri" w:eastAsia="Calibri"/>
          <w:color w:val="2E74B5"/>
          <w:sz w:val="26"/>
        </w:rPr>
        <w:t>14.4 Updating rule</w:t>
      </w:r>
    </w:p>
    <w:p>
      <w:pPr>
        <w:widowControl/>
      </w:pPr>
      <w:r>
        <w:rPr>
          <w:rFonts w:ascii="Calibri" w:hAnsi="Calibri" w:eastAsia="Calibri"/>
          <w:color w:val="202428"/>
          <w:sz w:val="22"/>
        </w:rPr>
        <w:t>Recheck every cited statute, WAC provision, and agency page immediately before launch and again on January 1, 2027. Add new cases to the claim ledger with a supersedes/supports/limits tag. Never silently revise a conclusion; issue a dated report version and a change note.</w:t>
      </w:r>
    </w:p>
    <w:p>
      <w:pPr>
        <w:widowControl/>
      </w:pPr>
      <w:r>
        <w:br w:type="page"/>
      </w:r>
    </w:p>
    <w:p>
      <w:pPr>
        <w:pStyle w:val="Heading1"/>
        <w:keepNext/>
        <w:widowControl/>
      </w:pPr>
      <w:r>
        <w:rPr>
          <w:rFonts w:ascii="Calibri" w:hAnsi="Calibri" w:eastAsia="Calibri"/>
          <w:color w:val="2E74B5"/>
          <w:sz w:val="32"/>
        </w:rPr>
        <w:t>Appendix A. One-page operator card</w:t>
      </w:r>
    </w:p>
    <w:p>
      <w:pPr>
        <w:pStyle w:val="Heading2"/>
        <w:keepNext/>
        <w:widowControl/>
      </w:pPr>
      <w:r>
        <w:rPr>
          <w:rFonts w:ascii="Calibri" w:hAnsi="Calibri" w:eastAsia="Calibri"/>
          <w:color w:val="2E74B5"/>
          <w:sz w:val="26"/>
        </w:rPr>
        <w:t>Before the day</w:t>
      </w:r>
    </w:p>
    <w:p>
      <w:pPr>
        <w:spacing w:after="100"/>
        <w:ind w:left="720" w:hanging="360"/>
        <w:widowControl/>
        <w:numPr>
          <w:ilvl w:val="0"/>
          <w:numId w:val="33"/>
        </w:numPr>
      </w:pPr>
      <w:r>
        <w:rPr>
          <w:rFonts w:ascii="Calibri" w:hAnsi="Calibri" w:eastAsia="Calibri"/>
          <w:color w:val="202428"/>
          <w:sz w:val="22"/>
        </w:rPr>
        <w:t>Verify entity/campaign classification memo and participant location.</w:t>
      </w:r>
    </w:p>
    <w:p>
      <w:pPr>
        <w:spacing w:after="100"/>
        <w:ind w:left="720" w:hanging="360"/>
        <w:widowControl/>
        <w:numPr>
          <w:ilvl w:val="0"/>
          <w:numId w:val="33"/>
        </w:numPr>
      </w:pPr>
      <w:r>
        <w:rPr>
          <w:rFonts w:ascii="Calibri" w:hAnsi="Calibri" w:eastAsia="Calibri"/>
          <w:color w:val="202428"/>
          <w:sz w:val="22"/>
        </w:rPr>
        <w:t>Use the approved question/source packet; participant/counsel authors the answers; log campaign contact.</w:t>
      </w:r>
    </w:p>
    <w:p>
      <w:pPr>
        <w:spacing w:after="100"/>
        <w:ind w:left="720" w:hanging="360"/>
        <w:widowControl/>
        <w:numPr>
          <w:ilvl w:val="0"/>
          <w:numId w:val="33"/>
        </w:numPr>
      </w:pPr>
      <w:r>
        <w:rPr>
          <w:rFonts w:ascii="Calibri" w:hAnsi="Calibri" w:eastAsia="Calibri"/>
          <w:color w:val="202428"/>
          <w:sz w:val="22"/>
        </w:rPr>
        <w:t>Verify independent notary commission, conflict, and endorsements.</w:t>
      </w:r>
    </w:p>
    <w:p>
      <w:pPr>
        <w:spacing w:after="100"/>
        <w:ind w:left="720" w:hanging="360"/>
        <w:widowControl/>
        <w:numPr>
          <w:ilvl w:val="0"/>
          <w:numId w:val="33"/>
        </w:numPr>
      </w:pPr>
      <w:r>
        <w:rPr>
          <w:rFonts w:ascii="Calibri" w:hAnsi="Calibri" w:eastAsia="Calibri"/>
          <w:color w:val="202428"/>
          <w:sz w:val="22"/>
        </w:rPr>
        <w:t>Obtain signed recording, data, editing, publication, and correction consent.</w:t>
      </w:r>
    </w:p>
    <w:p>
      <w:pPr>
        <w:spacing w:after="100"/>
        <w:ind w:left="720" w:hanging="360"/>
        <w:widowControl/>
        <w:numPr>
          <w:ilvl w:val="0"/>
          <w:numId w:val="33"/>
        </w:numPr>
      </w:pPr>
      <w:r>
        <w:rPr>
          <w:rFonts w:ascii="Calibri" w:hAnsi="Calibri" w:eastAsia="Calibri"/>
          <w:color w:val="202428"/>
          <w:sz w:val="22"/>
        </w:rPr>
        <w:t>Disable auto-recording/transcription/AI until verbal consent.</w:t>
      </w:r>
    </w:p>
    <w:p>
      <w:pPr>
        <w:pStyle w:val="Heading2"/>
        <w:keepNext/>
        <w:widowControl/>
      </w:pPr>
      <w:r>
        <w:rPr>
          <w:rFonts w:ascii="Calibri" w:hAnsi="Calibri" w:eastAsia="Calibri"/>
          <w:color w:val="2E74B5"/>
          <w:sz w:val="26"/>
        </w:rPr>
        <w:t>Green — unsworn</w:t>
      </w:r>
    </w:p>
    <w:p>
      <w:pPr>
        <w:spacing w:after="100"/>
        <w:ind w:left="720" w:hanging="360"/>
        <w:widowControl/>
        <w:numPr>
          <w:ilvl w:val="0"/>
          <w:numId w:val="34"/>
        </w:numPr>
      </w:pPr>
      <w:r>
        <w:rPr>
          <w:rFonts w:ascii="Calibri" w:hAnsi="Calibri" w:eastAsia="Calibri"/>
          <w:color w:val="202428"/>
          <w:sz w:val="22"/>
        </w:rPr>
        <w:t>Record each person’s consent and location.</w:t>
      </w:r>
    </w:p>
    <w:p>
      <w:pPr>
        <w:spacing w:after="100"/>
        <w:ind w:left="720" w:hanging="360"/>
        <w:widowControl/>
        <w:numPr>
          <w:ilvl w:val="0"/>
          <w:numId w:val="34"/>
        </w:numPr>
      </w:pPr>
      <w:r>
        <w:rPr>
          <w:rFonts w:ascii="Calibri" w:hAnsi="Calibri" w:eastAsia="Calibri"/>
          <w:color w:val="202428"/>
          <w:sz w:val="22"/>
        </w:rPr>
        <w:t>State that preparation/interview is unsworn.</w:t>
      </w:r>
    </w:p>
    <w:p>
      <w:pPr>
        <w:spacing w:after="100"/>
        <w:ind w:left="720" w:hanging="360"/>
        <w:widowControl/>
        <w:numPr>
          <w:ilvl w:val="0"/>
          <w:numId w:val="34"/>
        </w:numPr>
      </w:pPr>
      <w:r>
        <w:rPr>
          <w:rFonts w:ascii="Calibri" w:hAnsi="Calibri" w:eastAsia="Calibri"/>
          <w:color w:val="202428"/>
          <w:sz w:val="22"/>
        </w:rPr>
        <w:t>Allow decline, “I do not know,” source limitation, and qualification.</w:t>
      </w:r>
    </w:p>
    <w:p>
      <w:pPr>
        <w:pStyle w:val="Heading2"/>
        <w:keepNext/>
        <w:widowControl/>
      </w:pPr>
      <w:r>
        <w:rPr>
          <w:rFonts w:ascii="Calibri" w:hAnsi="Calibri" w:eastAsia="Calibri"/>
          <w:color w:val="2E74B5"/>
          <w:sz w:val="26"/>
        </w:rPr>
        <w:t>Amber — freeze</w:t>
      </w:r>
    </w:p>
    <w:p>
      <w:pPr>
        <w:spacing w:after="100"/>
        <w:ind w:left="720" w:hanging="360"/>
        <w:widowControl/>
        <w:numPr>
          <w:ilvl w:val="0"/>
          <w:numId w:val="35"/>
        </w:numPr>
      </w:pPr>
      <w:r>
        <w:rPr>
          <w:rFonts w:ascii="Calibri" w:hAnsi="Calibri" w:eastAsia="Calibri"/>
          <w:color w:val="202428"/>
          <w:sz w:val="22"/>
        </w:rPr>
        <w:t>Generate exact CSR ID/version/page count/hash.</w:t>
      </w:r>
    </w:p>
    <w:p>
      <w:pPr>
        <w:spacing w:after="100"/>
        <w:ind w:left="720" w:hanging="360"/>
        <w:widowControl/>
        <w:numPr>
          <w:ilvl w:val="0"/>
          <w:numId w:val="35"/>
        </w:numPr>
      </w:pPr>
      <w:r>
        <w:rPr>
          <w:rFonts w:ascii="Calibri" w:hAnsi="Calibri" w:eastAsia="Calibri"/>
          <w:color w:val="202428"/>
          <w:sz w:val="22"/>
        </w:rPr>
        <w:t>Participant reviews every page; no substantive discussion continues.</w:t>
      </w:r>
    </w:p>
    <w:p>
      <w:pPr>
        <w:spacing w:after="100"/>
        <w:ind w:left="720" w:hanging="360"/>
        <w:widowControl/>
        <w:numPr>
          <w:ilvl w:val="0"/>
          <w:numId w:val="35"/>
        </w:numPr>
      </w:pPr>
      <w:r>
        <w:rPr>
          <w:rFonts w:ascii="Calibri" w:hAnsi="Calibri" w:eastAsia="Calibri"/>
          <w:color w:val="202428"/>
          <w:sz w:val="22"/>
        </w:rPr>
        <w:t>Notary independently confirms identity, appearance, same record/signature, and certificate, and may refuse for capacity or knowing-voluntary concerns.</w:t>
      </w:r>
    </w:p>
    <w:p>
      <w:pPr>
        <w:pStyle w:val="Heading2"/>
        <w:keepNext/>
        <w:widowControl/>
      </w:pPr>
      <w:r>
        <w:rPr>
          <w:rFonts w:ascii="Calibri" w:hAnsi="Calibri" w:eastAsia="Calibri"/>
          <w:color w:val="2E74B5"/>
          <w:sz w:val="26"/>
        </w:rPr>
        <w:t>Red — sworn</w:t>
      </w:r>
    </w:p>
    <w:p>
      <w:pPr>
        <w:spacing w:after="100"/>
        <w:ind w:left="720" w:hanging="360"/>
        <w:widowControl/>
        <w:numPr>
          <w:ilvl w:val="0"/>
          <w:numId w:val="36"/>
        </w:numPr>
      </w:pPr>
      <w:r>
        <w:rPr>
          <w:rFonts w:ascii="Calibri" w:hAnsi="Calibri" w:eastAsia="Calibri"/>
          <w:color w:val="202428"/>
          <w:sz w:val="22"/>
        </w:rPr>
        <w:t>Notary identifies the exact CSR and administers the approved oath/affirmation.</w:t>
      </w:r>
    </w:p>
    <w:p>
      <w:pPr>
        <w:spacing w:after="100"/>
        <w:ind w:left="720" w:hanging="360"/>
        <w:widowControl/>
        <w:numPr>
          <w:ilvl w:val="0"/>
          <w:numId w:val="36"/>
        </w:numPr>
      </w:pPr>
      <w:r>
        <w:rPr>
          <w:rFonts w:ascii="Calibri" w:hAnsi="Calibri" w:eastAsia="Calibri"/>
          <w:color w:val="202428"/>
          <w:sz w:val="22"/>
        </w:rPr>
        <w:t>Participant audibly assents and signs the exact record.</w:t>
      </w:r>
    </w:p>
    <w:p>
      <w:pPr>
        <w:spacing w:after="100"/>
        <w:ind w:left="720" w:hanging="360"/>
        <w:widowControl/>
        <w:numPr>
          <w:ilvl w:val="0"/>
          <w:numId w:val="36"/>
        </w:numPr>
      </w:pPr>
      <w:r>
        <w:rPr>
          <w:rFonts w:ascii="Calibri" w:hAnsi="Calibri" w:eastAsia="Calibri"/>
          <w:color w:val="202428"/>
          <w:sz w:val="22"/>
        </w:rPr>
        <w:t>Notary completes certificate and journal contemporaneously.</w:t>
      </w:r>
    </w:p>
    <w:p>
      <w:pPr>
        <w:pStyle w:val="Heading2"/>
        <w:keepNext/>
        <w:widowControl/>
      </w:pPr>
      <w:r>
        <w:rPr>
          <w:rFonts w:ascii="Calibri" w:hAnsi="Calibri" w:eastAsia="Calibri"/>
          <w:color w:val="2E74B5"/>
          <w:sz w:val="26"/>
        </w:rPr>
        <w:t>Close and publish</w:t>
      </w:r>
    </w:p>
    <w:p>
      <w:pPr>
        <w:spacing w:after="100"/>
        <w:ind w:left="720" w:hanging="360"/>
        <w:widowControl/>
        <w:numPr>
          <w:ilvl w:val="0"/>
          <w:numId w:val="37"/>
        </w:numPr>
      </w:pPr>
      <w:r>
        <w:rPr>
          <w:rFonts w:ascii="Calibri" w:hAnsi="Calibri" w:eastAsia="Calibri"/>
          <w:color w:val="202428"/>
          <w:sz w:val="22"/>
        </w:rPr>
        <w:t>Notary closes the act; host announces unsworn commentary.</w:t>
      </w:r>
    </w:p>
    <w:p>
      <w:pPr>
        <w:spacing w:after="100"/>
        <w:ind w:left="720" w:hanging="360"/>
        <w:widowControl/>
        <w:numPr>
          <w:ilvl w:val="0"/>
          <w:numId w:val="37"/>
        </w:numPr>
      </w:pPr>
      <w:r>
        <w:rPr>
          <w:rFonts w:ascii="Calibri" w:hAnsi="Calibri" w:eastAsia="Calibri"/>
          <w:color w:val="202428"/>
          <w:sz w:val="22"/>
        </w:rPr>
        <w:t>Preserve CSR, PMR, consents, sources, contact/cost logs, and audit metadata separately.</w:t>
      </w:r>
    </w:p>
    <w:p>
      <w:pPr>
        <w:spacing w:after="100"/>
        <w:ind w:left="720" w:hanging="360"/>
        <w:widowControl/>
        <w:numPr>
          <w:ilvl w:val="0"/>
          <w:numId w:val="37"/>
        </w:numPr>
      </w:pPr>
      <w:r>
        <w:rPr>
          <w:rFonts w:ascii="Calibri" w:hAnsi="Calibri" w:eastAsia="Calibri"/>
          <w:color w:val="202428"/>
          <w:sz w:val="22"/>
        </w:rPr>
        <w:t>Publish complete CSR + certificate + context + source sheet + no-inference notice.</w:t>
      </w:r>
    </w:p>
    <w:p>
      <w:pPr>
        <w:spacing w:after="100"/>
        <w:ind w:left="720" w:hanging="360"/>
        <w:widowControl/>
        <w:numPr>
          <w:ilvl w:val="0"/>
          <w:numId w:val="37"/>
        </w:numPr>
      </w:pPr>
      <w:r>
        <w:rPr>
          <w:rFonts w:ascii="Calibri" w:hAnsi="Calibri" w:eastAsia="Calibri"/>
          <w:color w:val="202428"/>
          <w:sz w:val="22"/>
        </w:rPr>
        <w:t>Corrections are new linked versions; preserve the original internally, promptly fix derivatives, and let media counsel decide continued public access to a known-false superseded record.</w:t>
      </w:r>
    </w:p>
    <w:p>
      <w:pPr>
        <w:pStyle w:val="Heading2"/>
        <w:keepNext/>
        <w:widowControl/>
      </w:pPr>
      <w:r>
        <w:rPr>
          <w:rFonts w:ascii="Calibri" w:hAnsi="Calibri" w:eastAsia="Calibri"/>
          <w:color w:val="2E74B5"/>
          <w:sz w:val="26"/>
        </w:rPr>
        <w:t>Stop immediately if</w:t>
      </w:r>
    </w:p>
    <w:p>
      <w:pPr>
        <w:widowControl/>
      </w:pPr>
      <w:r>
        <w:rPr>
          <w:rFonts w:ascii="Calibri" w:hAnsi="Calibri" w:eastAsia="Calibri"/>
          <w:color w:val="202428"/>
          <w:sz w:val="22"/>
        </w:rPr>
        <w:t>Wrong record; ambiguous oath; missing consent; signer/notary location uncertainty; RON disconnect; identity/voluntariness doubt; campaign content involvement; altered quote; confidential ID exposure; regulator/prosecutor contact; or credible legal claim.</w:t>
      </w:r>
    </w:p>
    <w:p>
      <w:pPr>
        <w:pStyle w:val="Heading1"/>
        <w:keepNext/>
        <w:widowControl/>
      </w:pPr>
      <w:r>
        <w:rPr>
          <w:rFonts w:ascii="Calibri" w:hAnsi="Calibri" w:eastAsia="Calibri"/>
          <w:color w:val="2E74B5"/>
          <w:sz w:val="32"/>
        </w:rPr>
        <w:t>Appendix B. Reusable notices and artifact map</w:t>
      </w:r>
    </w:p>
    <w:p>
      <w:pPr>
        <w:pStyle w:val="Heading2"/>
        <w:keepNext/>
        <w:widowControl/>
      </w:pPr>
      <w:r>
        <w:rPr>
          <w:rFonts w:ascii="Calibri" w:hAnsi="Calibri" w:eastAsia="Calibri"/>
          <w:color w:val="2E74B5"/>
          <w:sz w:val="26"/>
        </w:rPr>
        <w:t>B.1 Invitation disclosure</w:t>
      </w:r>
    </w:p>
    <w:p>
      <w:pPr>
        <w:pStyle w:val="Callout"/>
        <w:keepLines/>
        <w:spacing w:before="160" w:after="240"/>
        <w:ind w:left="259" w:right="173"/>
        <w:shd w:fill="EAF2F8"/>
        <w:widowControl/>
        <w:pBdr>
          <w:left w:val="single" w:sz="18" w:space="8" w:color="2E74B5"/>
        </w:pBdr>
      </w:pPr>
      <w:r>
        <w:rPr>
          <w:rFonts w:ascii="Calibri" w:hAnsi="Calibri" w:eastAsia="Calibri"/>
          <w:color w:val="18324A"/>
          <w:sz w:val="22"/>
        </w:rPr>
        <w:t>DGG invites you to an optional factual-record process followed by an ordinary interview. You may participate in either, both, or neither; decline any question; answer “I do not know”; and add written qualifications. If you choose the factual-record process, an independent Washington notary will ask you to adopt and sign one exact record under oath or affirmation. The notary verifies identity and procedure, not factual truth. DGG does not decide criminal liability, and no inference about honesty will be drawn from nonparticipation. Please consult your own counsel.</w:t>
      </w:r>
    </w:p>
    <w:p>
      <w:pPr>
        <w:pStyle w:val="Heading2"/>
        <w:keepNext/>
        <w:widowControl/>
      </w:pPr>
      <w:r>
        <w:rPr>
          <w:rFonts w:ascii="Calibri" w:hAnsi="Calibri" w:eastAsia="Calibri"/>
          <w:color w:val="2E74B5"/>
          <w:sz w:val="26"/>
        </w:rPr>
        <w:t>B.2 On-screen procedure notice</w:t>
      </w:r>
    </w:p>
    <w:p>
      <w:pPr>
        <w:pStyle w:val="Callout"/>
        <w:keepNext/>
        <w:keepLines/>
        <w:spacing w:before="160" w:after="240"/>
        <w:ind w:left="259" w:right="173"/>
        <w:shd w:fill="EAF2F8"/>
        <w:widowControl/>
        <w:pBdr>
          <w:left w:val="single" w:sz="18" w:space="8" w:color="2E74B5"/>
        </w:pBdr>
      </w:pPr>
      <w:r>
        <w:rPr>
          <w:rFonts w:ascii="Calibri" w:hAnsi="Calibri" w:eastAsia="Calibri"/>
          <w:b/>
          <w:color w:val="18324A"/>
          <w:sz w:val="22"/>
        </w:rPr>
        <w:t>NOTARIZED FACTUAL STATEMENT — LIMITED SCOPE</w:t>
      </w:r>
    </w:p>
    <w:p>
      <w:pPr>
        <w:pStyle w:val="Callout"/>
        <w:keepLines/>
        <w:spacing w:before="160" w:after="240"/>
        <w:ind w:left="259" w:right="173"/>
        <w:shd w:fill="EAF2F8"/>
        <w:widowControl/>
        <w:pBdr>
          <w:left w:val="single" w:sz="18" w:space="8" w:color="2E74B5"/>
        </w:pBdr>
      </w:pPr>
      <w:r>
        <w:rPr>
          <w:rFonts w:ascii="Calibri" w:hAnsi="Calibri" w:eastAsia="Calibri"/>
          <w:color w:val="18324A"/>
          <w:sz w:val="22"/>
        </w:rPr>
        <w:t>Applies only to CSR [ID/version]. The notary verified the notarial act, not the truth of the answers. Later commentary is unsworn.</w:t>
      </w:r>
    </w:p>
    <w:p>
      <w:pPr>
        <w:pStyle w:val="Heading2"/>
        <w:keepNext/>
        <w:widowControl/>
      </w:pPr>
      <w:r>
        <w:rPr>
          <w:rFonts w:ascii="Calibri" w:hAnsi="Calibri" w:eastAsia="Calibri"/>
          <w:color w:val="2E74B5"/>
          <w:sz w:val="26"/>
        </w:rPr>
        <w:t>B.3 Nonparticipation notice</w:t>
      </w:r>
    </w:p>
    <w:p>
      <w:pPr>
        <w:pStyle w:val="Callout"/>
        <w:keepLines/>
        <w:spacing w:before="160" w:after="240"/>
        <w:ind w:left="259" w:right="173"/>
        <w:shd w:fill="EAF2F8"/>
        <w:widowControl/>
        <w:pBdr>
          <w:left w:val="single" w:sz="18" w:space="8" w:color="2E74B5"/>
        </w:pBdr>
      </w:pPr>
      <w:r>
        <w:rPr>
          <w:rFonts w:ascii="Calibri" w:hAnsi="Calibri" w:eastAsia="Calibri"/>
          <w:color w:val="18324A"/>
          <w:sz w:val="22"/>
        </w:rPr>
        <w:t>No notarized factual statement was published. This status may reflect many reasons. DGG draws and invites no inference about honesty. Do not publish this notice for an identified invitee unless the Phase 2 adverse-inference safety gate has passed and publication is counsel-approved.</w:t>
      </w:r>
    </w:p>
    <w:p>
      <w:pPr>
        <w:pStyle w:val="Heading2"/>
        <w:keepNext/>
        <w:widowControl/>
      </w:pPr>
      <w:r>
        <w:rPr>
          <w:rFonts w:ascii="Calibri" w:hAnsi="Calibri" w:eastAsia="Calibri"/>
          <w:color w:val="2E74B5"/>
          <w:sz w:val="26"/>
        </w:rPr>
        <w:t>B.4 Correction notice</w:t>
      </w:r>
    </w:p>
    <w:p>
      <w:pPr>
        <w:pStyle w:val="Callout"/>
        <w:keepLines/>
        <w:spacing w:before="160" w:after="240"/>
        <w:ind w:left="259" w:right="173"/>
        <w:shd w:fill="EAF2F8"/>
        <w:widowControl/>
        <w:pBdr>
          <w:left w:val="single" w:sz="18" w:space="8" w:color="2E74B5"/>
        </w:pBdr>
      </w:pPr>
      <w:r>
        <w:rPr>
          <w:rFonts w:ascii="Calibri" w:hAnsi="Calibri" w:eastAsia="Calibri"/>
          <w:color w:val="18324A"/>
          <w:sz w:val="22"/>
        </w:rPr>
        <w:t>On [date/time], DGG learned that [precise issue] affected CSR/PMR [ID]. The original is preserved internally under restricted access. [Participant] published / did not publish supplemental CSR [ID]. Affected derivatives and their correction status are listed here. Continued public access to the superseded original follows media-counsel direction. This correction is an integrity record and is not a representation about any statutory defense.</w:t>
      </w:r>
    </w:p>
    <w:p>
      <w:pPr>
        <w:pStyle w:val="Heading2"/>
        <w:keepNext/>
        <w:widowControl/>
      </w:pPr>
      <w:r>
        <w:rPr>
          <w:rFonts w:ascii="Calibri" w:hAnsi="Calibri" w:eastAsia="Calibri"/>
          <w:color w:val="2E74B5"/>
          <w:sz w:val="26"/>
        </w:rPr>
        <w:t>B.5 Artifact ownership map</w:t>
      </w:r>
    </w:p>
    <w:p>
      <w:pPr>
        <w:spacing w:after="100"/>
        <w:ind w:left="720" w:hanging="360"/>
        <w:widowControl/>
        <w:numPr>
          <w:ilvl w:val="0"/>
          <w:numId w:val="38"/>
        </w:numPr>
      </w:pPr>
      <w:r>
        <w:rPr>
          <w:rFonts w:ascii="Calibri" w:hAnsi="Calibri" w:eastAsia="Calibri"/>
          <w:b/>
          <w:color w:val="202428"/>
          <w:sz w:val="22"/>
        </w:rPr>
        <w:t>Recommended nonattorney notary:</w:t>
      </w:r>
      <w:r>
        <w:rPr>
          <w:rFonts w:ascii="Calibri" w:hAnsi="Calibri" w:eastAsia="Calibri"/>
          <w:color w:val="202428"/>
          <w:sz w:val="22"/>
        </w:rPr>
        <w:t xml:space="preserve"> statutory journal; official RON audiovisual record; notarial certificate responsibility. An attorney-notary exception requires separate counsel treatment.</w:t>
      </w:r>
    </w:p>
    <w:p>
      <w:pPr>
        <w:spacing w:after="100"/>
        <w:ind w:left="720" w:hanging="360"/>
        <w:widowControl/>
        <w:numPr>
          <w:ilvl w:val="0"/>
          <w:numId w:val="38"/>
        </w:numPr>
      </w:pPr>
      <w:r>
        <w:rPr>
          <w:rFonts w:ascii="Calibri" w:hAnsi="Calibri" w:eastAsia="Calibri"/>
          <w:b/>
          <w:color w:val="202428"/>
          <w:sz w:val="22"/>
        </w:rPr>
        <w:t>RON vendor:</w:t>
      </w:r>
      <w:r>
        <w:rPr>
          <w:rFonts w:ascii="Calibri" w:hAnsi="Calibri" w:eastAsia="Calibri"/>
          <w:color w:val="202428"/>
          <w:sz w:val="22"/>
        </w:rPr>
        <w:t xml:space="preserve"> identity-proofing/credential-analysis data and repository services under notary/vendor terms.</w:t>
      </w:r>
    </w:p>
    <w:p>
      <w:pPr>
        <w:spacing w:after="100"/>
        <w:ind w:left="720" w:hanging="360"/>
        <w:widowControl/>
        <w:numPr>
          <w:ilvl w:val="0"/>
          <w:numId w:val="38"/>
        </w:numPr>
      </w:pPr>
      <w:r>
        <w:rPr>
          <w:rFonts w:ascii="Calibri" w:hAnsi="Calibri" w:eastAsia="Calibri"/>
          <w:b/>
          <w:color w:val="202428"/>
          <w:sz w:val="22"/>
        </w:rPr>
        <w:t>DGG:</w:t>
      </w:r>
      <w:r>
        <w:rPr>
          <w:rFonts w:ascii="Calibri" w:hAnsi="Calibri" w:eastAsia="Calibri"/>
          <w:color w:val="202428"/>
          <w:sz w:val="22"/>
        </w:rPr>
        <w:t xml:space="preserve"> signed participant release; published CSR copy; PMR raw master and derivatives; source packet; version/hash/change logs; campaign contact/cost/classification records; incident and preservation records.</w:t>
      </w:r>
    </w:p>
    <w:p>
      <w:pPr>
        <w:spacing w:after="100"/>
        <w:ind w:left="720" w:hanging="360"/>
        <w:widowControl/>
        <w:numPr>
          <w:ilvl w:val="0"/>
          <w:numId w:val="38"/>
        </w:numPr>
      </w:pPr>
      <w:r>
        <w:rPr>
          <w:rFonts w:ascii="Calibri" w:hAnsi="Calibri" w:eastAsia="Calibri"/>
          <w:b/>
          <w:color w:val="202428"/>
          <w:sz w:val="22"/>
        </w:rPr>
        <w:t>Participant:</w:t>
      </w:r>
      <w:r>
        <w:rPr>
          <w:rFonts w:ascii="Calibri" w:hAnsi="Calibri" w:eastAsia="Calibri"/>
          <w:color w:val="202428"/>
          <w:sz w:val="22"/>
        </w:rPr>
        <w:t xml:space="preserve"> participant’s copy of invitations, sources, CSR, certificate, consents, and corrections.</w:t>
      </w:r>
    </w:p>
    <w:p>
      <w:pPr>
        <w:widowControl/>
      </w:pPr>
      <w:r>
        <w:br w:type="page"/>
      </w:r>
    </w:p>
    <w:p>
      <w:pPr>
        <w:pStyle w:val="Heading1"/>
        <w:keepNext/>
        <w:widowControl/>
      </w:pPr>
      <w:r>
        <w:rPr>
          <w:rFonts w:ascii="Calibri" w:hAnsi="Calibri" w:eastAsia="Calibri"/>
          <w:color w:val="2E74B5"/>
          <w:sz w:val="32"/>
        </w:rPr>
        <w:t>Appendix C. Authorities and research sources</w:t>
      </w:r>
    </w:p>
    <w:p>
      <w:pPr>
        <w:pStyle w:val="Heading2"/>
        <w:keepNext/>
        <w:widowControl/>
      </w:pPr>
      <w:r>
        <w:rPr>
          <w:rFonts w:ascii="Calibri" w:hAnsi="Calibri" w:eastAsia="Calibri"/>
          <w:color w:val="2E74B5"/>
          <w:sz w:val="26"/>
        </w:rPr>
        <w:t>C.1 Washington statutes and rules</w:t>
      </w:r>
    </w:p>
    <w:p>
      <w:pPr>
        <w:pStyle w:val="CompactSource"/>
        <w:spacing w:after="60"/>
        <w:ind w:left="720" w:hanging="360"/>
        <w:widowControl/>
        <w:numPr>
          <w:ilvl w:val="0"/>
          <w:numId w:val="39"/>
        </w:numPr>
      </w:pPr>
      <w:r>
        <w:rPr>
          <w:rFonts w:ascii="Calibri" w:hAnsi="Calibri" w:eastAsia="Calibri"/>
          <w:color w:val="202428"/>
          <w:sz w:val="18"/>
        </w:rPr>
        <w:t xml:space="preserve">Chapter 42.45 RCW, Revised Uniform Law on Notarial Acts: </w:t>
      </w:r>
      <w:hyperlink r:id="rId13">
        <w:r>
          <w:rPr>
            <w:color w:val="0563C1"/>
            <w:u w:val="single"/>
            <w:rFonts w:ascii="Calibri" w:hAnsi="Calibri"/>
            <w:sz w:val="18"/>
          </w:rPr>
          <w:t>app.leg.wa.gov/rcw/default.aspx</w:t>
        </w:r>
      </w:hyperlink>
      <w:r>
        <w:rPr>
          <w:rFonts w:ascii="Calibri" w:hAnsi="Calibri" w:eastAsia="Calibri"/>
          <w:color w:val="202428"/>
          <w:sz w:val="18"/>
        </w:rPr>
        <w:t>.</w:t>
      </w:r>
    </w:p>
    <w:p>
      <w:pPr>
        <w:pStyle w:val="CompactSource"/>
        <w:spacing w:after="60"/>
        <w:ind w:left="720" w:hanging="360"/>
        <w:widowControl/>
        <w:numPr>
          <w:ilvl w:val="0"/>
          <w:numId w:val="39"/>
        </w:numPr>
      </w:pPr>
      <w:r>
        <w:rPr>
          <w:rFonts w:ascii="Calibri" w:hAnsi="Calibri" w:eastAsia="Calibri"/>
          <w:color w:val="202428"/>
          <w:sz w:val="18"/>
        </w:rPr>
        <w:t xml:space="preserve">RCW 42.45.010, definitions: </w:t>
      </w:r>
      <w:hyperlink r:id="rId14">
        <w:r>
          <w:rPr>
            <w:color w:val="0563C1"/>
            <w:u w:val="single"/>
            <w:rFonts w:ascii="Calibri" w:hAnsi="Calibri"/>
            <w:sz w:val="18"/>
          </w:rPr>
          <w:t>app.leg.wa.gov/RCW/default.aspx</w:t>
        </w:r>
      </w:hyperlink>
      <w:r>
        <w:rPr>
          <w:rFonts w:ascii="Calibri" w:hAnsi="Calibri" w:eastAsia="Calibri"/>
          <w:color w:val="202428"/>
          <w:sz w:val="18"/>
        </w:rPr>
        <w:t>.</w:t>
      </w:r>
    </w:p>
    <w:p>
      <w:pPr>
        <w:pStyle w:val="CompactSource"/>
        <w:spacing w:after="60"/>
        <w:ind w:left="720" w:hanging="360"/>
        <w:widowControl/>
        <w:numPr>
          <w:ilvl w:val="0"/>
          <w:numId w:val="39"/>
        </w:numPr>
      </w:pPr>
      <w:r>
        <w:rPr>
          <w:rFonts w:ascii="Calibri" w:hAnsi="Calibri" w:eastAsia="Calibri"/>
          <w:color w:val="202428"/>
          <w:sz w:val="18"/>
        </w:rPr>
        <w:t xml:space="preserve">RCW 42.45.020, authority and disqualifying interest: </w:t>
      </w:r>
      <w:hyperlink r:id="rId15">
        <w:r>
          <w:rPr>
            <w:color w:val="0563C1"/>
            <w:u w:val="single"/>
            <w:rFonts w:ascii="Calibri" w:hAnsi="Calibri"/>
            <w:sz w:val="18"/>
          </w:rPr>
          <w:t>app.leg.wa.gov/RCW/default.aspx</w:t>
        </w:r>
      </w:hyperlink>
      <w:r>
        <w:rPr>
          <w:rFonts w:ascii="Calibri" w:hAnsi="Calibri" w:eastAsia="Calibri"/>
          <w:color w:val="202428"/>
          <w:sz w:val="18"/>
        </w:rPr>
        <w:t>.</w:t>
      </w:r>
    </w:p>
    <w:p>
      <w:pPr>
        <w:pStyle w:val="CompactSource"/>
        <w:spacing w:after="60"/>
        <w:ind w:left="720" w:hanging="360"/>
        <w:widowControl/>
        <w:numPr>
          <w:ilvl w:val="0"/>
          <w:numId w:val="39"/>
        </w:numPr>
      </w:pPr>
      <w:r>
        <w:rPr>
          <w:rFonts w:ascii="Calibri" w:hAnsi="Calibri" w:eastAsia="Calibri"/>
          <w:color w:val="202428"/>
          <w:sz w:val="18"/>
        </w:rPr>
        <w:t xml:space="preserve">RCW 42.45.030–.060, verification, appearance, identity, and refusal: </w:t>
      </w:r>
      <w:hyperlink r:id="rId13">
        <w:r>
          <w:rPr>
            <w:color w:val="0563C1"/>
            <w:u w:val="single"/>
            <w:rFonts w:ascii="Calibri" w:hAnsi="Calibri"/>
            <w:sz w:val="18"/>
          </w:rPr>
          <w:t>app.leg.wa.gov/rcw/default.aspx</w:t>
        </w:r>
      </w:hyperlink>
      <w:r>
        <w:rPr>
          <w:rFonts w:ascii="Calibri" w:hAnsi="Calibri" w:eastAsia="Calibri"/>
          <w:color w:val="202428"/>
          <w:sz w:val="18"/>
        </w:rPr>
        <w:t>.</w:t>
      </w:r>
    </w:p>
    <w:p>
      <w:pPr>
        <w:pStyle w:val="CompactSource"/>
        <w:spacing w:after="60"/>
        <w:ind w:left="720" w:hanging="360"/>
        <w:widowControl/>
        <w:numPr>
          <w:ilvl w:val="0"/>
          <w:numId w:val="39"/>
        </w:numPr>
      </w:pPr>
      <w:r>
        <w:rPr>
          <w:rFonts w:ascii="Calibri" w:hAnsi="Calibri" w:eastAsia="Calibri"/>
          <w:color w:val="202428"/>
          <w:sz w:val="18"/>
        </w:rPr>
        <w:t xml:space="preserve">RCW 42.45.090, effect of another state’s notarial act in Washington: </w:t>
      </w:r>
      <w:hyperlink r:id="rId16">
        <w:r>
          <w:rPr>
            <w:color w:val="0563C1"/>
            <w:u w:val="single"/>
            <w:rFonts w:ascii="Calibri" w:hAnsi="Calibri"/>
            <w:sz w:val="18"/>
          </w:rPr>
          <w:t>app.leg.wa.gov/RCW/default.aspx</w:t>
        </w:r>
      </w:hyperlink>
      <w:r>
        <w:rPr>
          <w:rFonts w:ascii="Calibri" w:hAnsi="Calibri" w:eastAsia="Calibri"/>
          <w:color w:val="202428"/>
          <w:sz w:val="18"/>
        </w:rPr>
        <w:t>.</w:t>
      </w:r>
    </w:p>
    <w:p>
      <w:pPr>
        <w:pStyle w:val="CompactSource"/>
        <w:spacing w:after="60"/>
        <w:ind w:left="720" w:hanging="360"/>
        <w:widowControl/>
        <w:numPr>
          <w:ilvl w:val="0"/>
          <w:numId w:val="39"/>
        </w:numPr>
      </w:pPr>
      <w:r>
        <w:rPr>
          <w:rFonts w:ascii="Calibri" w:hAnsi="Calibri" w:eastAsia="Calibri"/>
          <w:color w:val="202428"/>
          <w:sz w:val="18"/>
        </w:rPr>
        <w:t xml:space="preserve">RCW 42.45.130–.140, certificate and short forms: </w:t>
      </w:r>
      <w:hyperlink r:id="rId17">
        <w:r>
          <w:rPr>
            <w:color w:val="0563C1"/>
            <w:u w:val="single"/>
            <w:rFonts w:ascii="Calibri" w:hAnsi="Calibri"/>
            <w:sz w:val="18"/>
          </w:rPr>
          <w:t>app.leg.wa.gov/RCW/default.aspx</w:t>
        </w:r>
      </w:hyperlink>
      <w:r>
        <w:rPr>
          <w:rFonts w:ascii="Calibri" w:hAnsi="Calibri" w:eastAsia="Calibri"/>
          <w:color w:val="202428"/>
          <w:sz w:val="18"/>
        </w:rPr>
        <w:t xml:space="preserve">; </w:t>
      </w:r>
      <w:hyperlink r:id="rId18">
        <w:r>
          <w:rPr>
            <w:color w:val="0563C1"/>
            <w:u w:val="single"/>
            <w:rFonts w:ascii="Calibri" w:hAnsi="Calibri"/>
            <w:sz w:val="18"/>
          </w:rPr>
          <w:t>app.leg.wa.gov/RCW/default.aspx</w:t>
        </w:r>
      </w:hyperlink>
      <w:r>
        <w:rPr>
          <w:rFonts w:ascii="Calibri" w:hAnsi="Calibri" w:eastAsia="Calibri"/>
          <w:color w:val="202428"/>
          <w:sz w:val="18"/>
        </w:rPr>
        <w:t>.</w:t>
      </w:r>
    </w:p>
    <w:p>
      <w:pPr>
        <w:pStyle w:val="CompactSource"/>
        <w:spacing w:after="60"/>
        <w:ind w:left="720" w:hanging="360"/>
        <w:widowControl/>
        <w:numPr>
          <w:ilvl w:val="0"/>
          <w:numId w:val="39"/>
        </w:numPr>
      </w:pPr>
      <w:r>
        <w:rPr>
          <w:rFonts w:ascii="Calibri" w:hAnsi="Calibri" w:eastAsia="Calibri"/>
          <w:color w:val="202428"/>
          <w:sz w:val="18"/>
        </w:rPr>
        <w:t xml:space="preserve">RCW 42.45.180, journal: </w:t>
      </w:r>
      <w:hyperlink r:id="rId19">
        <w:r>
          <w:rPr>
            <w:color w:val="0563C1"/>
            <w:u w:val="single"/>
            <w:rFonts w:ascii="Calibri" w:hAnsi="Calibri"/>
            <w:sz w:val="18"/>
          </w:rPr>
          <w:t>app.leg.wa.gov/RCW/default.aspx</w:t>
        </w:r>
      </w:hyperlink>
      <w:r>
        <w:rPr>
          <w:rFonts w:ascii="Calibri" w:hAnsi="Calibri" w:eastAsia="Calibri"/>
          <w:color w:val="202428"/>
          <w:sz w:val="18"/>
        </w:rPr>
        <w:t>.</w:t>
      </w:r>
    </w:p>
    <w:p>
      <w:pPr>
        <w:pStyle w:val="CompactSource"/>
        <w:spacing w:after="60"/>
        <w:ind w:left="720" w:hanging="360"/>
        <w:widowControl/>
        <w:numPr>
          <w:ilvl w:val="0"/>
          <w:numId w:val="39"/>
        </w:numPr>
      </w:pPr>
      <w:r>
        <w:rPr>
          <w:rFonts w:ascii="Calibri" w:hAnsi="Calibri" w:eastAsia="Calibri"/>
          <w:color w:val="202428"/>
          <w:sz w:val="18"/>
        </w:rPr>
        <w:t xml:space="preserve">RCW 42.45.230–.240, prohibited acts and validity: </w:t>
      </w:r>
      <w:hyperlink r:id="rId20">
        <w:r>
          <w:rPr>
            <w:color w:val="0563C1"/>
            <w:u w:val="single"/>
            <w:rFonts w:ascii="Calibri" w:hAnsi="Calibri"/>
            <w:sz w:val="18"/>
          </w:rPr>
          <w:t>app.leg.wa.gov/RCW/default.aspx</w:t>
        </w:r>
      </w:hyperlink>
      <w:r>
        <w:rPr>
          <w:rFonts w:ascii="Calibri" w:hAnsi="Calibri" w:eastAsia="Calibri"/>
          <w:color w:val="202428"/>
          <w:sz w:val="18"/>
        </w:rPr>
        <w:t xml:space="preserve">; </w:t>
      </w:r>
      <w:hyperlink r:id="rId21">
        <w:r>
          <w:rPr>
            <w:color w:val="0563C1"/>
            <w:u w:val="single"/>
            <w:rFonts w:ascii="Calibri" w:hAnsi="Calibri"/>
            <w:sz w:val="18"/>
          </w:rPr>
          <w:t>app.leg.wa.gov/RCW/default.aspx</w:t>
        </w:r>
      </w:hyperlink>
      <w:r>
        <w:rPr>
          <w:rFonts w:ascii="Calibri" w:hAnsi="Calibri" w:eastAsia="Calibri"/>
          <w:color w:val="202428"/>
          <w:sz w:val="18"/>
        </w:rPr>
        <w:t>.</w:t>
      </w:r>
    </w:p>
    <w:p>
      <w:pPr>
        <w:pStyle w:val="CompactSource"/>
        <w:spacing w:after="60"/>
        <w:ind w:left="720" w:hanging="360"/>
        <w:widowControl/>
        <w:numPr>
          <w:ilvl w:val="0"/>
          <w:numId w:val="39"/>
        </w:numPr>
      </w:pPr>
      <w:r>
        <w:rPr>
          <w:rFonts w:ascii="Calibri" w:hAnsi="Calibri" w:eastAsia="Calibri"/>
          <w:color w:val="202428"/>
          <w:sz w:val="18"/>
        </w:rPr>
        <w:t xml:space="preserve">RCW 42.45.280, current and January 1, 2027 remote-notary versions: </w:t>
      </w:r>
      <w:hyperlink r:id="rId22">
        <w:r>
          <w:rPr>
            <w:color w:val="0563C1"/>
            <w:u w:val="single"/>
            <w:rFonts w:ascii="Calibri" w:hAnsi="Calibri"/>
            <w:sz w:val="18"/>
          </w:rPr>
          <w:t>app.leg.wa.gov/RCW/default.aspx</w:t>
        </w:r>
      </w:hyperlink>
      <w:r>
        <w:rPr>
          <w:rFonts w:ascii="Calibri" w:hAnsi="Calibri" w:eastAsia="Calibri"/>
          <w:color w:val="202428"/>
          <w:sz w:val="18"/>
        </w:rPr>
        <w:t>.</w:t>
      </w:r>
    </w:p>
    <w:p>
      <w:pPr>
        <w:pStyle w:val="CompactSource"/>
        <w:spacing w:after="60"/>
        <w:ind w:left="720" w:hanging="360"/>
        <w:widowControl/>
        <w:numPr>
          <w:ilvl w:val="0"/>
          <w:numId w:val="39"/>
        </w:numPr>
      </w:pPr>
      <w:r>
        <w:rPr>
          <w:rFonts w:ascii="Calibri" w:hAnsi="Calibri" w:eastAsia="Calibri"/>
          <w:color w:val="202428"/>
          <w:sz w:val="18"/>
        </w:rPr>
        <w:t xml:space="preserve">Chapter 308-30 WAC, notary rules: </w:t>
      </w:r>
      <w:hyperlink r:id="rId23">
        <w:r>
          <w:rPr>
            <w:color w:val="0563C1"/>
            <w:u w:val="single"/>
            <w:rFonts w:ascii="Calibri" w:hAnsi="Calibri"/>
            <w:sz w:val="18"/>
          </w:rPr>
          <w:t>app.leg.wa.gov/WAC/default.aspx</w:t>
        </w:r>
      </w:hyperlink>
      <w:r>
        <w:rPr>
          <w:rFonts w:ascii="Calibri" w:hAnsi="Calibri" w:eastAsia="Calibri"/>
          <w:color w:val="202428"/>
          <w:sz w:val="18"/>
        </w:rPr>
        <w:t>.</w:t>
      </w:r>
    </w:p>
    <w:p>
      <w:pPr>
        <w:pStyle w:val="CompactSource"/>
        <w:spacing w:after="60"/>
        <w:ind w:left="720" w:hanging="360"/>
        <w:widowControl/>
        <w:numPr>
          <w:ilvl w:val="0"/>
          <w:numId w:val="39"/>
        </w:numPr>
      </w:pPr>
      <w:r>
        <w:rPr>
          <w:rFonts w:ascii="Calibri" w:hAnsi="Calibri" w:eastAsia="Calibri"/>
          <w:color w:val="202428"/>
          <w:sz w:val="18"/>
        </w:rPr>
        <w:t>WAC 308-30-110, Washington location; WAC 308-30-190 through -240, journal, fees, promotion, and UPL; WAC 308-30-290 through -330, RON: same chapter link above.</w:t>
      </w:r>
    </w:p>
    <w:p>
      <w:pPr>
        <w:pStyle w:val="CompactSource"/>
        <w:spacing w:after="60"/>
        <w:ind w:left="720" w:hanging="360"/>
        <w:widowControl/>
        <w:numPr>
          <w:ilvl w:val="0"/>
          <w:numId w:val="39"/>
        </w:numPr>
      </w:pPr>
      <w:r>
        <w:rPr>
          <w:rFonts w:ascii="Calibri" w:hAnsi="Calibri" w:eastAsia="Calibri"/>
          <w:color w:val="202428"/>
          <w:sz w:val="18"/>
        </w:rPr>
        <w:t xml:space="preserve">Washington DOL, Notary Resources and Publications: </w:t>
      </w:r>
      <w:hyperlink r:id="rId24">
        <w:r>
          <w:rPr>
            <w:color w:val="0563C1"/>
            <w:u w:val="single"/>
            <w:rFonts w:ascii="Calibri" w:hAnsi="Calibri"/>
            <w:sz w:val="18"/>
          </w:rPr>
          <w:t>dol.wa.gov/professional-licenses/notaries-pub…</w:t>
        </w:r>
      </w:hyperlink>
      <w:r>
        <w:rPr>
          <w:rFonts w:ascii="Calibri" w:hAnsi="Calibri" w:eastAsia="Calibri"/>
          <w:color w:val="202428"/>
          <w:sz w:val="18"/>
        </w:rPr>
        <w:t>.</w:t>
      </w:r>
    </w:p>
    <w:p>
      <w:pPr>
        <w:pStyle w:val="CompactSource"/>
        <w:spacing w:after="60"/>
        <w:ind w:left="720" w:hanging="360"/>
        <w:widowControl/>
        <w:numPr>
          <w:ilvl w:val="0"/>
          <w:numId w:val="39"/>
        </w:numPr>
      </w:pPr>
      <w:r>
        <w:rPr>
          <w:rFonts w:ascii="Calibri" w:hAnsi="Calibri" w:eastAsia="Calibri"/>
          <w:color w:val="202428"/>
          <w:sz w:val="18"/>
        </w:rPr>
        <w:t xml:space="preserve">Chapter 9A.72 RCW, perjury and interference with official proceedings: </w:t>
      </w:r>
      <w:hyperlink r:id="rId25">
        <w:r>
          <w:rPr>
            <w:color w:val="0563C1"/>
            <w:u w:val="single"/>
            <w:rFonts w:ascii="Calibri" w:hAnsi="Calibri"/>
            <w:sz w:val="18"/>
          </w:rPr>
          <w:t>app.leg.wa.gov/RCW/default.aspx</w:t>
        </w:r>
      </w:hyperlink>
      <w:r>
        <w:rPr>
          <w:rFonts w:ascii="Calibri" w:hAnsi="Calibri" w:eastAsia="Calibri"/>
          <w:color w:val="202428"/>
          <w:sz w:val="18"/>
        </w:rPr>
        <w:t>.</w:t>
      </w:r>
    </w:p>
    <w:p>
      <w:pPr>
        <w:pStyle w:val="CompactSource"/>
        <w:spacing w:after="60"/>
        <w:ind w:left="720" w:hanging="360"/>
        <w:widowControl/>
        <w:numPr>
          <w:ilvl w:val="0"/>
          <w:numId w:val="39"/>
        </w:numPr>
      </w:pPr>
      <w:r>
        <w:rPr>
          <w:rFonts w:ascii="Calibri" w:hAnsi="Calibri" w:eastAsia="Calibri"/>
          <w:color w:val="202428"/>
          <w:sz w:val="18"/>
        </w:rPr>
        <w:t xml:space="preserve">RCW 9A.72.010, current definitions after 2025 amendment: </w:t>
      </w:r>
      <w:hyperlink r:id="rId26">
        <w:r>
          <w:rPr>
            <w:color w:val="0563C1"/>
            <w:u w:val="single"/>
            <w:rFonts w:ascii="Calibri" w:hAnsi="Calibri"/>
            <w:sz w:val="18"/>
          </w:rPr>
          <w:t>app.leg.wa.gov/RCW/default.aspx</w:t>
        </w:r>
      </w:hyperlink>
      <w:r>
        <w:rPr>
          <w:rFonts w:ascii="Calibri" w:hAnsi="Calibri" w:eastAsia="Calibri"/>
          <w:color w:val="202428"/>
          <w:sz w:val="18"/>
        </w:rPr>
        <w:t>.</w:t>
      </w:r>
    </w:p>
    <w:p>
      <w:pPr>
        <w:pStyle w:val="CompactSource"/>
        <w:spacing w:after="60"/>
        <w:ind w:left="720" w:hanging="360"/>
        <w:widowControl/>
        <w:numPr>
          <w:ilvl w:val="0"/>
          <w:numId w:val="39"/>
        </w:numPr>
      </w:pPr>
      <w:r>
        <w:rPr>
          <w:rFonts w:ascii="Calibri" w:hAnsi="Calibri" w:eastAsia="Calibri"/>
          <w:color w:val="202428"/>
          <w:sz w:val="18"/>
        </w:rPr>
        <w:t>RCW 9A.72.020–.040, perjury and false swearing; .060–.080, retraction, defects, and knowledge: chapter link above.</w:t>
      </w:r>
    </w:p>
    <w:p>
      <w:pPr>
        <w:pStyle w:val="CompactSource"/>
        <w:spacing w:after="60"/>
        <w:ind w:left="720" w:hanging="360"/>
        <w:widowControl/>
        <w:numPr>
          <w:ilvl w:val="0"/>
          <w:numId w:val="39"/>
        </w:numPr>
      </w:pPr>
      <w:r>
        <w:rPr>
          <w:rFonts w:ascii="Calibri" w:hAnsi="Calibri" w:eastAsia="Calibri"/>
          <w:color w:val="202428"/>
          <w:sz w:val="18"/>
        </w:rPr>
        <w:t xml:space="preserve">RCW 9A.04.030, territorial applicability: </w:t>
      </w:r>
      <w:hyperlink r:id="rId27">
        <w:r>
          <w:rPr>
            <w:color w:val="0563C1"/>
            <w:u w:val="single"/>
            <w:rFonts w:ascii="Calibri" w:hAnsi="Calibri"/>
            <w:sz w:val="18"/>
          </w:rPr>
          <w:t>app.leg.wa.gov/RCW/default.aspx</w:t>
        </w:r>
      </w:hyperlink>
      <w:r>
        <w:rPr>
          <w:rFonts w:ascii="Calibri" w:hAnsi="Calibri" w:eastAsia="Calibri"/>
          <w:color w:val="202428"/>
          <w:sz w:val="18"/>
        </w:rPr>
        <w:t>.</w:t>
      </w:r>
    </w:p>
    <w:p>
      <w:pPr>
        <w:pStyle w:val="CompactSource"/>
        <w:spacing w:after="60"/>
        <w:ind w:left="720" w:hanging="360"/>
        <w:widowControl/>
        <w:numPr>
          <w:ilvl w:val="0"/>
          <w:numId w:val="39"/>
        </w:numPr>
      </w:pPr>
      <w:r>
        <w:rPr>
          <w:rFonts w:ascii="Calibri" w:hAnsi="Calibri" w:eastAsia="Calibri"/>
          <w:color w:val="202428"/>
          <w:sz w:val="18"/>
        </w:rPr>
        <w:t xml:space="preserve">Chapter 5.50 RCW, Uniform Unsworn Declarations Act: </w:t>
      </w:r>
      <w:hyperlink r:id="rId28">
        <w:r>
          <w:rPr>
            <w:color w:val="0563C1"/>
            <w:u w:val="single"/>
            <w:rFonts w:ascii="Calibri" w:hAnsi="Calibri"/>
            <w:sz w:val="18"/>
          </w:rPr>
          <w:t>app.leg.wa.gov/RCW/default.aspx</w:t>
        </w:r>
      </w:hyperlink>
      <w:r>
        <w:rPr>
          <w:rFonts w:ascii="Calibri" w:hAnsi="Calibri" w:eastAsia="Calibri"/>
          <w:color w:val="202428"/>
          <w:sz w:val="18"/>
        </w:rPr>
        <w:t>.</w:t>
      </w:r>
    </w:p>
    <w:p>
      <w:pPr>
        <w:pStyle w:val="CompactSource"/>
        <w:spacing w:after="60"/>
        <w:ind w:left="720" w:hanging="360"/>
        <w:widowControl/>
        <w:numPr>
          <w:ilvl w:val="0"/>
          <w:numId w:val="39"/>
        </w:numPr>
      </w:pPr>
      <w:r>
        <w:rPr>
          <w:rFonts w:ascii="Calibri" w:hAnsi="Calibri" w:eastAsia="Calibri"/>
          <w:color w:val="202428"/>
          <w:sz w:val="18"/>
        </w:rPr>
        <w:t xml:space="preserve">Chapter 10.88 RCW, Uniform Criminal Extradition Act: </w:t>
      </w:r>
      <w:hyperlink r:id="rId29">
        <w:r>
          <w:rPr>
            <w:color w:val="0563C1"/>
            <w:u w:val="single"/>
            <w:rFonts w:ascii="Calibri" w:hAnsi="Calibri"/>
            <w:sz w:val="18"/>
          </w:rPr>
          <w:t>app.leg.wa.gov/RCW/default.aspx</w:t>
        </w:r>
      </w:hyperlink>
      <w:r>
        <w:rPr>
          <w:rFonts w:ascii="Calibri" w:hAnsi="Calibri" w:eastAsia="Calibri"/>
          <w:color w:val="202428"/>
          <w:sz w:val="18"/>
        </w:rPr>
        <w:t>.</w:t>
      </w:r>
    </w:p>
    <w:p>
      <w:pPr>
        <w:pStyle w:val="CompactSource"/>
        <w:spacing w:after="60"/>
        <w:ind w:left="720" w:hanging="360"/>
        <w:widowControl/>
        <w:numPr>
          <w:ilvl w:val="0"/>
          <w:numId w:val="39"/>
        </w:numPr>
      </w:pPr>
      <w:r>
        <w:rPr>
          <w:rFonts w:ascii="Calibri" w:hAnsi="Calibri" w:eastAsia="Calibri"/>
          <w:color w:val="202428"/>
          <w:sz w:val="18"/>
        </w:rPr>
        <w:t xml:space="preserve">RCW 9.73.030, recording consent: </w:t>
      </w:r>
      <w:hyperlink r:id="rId30">
        <w:r>
          <w:rPr>
            <w:color w:val="0563C1"/>
            <w:u w:val="single"/>
            <w:rFonts w:ascii="Calibri" w:hAnsi="Calibri"/>
            <w:sz w:val="18"/>
          </w:rPr>
          <w:t>app.leg.wa.gov/RCW/default.aspx</w:t>
        </w:r>
      </w:hyperlink>
      <w:r>
        <w:rPr>
          <w:rFonts w:ascii="Calibri" w:hAnsi="Calibri" w:eastAsia="Calibri"/>
          <w:color w:val="202428"/>
          <w:sz w:val="18"/>
        </w:rPr>
        <w:t>.</w:t>
      </w:r>
    </w:p>
    <w:p>
      <w:pPr>
        <w:pStyle w:val="CompactSource"/>
        <w:spacing w:after="60"/>
        <w:ind w:left="720" w:hanging="360"/>
        <w:widowControl/>
        <w:numPr>
          <w:ilvl w:val="0"/>
          <w:numId w:val="39"/>
        </w:numPr>
      </w:pPr>
      <w:r>
        <w:rPr>
          <w:rFonts w:ascii="Calibri" w:hAnsi="Calibri" w:eastAsia="Calibri"/>
          <w:color w:val="202428"/>
          <w:sz w:val="18"/>
        </w:rPr>
        <w:t xml:space="preserve">Washington Evidence Rules 801, 901, and 902: </w:t>
      </w:r>
      <w:hyperlink r:id="rId31">
        <w:r>
          <w:rPr>
            <w:color w:val="0563C1"/>
            <w:u w:val="single"/>
            <w:rFonts w:ascii="Calibri" w:hAnsi="Calibri"/>
            <w:sz w:val="18"/>
          </w:rPr>
          <w:t>courts.wa.gov/court_rules</w:t>
        </w:r>
      </w:hyperlink>
      <w:r>
        <w:rPr>
          <w:rFonts w:ascii="Calibri" w:hAnsi="Calibri" w:eastAsia="Calibri"/>
          <w:color w:val="202428"/>
          <w:sz w:val="18"/>
        </w:rPr>
        <w:t>.</w:t>
      </w:r>
    </w:p>
    <w:p>
      <w:pPr>
        <w:pStyle w:val="CompactSource"/>
        <w:spacing w:after="60"/>
        <w:ind w:left="720" w:hanging="360"/>
        <w:widowControl/>
        <w:numPr>
          <w:ilvl w:val="0"/>
          <w:numId w:val="39"/>
        </w:numPr>
      </w:pPr>
      <w:r>
        <w:rPr>
          <w:rFonts w:ascii="Calibri" w:hAnsi="Calibri" w:eastAsia="Calibri"/>
          <w:color w:val="202428"/>
          <w:sz w:val="18"/>
        </w:rPr>
        <w:t xml:space="preserve">Title 29B definitions: </w:t>
      </w:r>
      <w:hyperlink r:id="rId32">
        <w:r>
          <w:rPr>
            <w:color w:val="0563C1"/>
            <w:u w:val="single"/>
            <w:rFonts w:ascii="Calibri" w:hAnsi="Calibri"/>
            <w:sz w:val="18"/>
          </w:rPr>
          <w:t>app.leg.wa.gov/RCW/default.aspx</w:t>
        </w:r>
      </w:hyperlink>
      <w:r>
        <w:rPr>
          <w:rFonts w:ascii="Calibri" w:hAnsi="Calibri" w:eastAsia="Calibri"/>
          <w:color w:val="202428"/>
          <w:sz w:val="18"/>
        </w:rPr>
        <w:t xml:space="preserve">; recodification disposition: </w:t>
      </w:r>
      <w:hyperlink r:id="rId33">
        <w:r>
          <w:rPr>
            <w:color w:val="0563C1"/>
            <w:u w:val="single"/>
            <w:rFonts w:ascii="Calibri" w:hAnsi="Calibri"/>
            <w:sz w:val="18"/>
          </w:rPr>
          <w:t>app.leg.wa.gov/rcw/dispo.aspx</w:t>
        </w:r>
      </w:hyperlink>
      <w:r>
        <w:rPr>
          <w:rFonts w:ascii="Calibri" w:hAnsi="Calibri" w:eastAsia="Calibri"/>
          <w:color w:val="202428"/>
          <w:sz w:val="18"/>
        </w:rPr>
        <w:t>.</w:t>
      </w:r>
    </w:p>
    <w:p>
      <w:pPr>
        <w:pStyle w:val="CompactSource"/>
        <w:spacing w:after="60"/>
        <w:ind w:left="720" w:hanging="360"/>
        <w:widowControl/>
        <w:numPr>
          <w:ilvl w:val="0"/>
          <w:numId w:val="39"/>
        </w:numPr>
      </w:pPr>
      <w:r>
        <w:rPr>
          <w:rFonts w:ascii="Calibri" w:hAnsi="Calibri" w:eastAsia="Calibri"/>
          <w:color w:val="202428"/>
          <w:sz w:val="18"/>
        </w:rPr>
        <w:t xml:space="preserve">RCW 29B.25.120, independent-expenditure special reports: </w:t>
      </w:r>
      <w:hyperlink r:id="rId34">
        <w:r>
          <w:rPr>
            <w:color w:val="0563C1"/>
            <w:u w:val="single"/>
            <w:rFonts w:ascii="Calibri" w:hAnsi="Calibri"/>
            <w:sz w:val="18"/>
          </w:rPr>
          <w:t>app.leg.wa.gov/RCW/default.aspx</w:t>
        </w:r>
      </w:hyperlink>
      <w:r>
        <w:rPr>
          <w:rFonts w:ascii="Calibri" w:hAnsi="Calibri" w:eastAsia="Calibri"/>
          <w:color w:val="202428"/>
          <w:sz w:val="18"/>
        </w:rPr>
        <w:t>.</w:t>
      </w:r>
    </w:p>
    <w:p>
      <w:pPr>
        <w:pStyle w:val="CompactSource"/>
        <w:spacing w:after="60"/>
        <w:ind w:left="720" w:hanging="360"/>
        <w:widowControl/>
        <w:numPr>
          <w:ilvl w:val="0"/>
          <w:numId w:val="39"/>
        </w:numPr>
      </w:pPr>
      <w:r>
        <w:rPr>
          <w:rFonts w:ascii="Calibri" w:hAnsi="Calibri" w:eastAsia="Calibri"/>
          <w:color w:val="202428"/>
          <w:sz w:val="18"/>
        </w:rPr>
        <w:t xml:space="preserve">RCW 29B.30.050, sponsor identification; RCW 29B.30.070, actual-malicious defamatory political advertising: </w:t>
      </w:r>
      <w:hyperlink r:id="rId35">
        <w:r>
          <w:rPr>
            <w:color w:val="0563C1"/>
            <w:u w:val="single"/>
            <w:rFonts w:ascii="Calibri" w:hAnsi="Calibri"/>
            <w:sz w:val="18"/>
          </w:rPr>
          <w:t>app.leg.wa.gov/RCW/default.aspx</w:t>
        </w:r>
      </w:hyperlink>
      <w:r>
        <w:rPr>
          <w:rFonts w:ascii="Calibri" w:hAnsi="Calibri" w:eastAsia="Calibri"/>
          <w:color w:val="202428"/>
          <w:sz w:val="18"/>
        </w:rPr>
        <w:t xml:space="preserve">; </w:t>
      </w:r>
      <w:hyperlink r:id="rId36">
        <w:r>
          <w:rPr>
            <w:color w:val="0563C1"/>
            <w:u w:val="single"/>
            <w:rFonts w:ascii="Calibri" w:hAnsi="Calibri"/>
            <w:sz w:val="18"/>
          </w:rPr>
          <w:t>app.leg.wa.gov/RCW/default.aspx</w:t>
        </w:r>
      </w:hyperlink>
      <w:r>
        <w:rPr>
          <w:rFonts w:ascii="Calibri" w:hAnsi="Calibri" w:eastAsia="Calibri"/>
          <w:color w:val="202428"/>
          <w:sz w:val="18"/>
        </w:rPr>
        <w:t>.</w:t>
      </w:r>
    </w:p>
    <w:p>
      <w:pPr>
        <w:pStyle w:val="CompactSource"/>
        <w:spacing w:after="60"/>
        <w:ind w:left="720" w:hanging="360"/>
        <w:widowControl/>
        <w:numPr>
          <w:ilvl w:val="0"/>
          <w:numId w:val="39"/>
        </w:numPr>
      </w:pPr>
      <w:r>
        <w:rPr>
          <w:rFonts w:ascii="Calibri" w:hAnsi="Calibri" w:eastAsia="Calibri"/>
          <w:color w:val="202428"/>
          <w:sz w:val="18"/>
        </w:rPr>
        <w:t xml:space="preserve">Washington PDC, Title 29B recodification notice: </w:t>
      </w:r>
      <w:hyperlink r:id="rId37">
        <w:r>
          <w:rPr>
            <w:color w:val="0563C1"/>
            <w:u w:val="single"/>
            <w:rFonts w:ascii="Calibri" w:hAnsi="Calibri"/>
            <w:sz w:val="18"/>
          </w:rPr>
          <w:t>pdc.wa.gov/rules-enforcement/pdc-relocating-r…</w:t>
        </w:r>
      </w:hyperlink>
      <w:r>
        <w:rPr>
          <w:rFonts w:ascii="Calibri" w:hAnsi="Calibri" w:eastAsia="Calibri"/>
          <w:color w:val="202428"/>
          <w:sz w:val="18"/>
        </w:rPr>
        <w:t>.</w:t>
      </w:r>
    </w:p>
    <w:p>
      <w:pPr>
        <w:pStyle w:val="Heading2"/>
        <w:keepNext/>
        <w:widowControl/>
      </w:pPr>
      <w:r>
        <w:rPr>
          <w:rFonts w:ascii="Calibri" w:hAnsi="Calibri" w:eastAsia="Calibri"/>
          <w:color w:val="2E74B5"/>
          <w:sz w:val="26"/>
        </w:rPr>
        <w:t>C.2 Washington cases</w:t>
      </w:r>
    </w:p>
    <w:p>
      <w:pPr>
        <w:pStyle w:val="CompactSource"/>
        <w:spacing w:after="60"/>
        <w:ind w:left="720" w:hanging="360"/>
        <w:widowControl/>
        <w:numPr>
          <w:ilvl w:val="0"/>
          <w:numId w:val="40"/>
        </w:numPr>
      </w:pPr>
      <w:r>
        <w:rPr>
          <w:rFonts w:ascii="Calibri" w:hAnsi="Calibri" w:eastAsia="Calibri"/>
          <w:i/>
          <w:color w:val="202428"/>
          <w:sz w:val="18"/>
        </w:rPr>
        <w:t>State v. Lewis</w:t>
      </w:r>
      <w:r>
        <w:rPr>
          <w:rFonts w:ascii="Calibri" w:hAnsi="Calibri" w:eastAsia="Calibri"/>
          <w:color w:val="202428"/>
          <w:sz w:val="18"/>
        </w:rPr>
        <w:t xml:space="preserve">, 85 Wn.2d 769, 539 P.2d 677 (1975): </w:t>
      </w:r>
      <w:hyperlink r:id="rId38">
        <w:r>
          <w:rPr>
            <w:color w:val="0563C1"/>
            <w:u w:val="single"/>
            <w:rFonts w:ascii="Calibri" w:hAnsi="Calibri"/>
            <w:sz w:val="18"/>
          </w:rPr>
          <w:t>law.justia.com/cases/washington/supreme-court/197…</w:t>
        </w:r>
      </w:hyperlink>
      <w:r>
        <w:rPr>
          <w:rFonts w:ascii="Calibri" w:hAnsi="Calibri" w:eastAsia="Calibri"/>
          <w:color w:val="202428"/>
          <w:sz w:val="18"/>
        </w:rPr>
        <w:t>.</w:t>
      </w:r>
    </w:p>
    <w:p>
      <w:pPr>
        <w:pStyle w:val="CompactSource"/>
        <w:spacing w:after="60"/>
        <w:ind w:left="720" w:hanging="360"/>
        <w:widowControl/>
        <w:numPr>
          <w:ilvl w:val="0"/>
          <w:numId w:val="40"/>
        </w:numPr>
      </w:pPr>
      <w:r>
        <w:rPr>
          <w:rFonts w:ascii="Calibri" w:hAnsi="Calibri" w:eastAsia="Calibri"/>
          <w:i/>
          <w:color w:val="202428"/>
          <w:sz w:val="18"/>
        </w:rPr>
        <w:t>Schoultz v. Department of Motor Vehicles</w:t>
      </w:r>
      <w:r>
        <w:rPr>
          <w:rFonts w:ascii="Calibri" w:hAnsi="Calibri" w:eastAsia="Calibri"/>
          <w:color w:val="202428"/>
          <w:sz w:val="18"/>
        </w:rPr>
        <w:t xml:space="preserve">, 89 Wn.2d 664, 671–72, 574 P.2d 1167 (1978): </w:t>
      </w:r>
      <w:hyperlink r:id="rId39">
        <w:r>
          <w:rPr>
            <w:color w:val="0563C1"/>
            <w:u w:val="single"/>
            <w:rFonts w:ascii="Calibri" w:hAnsi="Calibri"/>
            <w:sz w:val="18"/>
          </w:rPr>
          <w:t>law.justia.com/cases/washington/supreme-court/197…</w:t>
        </w:r>
      </w:hyperlink>
      <w:r>
        <w:rPr>
          <w:rFonts w:ascii="Calibri" w:hAnsi="Calibri" w:eastAsia="Calibri"/>
          <w:color w:val="202428"/>
          <w:sz w:val="18"/>
        </w:rPr>
        <w:t>.</w:t>
      </w:r>
    </w:p>
    <w:p>
      <w:pPr>
        <w:pStyle w:val="CompactSource"/>
        <w:spacing w:after="60"/>
        <w:ind w:left="720" w:hanging="360"/>
        <w:widowControl/>
        <w:numPr>
          <w:ilvl w:val="0"/>
          <w:numId w:val="40"/>
        </w:numPr>
      </w:pPr>
      <w:r>
        <w:rPr>
          <w:rFonts w:ascii="Calibri" w:hAnsi="Calibri" w:eastAsia="Calibri"/>
          <w:i/>
          <w:color w:val="202428"/>
          <w:sz w:val="18"/>
        </w:rPr>
        <w:t>State v. Pella</w:t>
      </w:r>
      <w:r>
        <w:rPr>
          <w:rFonts w:ascii="Calibri" w:hAnsi="Calibri" w:eastAsia="Calibri"/>
          <w:color w:val="202428"/>
          <w:sz w:val="18"/>
        </w:rPr>
        <w:t xml:space="preserve">, 25 Wn. App. 795, 612 P.2d 8 (1980): </w:t>
      </w:r>
      <w:hyperlink r:id="rId40">
        <w:r>
          <w:rPr>
            <w:color w:val="0563C1"/>
            <w:u w:val="single"/>
            <w:rFonts w:ascii="Calibri" w:hAnsi="Calibri"/>
            <w:sz w:val="18"/>
          </w:rPr>
          <w:t>law.justia.com/cases/washington/court-of-appeals/…</w:t>
        </w:r>
      </w:hyperlink>
      <w:r>
        <w:rPr>
          <w:rFonts w:ascii="Calibri" w:hAnsi="Calibri" w:eastAsia="Calibri"/>
          <w:color w:val="202428"/>
          <w:sz w:val="18"/>
        </w:rPr>
        <w:t>.</w:t>
      </w:r>
    </w:p>
    <w:p>
      <w:pPr>
        <w:pStyle w:val="CompactSource"/>
        <w:spacing w:after="60"/>
        <w:ind w:left="720" w:hanging="360"/>
        <w:widowControl/>
        <w:numPr>
          <w:ilvl w:val="0"/>
          <w:numId w:val="40"/>
        </w:numPr>
      </w:pPr>
      <w:r>
        <w:rPr>
          <w:rFonts w:ascii="Calibri" w:hAnsi="Calibri" w:eastAsia="Calibri"/>
          <w:i/>
          <w:color w:val="202428"/>
          <w:sz w:val="18"/>
        </w:rPr>
        <w:t>State v. Smith</w:t>
      </w:r>
      <w:r>
        <w:rPr>
          <w:rFonts w:ascii="Calibri" w:hAnsi="Calibri" w:eastAsia="Calibri"/>
          <w:color w:val="202428"/>
          <w:sz w:val="18"/>
        </w:rPr>
        <w:t xml:space="preserve">, 97 Wn.2d 856, 651 P.2d 207 (1982): </w:t>
      </w:r>
      <w:hyperlink r:id="rId41">
        <w:r>
          <w:rPr>
            <w:color w:val="0563C1"/>
            <w:u w:val="single"/>
            <w:rFonts w:ascii="Calibri" w:hAnsi="Calibri"/>
            <w:sz w:val="18"/>
          </w:rPr>
          <w:t>law.justia.com/cases/washington/supreme-court/198…</w:t>
        </w:r>
      </w:hyperlink>
      <w:r>
        <w:rPr>
          <w:rFonts w:ascii="Calibri" w:hAnsi="Calibri" w:eastAsia="Calibri"/>
          <w:color w:val="202428"/>
          <w:sz w:val="18"/>
        </w:rPr>
        <w:t>.</w:t>
      </w:r>
    </w:p>
    <w:p>
      <w:pPr>
        <w:pStyle w:val="CompactSource"/>
        <w:spacing w:after="60"/>
        <w:ind w:left="720" w:hanging="360"/>
        <w:widowControl/>
        <w:numPr>
          <w:ilvl w:val="0"/>
          <w:numId w:val="40"/>
        </w:numPr>
      </w:pPr>
      <w:r>
        <w:rPr>
          <w:rFonts w:ascii="Calibri" w:hAnsi="Calibri" w:eastAsia="Calibri"/>
          <w:i/>
          <w:color w:val="202428"/>
          <w:sz w:val="18"/>
        </w:rPr>
        <w:t>State v. White</w:t>
      </w:r>
      <w:r>
        <w:rPr>
          <w:rFonts w:ascii="Calibri" w:hAnsi="Calibri" w:eastAsia="Calibri"/>
          <w:color w:val="202428"/>
          <w:sz w:val="18"/>
        </w:rPr>
        <w:t xml:space="preserve">, 31 Wn. App. 655, 644 P.2d 693 (1982): </w:t>
      </w:r>
      <w:hyperlink r:id="rId42">
        <w:r>
          <w:rPr>
            <w:color w:val="0563C1"/>
            <w:u w:val="single"/>
            <w:rFonts w:ascii="Calibri" w:hAnsi="Calibri"/>
            <w:sz w:val="18"/>
          </w:rPr>
          <w:t>law.justia.com/cases/washington/court-of-appeals/…</w:t>
        </w:r>
      </w:hyperlink>
      <w:r>
        <w:rPr>
          <w:rFonts w:ascii="Calibri" w:hAnsi="Calibri" w:eastAsia="Calibri"/>
          <w:color w:val="202428"/>
          <w:sz w:val="18"/>
        </w:rPr>
        <w:t>.</w:t>
      </w:r>
    </w:p>
    <w:p>
      <w:pPr>
        <w:pStyle w:val="CompactSource"/>
        <w:spacing w:after="60"/>
        <w:ind w:left="720" w:hanging="360"/>
        <w:widowControl/>
        <w:numPr>
          <w:ilvl w:val="0"/>
          <w:numId w:val="40"/>
        </w:numPr>
      </w:pPr>
      <w:r>
        <w:rPr>
          <w:rFonts w:ascii="Calibri" w:hAnsi="Calibri" w:eastAsia="Calibri"/>
          <w:i/>
          <w:color w:val="202428"/>
          <w:sz w:val="18"/>
        </w:rPr>
        <w:t>State v. Lane</w:t>
      </w:r>
      <w:r>
        <w:rPr>
          <w:rFonts w:ascii="Calibri" w:hAnsi="Calibri" w:eastAsia="Calibri"/>
          <w:color w:val="202428"/>
          <w:sz w:val="18"/>
        </w:rPr>
        <w:t xml:space="preserve">, 112 Wn.2d 464, 771 P.2d 1150 (1989): </w:t>
      </w:r>
      <w:hyperlink r:id="rId43">
        <w:r>
          <w:rPr>
            <w:color w:val="0563C1"/>
            <w:u w:val="single"/>
            <w:rFonts w:ascii="Calibri" w:hAnsi="Calibri"/>
            <w:sz w:val="18"/>
          </w:rPr>
          <w:t>law.justia.com/cases/washington/supreme-court/198…</w:t>
        </w:r>
      </w:hyperlink>
      <w:r>
        <w:rPr>
          <w:rFonts w:ascii="Calibri" w:hAnsi="Calibri" w:eastAsia="Calibri"/>
          <w:color w:val="202428"/>
          <w:sz w:val="18"/>
        </w:rPr>
        <w:t>.</w:t>
      </w:r>
    </w:p>
    <w:p>
      <w:pPr>
        <w:pStyle w:val="CompactSource"/>
        <w:spacing w:after="60"/>
        <w:ind w:left="720" w:hanging="360"/>
        <w:widowControl/>
        <w:numPr>
          <w:ilvl w:val="0"/>
          <w:numId w:val="40"/>
        </w:numPr>
      </w:pPr>
      <w:r>
        <w:rPr>
          <w:rFonts w:ascii="Calibri" w:hAnsi="Calibri" w:eastAsia="Calibri"/>
          <w:i/>
          <w:color w:val="202428"/>
          <w:sz w:val="18"/>
        </w:rPr>
        <w:t>State v. Jacobson</w:t>
      </w:r>
      <w:r>
        <w:rPr>
          <w:rFonts w:ascii="Calibri" w:hAnsi="Calibri" w:eastAsia="Calibri"/>
          <w:color w:val="202428"/>
          <w:sz w:val="18"/>
        </w:rPr>
        <w:t xml:space="preserve">, 74 Wn. App. 715, 876 P.2d 916 (1994): </w:t>
      </w:r>
      <w:hyperlink r:id="rId44">
        <w:r>
          <w:rPr>
            <w:color w:val="0563C1"/>
            <w:u w:val="single"/>
            <w:rFonts w:ascii="Calibri" w:hAnsi="Calibri"/>
            <w:sz w:val="18"/>
          </w:rPr>
          <w:t>law.justia.com/cases/washington/court-of-appeals/…</w:t>
        </w:r>
      </w:hyperlink>
      <w:r>
        <w:rPr>
          <w:rFonts w:ascii="Calibri" w:hAnsi="Calibri" w:eastAsia="Calibri"/>
          <w:color w:val="202428"/>
          <w:sz w:val="18"/>
        </w:rPr>
        <w:t>.</w:t>
      </w:r>
    </w:p>
    <w:p>
      <w:pPr>
        <w:pStyle w:val="CompactSource"/>
        <w:spacing w:after="60"/>
        <w:ind w:left="720" w:hanging="360"/>
        <w:widowControl/>
        <w:numPr>
          <w:ilvl w:val="0"/>
          <w:numId w:val="40"/>
        </w:numPr>
      </w:pPr>
      <w:r>
        <w:rPr>
          <w:rFonts w:ascii="Calibri" w:hAnsi="Calibri" w:eastAsia="Calibri"/>
          <w:i/>
          <w:color w:val="202428"/>
          <w:sz w:val="18"/>
        </w:rPr>
        <w:t>In re Recall of Pearsall-Stipek</w:t>
      </w:r>
      <w:r>
        <w:rPr>
          <w:rFonts w:ascii="Calibri" w:hAnsi="Calibri" w:eastAsia="Calibri"/>
          <w:color w:val="202428"/>
          <w:sz w:val="18"/>
        </w:rPr>
        <w:t xml:space="preserve">, 141 Wn.2d 756, 10 P.3d 1034 (2000): </w:t>
      </w:r>
      <w:hyperlink r:id="rId45">
        <w:r>
          <w:rPr>
            <w:color w:val="0563C1"/>
            <w:u w:val="single"/>
            <w:rFonts w:ascii="Calibri" w:hAnsi="Calibri"/>
            <w:sz w:val="18"/>
          </w:rPr>
          <w:t>caselaw.findlaw.com/court/wa-supreme-court/1486118.html</w:t>
        </w:r>
      </w:hyperlink>
      <w:r>
        <w:rPr>
          <w:rFonts w:ascii="Calibri" w:hAnsi="Calibri" w:eastAsia="Calibri"/>
          <w:color w:val="202428"/>
          <w:sz w:val="18"/>
        </w:rPr>
        <w:t>.</w:t>
      </w:r>
    </w:p>
    <w:p>
      <w:pPr>
        <w:pStyle w:val="CompactSource"/>
        <w:spacing w:after="60"/>
        <w:ind w:left="720" w:hanging="360"/>
        <w:widowControl/>
        <w:numPr>
          <w:ilvl w:val="0"/>
          <w:numId w:val="40"/>
        </w:numPr>
      </w:pPr>
      <w:r>
        <w:rPr>
          <w:rFonts w:ascii="Calibri" w:hAnsi="Calibri" w:eastAsia="Calibri"/>
          <w:i/>
          <w:color w:val="202428"/>
          <w:sz w:val="18"/>
        </w:rPr>
        <w:t>State v. Sua</w:t>
      </w:r>
      <w:r>
        <w:rPr>
          <w:rFonts w:ascii="Calibri" w:hAnsi="Calibri" w:eastAsia="Calibri"/>
          <w:color w:val="202428"/>
          <w:sz w:val="18"/>
        </w:rPr>
        <w:t xml:space="preserve">, 115 Wn. App. 29, 60 P.3d 1234 (2003): </w:t>
      </w:r>
      <w:hyperlink r:id="rId46">
        <w:r>
          <w:rPr>
            <w:color w:val="0563C1"/>
            <w:u w:val="single"/>
            <w:rFonts w:ascii="Calibri" w:hAnsi="Calibri"/>
            <w:sz w:val="18"/>
          </w:rPr>
          <w:t>law.justia.com/cases/washington/court-of-appeals/…</w:t>
        </w:r>
      </w:hyperlink>
      <w:r>
        <w:rPr>
          <w:rFonts w:ascii="Calibri" w:hAnsi="Calibri" w:eastAsia="Calibri"/>
          <w:color w:val="202428"/>
          <w:sz w:val="18"/>
        </w:rPr>
        <w:t>.</w:t>
      </w:r>
    </w:p>
    <w:p>
      <w:pPr>
        <w:pStyle w:val="CompactSource"/>
        <w:spacing w:after="60"/>
        <w:ind w:left="720" w:hanging="360"/>
        <w:widowControl/>
        <w:numPr>
          <w:ilvl w:val="0"/>
          <w:numId w:val="40"/>
        </w:numPr>
      </w:pPr>
      <w:r>
        <w:rPr>
          <w:rFonts w:ascii="Calibri" w:hAnsi="Calibri" w:eastAsia="Calibri"/>
          <w:i/>
          <w:color w:val="202428"/>
          <w:sz w:val="18"/>
        </w:rPr>
        <w:t>State v. Otton</w:t>
      </w:r>
      <w:r>
        <w:rPr>
          <w:rFonts w:ascii="Calibri" w:hAnsi="Calibri" w:eastAsia="Calibri"/>
          <w:color w:val="202428"/>
          <w:sz w:val="18"/>
        </w:rPr>
        <w:t xml:space="preserve">, 185 Wn.2d 673, 374 P.3d 1108 (2016): </w:t>
      </w:r>
      <w:hyperlink r:id="rId47">
        <w:r>
          <w:rPr>
            <w:color w:val="0563C1"/>
            <w:u w:val="single"/>
            <w:rFonts w:ascii="Calibri" w:hAnsi="Calibri"/>
            <w:sz w:val="18"/>
          </w:rPr>
          <w:t>courts.wa.gov/opinions/pdf/916691.pdf</w:t>
        </w:r>
      </w:hyperlink>
      <w:r>
        <w:rPr>
          <w:rFonts w:ascii="Calibri" w:hAnsi="Calibri" w:eastAsia="Calibri"/>
          <w:color w:val="202428"/>
          <w:sz w:val="18"/>
        </w:rPr>
        <w:t>.</w:t>
      </w:r>
    </w:p>
    <w:p>
      <w:pPr>
        <w:pStyle w:val="CompactSource"/>
        <w:spacing w:after="60"/>
        <w:ind w:left="720" w:hanging="360"/>
        <w:widowControl/>
        <w:numPr>
          <w:ilvl w:val="0"/>
          <w:numId w:val="40"/>
        </w:numPr>
      </w:pPr>
      <w:r>
        <w:rPr>
          <w:rFonts w:ascii="Calibri" w:hAnsi="Calibri" w:eastAsia="Calibri"/>
          <w:i/>
          <w:color w:val="202428"/>
          <w:sz w:val="18"/>
        </w:rPr>
        <w:t>State v. McComas</w:t>
      </w:r>
      <w:r>
        <w:rPr>
          <w:rFonts w:ascii="Calibri" w:hAnsi="Calibri" w:eastAsia="Calibri"/>
          <w:color w:val="202428"/>
          <w:sz w:val="18"/>
        </w:rPr>
        <w:t xml:space="preserve">, 186 Wn. App. 307, 345 P.3d 36 (2015), official slip opinion: </w:t>
      </w:r>
      <w:hyperlink r:id="rId48">
        <w:r>
          <w:rPr>
            <w:color w:val="0563C1"/>
            <w:u w:val="single"/>
            <w:rFonts w:ascii="Calibri" w:hAnsi="Calibri"/>
            <w:sz w:val="18"/>
          </w:rPr>
          <w:t>courts.wa.gov/opinions/pdf/D2%2044974-9-II%20%20…</w:t>
        </w:r>
      </w:hyperlink>
      <w:r>
        <w:rPr>
          <w:rFonts w:ascii="Calibri" w:hAnsi="Calibri" w:eastAsia="Calibri"/>
          <w:color w:val="202428"/>
          <w:sz w:val="18"/>
        </w:rPr>
        <w:t>.</w:t>
      </w:r>
    </w:p>
    <w:p>
      <w:pPr>
        <w:pStyle w:val="CompactSource"/>
        <w:spacing w:after="60"/>
        <w:ind w:left="720" w:hanging="360"/>
        <w:widowControl/>
        <w:numPr>
          <w:ilvl w:val="0"/>
          <w:numId w:val="40"/>
        </w:numPr>
      </w:pPr>
      <w:r>
        <w:rPr>
          <w:rFonts w:ascii="Calibri" w:hAnsi="Calibri" w:eastAsia="Calibri"/>
          <w:i/>
          <w:color w:val="202428"/>
          <w:sz w:val="18"/>
        </w:rPr>
        <w:t>Mohr v. Grant</w:t>
      </w:r>
      <w:r>
        <w:rPr>
          <w:rFonts w:ascii="Calibri" w:hAnsi="Calibri" w:eastAsia="Calibri"/>
          <w:color w:val="202428"/>
          <w:sz w:val="18"/>
        </w:rPr>
        <w:t xml:space="preserve">, 153 Wn.2d 812, 108 P.3d 768 (2005): </w:t>
      </w:r>
      <w:hyperlink r:id="rId49">
        <w:r>
          <w:rPr>
            <w:color w:val="0563C1"/>
            <w:u w:val="single"/>
            <w:rFonts w:ascii="Calibri" w:hAnsi="Calibri"/>
            <w:sz w:val="18"/>
          </w:rPr>
          <w:t>caselaw.findlaw.com/court/wa-supreme-court/1167616.html</w:t>
        </w:r>
      </w:hyperlink>
      <w:r>
        <w:rPr>
          <w:rFonts w:ascii="Calibri" w:hAnsi="Calibri" w:eastAsia="Calibri"/>
          <w:color w:val="202428"/>
          <w:sz w:val="18"/>
        </w:rPr>
        <w:t>.</w:t>
      </w:r>
    </w:p>
    <w:p>
      <w:pPr>
        <w:pStyle w:val="CompactSource"/>
        <w:spacing w:after="60"/>
        <w:ind w:left="720" w:hanging="360"/>
        <w:widowControl/>
        <w:numPr>
          <w:ilvl w:val="0"/>
          <w:numId w:val="40"/>
        </w:numPr>
      </w:pPr>
      <w:r>
        <w:rPr>
          <w:rFonts w:ascii="Calibri" w:hAnsi="Calibri" w:eastAsia="Calibri"/>
          <w:i/>
          <w:color w:val="202428"/>
          <w:sz w:val="18"/>
        </w:rPr>
        <w:t>Eastwood v. Cascade Broadcasting Co.</w:t>
      </w:r>
      <w:r>
        <w:rPr>
          <w:rFonts w:ascii="Calibri" w:hAnsi="Calibri" w:eastAsia="Calibri"/>
          <w:color w:val="202428"/>
          <w:sz w:val="18"/>
        </w:rPr>
        <w:t xml:space="preserve">, 106 Wn.2d 466, 722 P.2d 1295 (1986): </w:t>
      </w:r>
      <w:hyperlink r:id="rId50">
        <w:r>
          <w:rPr>
            <w:color w:val="0563C1"/>
            <w:u w:val="single"/>
            <w:rFonts w:ascii="Calibri" w:hAnsi="Calibri"/>
            <w:sz w:val="18"/>
          </w:rPr>
          <w:t>law.justia.com/cases/washington/supreme-court/198…</w:t>
        </w:r>
      </w:hyperlink>
      <w:r>
        <w:rPr>
          <w:rFonts w:ascii="Calibri" w:hAnsi="Calibri" w:eastAsia="Calibri"/>
          <w:color w:val="202428"/>
          <w:sz w:val="18"/>
        </w:rPr>
        <w:t>.</w:t>
      </w:r>
    </w:p>
    <w:p>
      <w:pPr>
        <w:pStyle w:val="CompactSource"/>
        <w:spacing w:after="60"/>
        <w:ind w:left="720" w:hanging="360"/>
        <w:widowControl/>
        <w:numPr>
          <w:ilvl w:val="0"/>
          <w:numId w:val="40"/>
        </w:numPr>
      </w:pPr>
      <w:r>
        <w:rPr>
          <w:rFonts w:ascii="Calibri" w:hAnsi="Calibri" w:eastAsia="Calibri"/>
          <w:i/>
          <w:color w:val="202428"/>
          <w:sz w:val="18"/>
        </w:rPr>
        <w:t>Nissen v. Pierce County</w:t>
      </w:r>
      <w:r>
        <w:rPr>
          <w:rFonts w:ascii="Calibri" w:hAnsi="Calibri" w:eastAsia="Calibri"/>
          <w:color w:val="202428"/>
          <w:sz w:val="18"/>
        </w:rPr>
        <w:t xml:space="preserve">, 183 Wn.2d 863, 357 P.3d 45 (2015): </w:t>
      </w:r>
      <w:hyperlink r:id="rId51">
        <w:r>
          <w:rPr>
            <w:color w:val="0563C1"/>
            <w:u w:val="single"/>
            <w:rFonts w:ascii="Calibri" w:hAnsi="Calibri"/>
            <w:sz w:val="18"/>
          </w:rPr>
          <w:t>law.justia.com/cases/washington/supreme-court/201…</w:t>
        </w:r>
      </w:hyperlink>
      <w:r>
        <w:rPr>
          <w:rFonts w:ascii="Calibri" w:hAnsi="Calibri" w:eastAsia="Calibri"/>
          <w:color w:val="202428"/>
          <w:sz w:val="18"/>
        </w:rPr>
        <w:t>.</w:t>
      </w:r>
    </w:p>
    <w:p>
      <w:pPr>
        <w:pStyle w:val="Heading2"/>
        <w:keepNext/>
        <w:widowControl/>
      </w:pPr>
      <w:r>
        <w:rPr>
          <w:rFonts w:ascii="Calibri" w:hAnsi="Calibri" w:eastAsia="Calibri"/>
          <w:color w:val="2E74B5"/>
          <w:sz w:val="26"/>
        </w:rPr>
        <w:t>C.3 Federal, Pennsylvania, and comparator authorities</w:t>
      </w:r>
    </w:p>
    <w:p>
      <w:pPr>
        <w:pStyle w:val="CompactSource"/>
        <w:spacing w:after="60"/>
        <w:ind w:left="720" w:hanging="360"/>
        <w:widowControl/>
        <w:numPr>
          <w:ilvl w:val="0"/>
          <w:numId w:val="41"/>
        </w:numPr>
      </w:pPr>
      <w:r>
        <w:rPr>
          <w:rFonts w:ascii="Calibri" w:hAnsi="Calibri" w:eastAsia="Calibri"/>
          <w:color w:val="202428"/>
          <w:sz w:val="18"/>
        </w:rPr>
        <w:t xml:space="preserve">18 U.S.C. § 3182, interstate rendition: </w:t>
      </w:r>
      <w:hyperlink r:id="rId52">
        <w:r>
          <w:rPr>
            <w:color w:val="0563C1"/>
            <w:u w:val="single"/>
            <w:rFonts w:ascii="Calibri" w:hAnsi="Calibri"/>
            <w:sz w:val="18"/>
          </w:rPr>
          <w:t>uscode.house.gov/view.xhtml</w:t>
        </w:r>
      </w:hyperlink>
      <w:r>
        <w:rPr>
          <w:rFonts w:ascii="Calibri" w:hAnsi="Calibri" w:eastAsia="Calibri"/>
          <w:color w:val="202428"/>
          <w:sz w:val="18"/>
        </w:rPr>
        <w:t>.</w:t>
      </w:r>
    </w:p>
    <w:p>
      <w:pPr>
        <w:pStyle w:val="CompactSource"/>
        <w:spacing w:after="60"/>
        <w:ind w:left="720" w:hanging="360"/>
        <w:widowControl/>
        <w:numPr>
          <w:ilvl w:val="0"/>
          <w:numId w:val="41"/>
        </w:numPr>
      </w:pPr>
      <w:r>
        <w:rPr>
          <w:rFonts w:ascii="Calibri" w:hAnsi="Calibri" w:eastAsia="Calibri"/>
          <w:i/>
          <w:color w:val="202428"/>
          <w:sz w:val="18"/>
        </w:rPr>
        <w:t>Puerto Rico v. Branstad</w:t>
      </w:r>
      <w:r>
        <w:rPr>
          <w:rFonts w:ascii="Calibri" w:hAnsi="Calibri" w:eastAsia="Calibri"/>
          <w:color w:val="202428"/>
          <w:sz w:val="18"/>
        </w:rPr>
        <w:t xml:space="preserve">, 483 U.S. 219 (1987): </w:t>
      </w:r>
      <w:hyperlink r:id="rId53">
        <w:r>
          <w:rPr>
            <w:color w:val="0563C1"/>
            <w:u w:val="single"/>
            <w:rFonts w:ascii="Calibri" w:hAnsi="Calibri"/>
            <w:sz w:val="18"/>
          </w:rPr>
          <w:t>supreme.justia.com/cases/federal/us/483/219</w:t>
        </w:r>
      </w:hyperlink>
      <w:r>
        <w:rPr>
          <w:rFonts w:ascii="Calibri" w:hAnsi="Calibri" w:eastAsia="Calibri"/>
          <w:color w:val="202428"/>
          <w:sz w:val="18"/>
        </w:rPr>
        <w:t>.</w:t>
      </w:r>
    </w:p>
    <w:p>
      <w:pPr>
        <w:pStyle w:val="CompactSource"/>
        <w:spacing w:after="60"/>
        <w:ind w:left="720" w:hanging="360"/>
        <w:widowControl/>
        <w:numPr>
          <w:ilvl w:val="0"/>
          <w:numId w:val="41"/>
        </w:numPr>
      </w:pPr>
      <w:r>
        <w:rPr>
          <w:rFonts w:ascii="Calibri" w:hAnsi="Calibri" w:eastAsia="Calibri"/>
          <w:color w:val="202428"/>
          <w:sz w:val="18"/>
        </w:rPr>
        <w:t xml:space="preserve">11 C.F.R. § 100.73, press exemption: </w:t>
      </w:r>
      <w:hyperlink r:id="rId54">
        <w:r>
          <w:rPr>
            <w:color w:val="0563C1"/>
            <w:u w:val="single"/>
            <w:rFonts w:ascii="Calibri" w:hAnsi="Calibri"/>
            <w:sz w:val="18"/>
          </w:rPr>
          <w:t>ecfr.gov/current/title-11/chapter-I/subchap…</w:t>
        </w:r>
      </w:hyperlink>
      <w:r>
        <w:rPr>
          <w:rFonts w:ascii="Calibri" w:hAnsi="Calibri" w:eastAsia="Calibri"/>
          <w:color w:val="202428"/>
          <w:sz w:val="18"/>
        </w:rPr>
        <w:t>.</w:t>
      </w:r>
    </w:p>
    <w:p>
      <w:pPr>
        <w:pStyle w:val="CompactSource"/>
        <w:spacing w:after="60"/>
        <w:ind w:left="720" w:hanging="360"/>
        <w:widowControl/>
        <w:numPr>
          <w:ilvl w:val="0"/>
          <w:numId w:val="41"/>
        </w:numPr>
      </w:pPr>
      <w:r>
        <w:rPr>
          <w:rFonts w:ascii="Calibri" w:hAnsi="Calibri" w:eastAsia="Calibri"/>
          <w:color w:val="202428"/>
          <w:sz w:val="18"/>
        </w:rPr>
        <w:t xml:space="preserve">11 C.F.R. § 109.21, coordinated communications: </w:t>
      </w:r>
      <w:hyperlink r:id="rId55">
        <w:r>
          <w:rPr>
            <w:color w:val="0563C1"/>
            <w:u w:val="single"/>
            <w:rFonts w:ascii="Calibri" w:hAnsi="Calibri"/>
            <w:sz w:val="18"/>
          </w:rPr>
          <w:t>ecfr.gov/current/title-11/chapter-I/subchap…</w:t>
        </w:r>
      </w:hyperlink>
      <w:r>
        <w:rPr>
          <w:rFonts w:ascii="Calibri" w:hAnsi="Calibri" w:eastAsia="Calibri"/>
          <w:color w:val="202428"/>
          <w:sz w:val="18"/>
        </w:rPr>
        <w:t>.</w:t>
      </w:r>
    </w:p>
    <w:p>
      <w:pPr>
        <w:pStyle w:val="CompactSource"/>
        <w:spacing w:after="60"/>
        <w:ind w:left="720" w:hanging="360"/>
        <w:widowControl/>
        <w:numPr>
          <w:ilvl w:val="0"/>
          <w:numId w:val="41"/>
        </w:numPr>
      </w:pPr>
      <w:r>
        <w:rPr>
          <w:rFonts w:ascii="Calibri" w:hAnsi="Calibri" w:eastAsia="Calibri"/>
          <w:color w:val="202428"/>
          <w:sz w:val="18"/>
        </w:rPr>
        <w:t xml:space="preserve">11 C.F.R. § 109.23, republication: </w:t>
      </w:r>
      <w:hyperlink r:id="rId56">
        <w:r>
          <w:rPr>
            <w:color w:val="0563C1"/>
            <w:u w:val="single"/>
            <w:rFonts w:ascii="Calibri" w:hAnsi="Calibri"/>
            <w:sz w:val="18"/>
          </w:rPr>
          <w:t>ecfr.gov/current/title-11/chapter-I/subchap…</w:t>
        </w:r>
      </w:hyperlink>
      <w:r>
        <w:rPr>
          <w:rFonts w:ascii="Calibri" w:hAnsi="Calibri" w:eastAsia="Calibri"/>
          <w:color w:val="202428"/>
          <w:sz w:val="18"/>
        </w:rPr>
        <w:t>.</w:t>
      </w:r>
    </w:p>
    <w:p>
      <w:pPr>
        <w:pStyle w:val="CompactSource"/>
        <w:spacing w:after="60"/>
        <w:ind w:left="720" w:hanging="360"/>
        <w:widowControl/>
        <w:numPr>
          <w:ilvl w:val="0"/>
          <w:numId w:val="41"/>
        </w:numPr>
      </w:pPr>
      <w:r>
        <w:rPr>
          <w:rFonts w:ascii="Calibri" w:hAnsi="Calibri" w:eastAsia="Calibri"/>
          <w:color w:val="202428"/>
          <w:sz w:val="18"/>
        </w:rPr>
        <w:t xml:space="preserve">FEC Advisory Opinion 2008-14: </w:t>
      </w:r>
      <w:hyperlink r:id="rId57">
        <w:r>
          <w:rPr>
            <w:color w:val="0563C1"/>
            <w:u w:val="single"/>
            <w:rFonts w:ascii="Calibri" w:hAnsi="Calibri"/>
            <w:sz w:val="18"/>
          </w:rPr>
          <w:t>fec.gov/data/legal/advisory-opinions/2008-14</w:t>
        </w:r>
      </w:hyperlink>
      <w:r>
        <w:rPr>
          <w:rFonts w:ascii="Calibri" w:hAnsi="Calibri" w:eastAsia="Calibri"/>
          <w:color w:val="202428"/>
          <w:sz w:val="18"/>
        </w:rPr>
        <w:t>.</w:t>
      </w:r>
    </w:p>
    <w:p>
      <w:pPr>
        <w:pStyle w:val="CompactSource"/>
        <w:spacing w:after="60"/>
        <w:ind w:left="720" w:hanging="360"/>
        <w:widowControl/>
        <w:numPr>
          <w:ilvl w:val="0"/>
          <w:numId w:val="41"/>
        </w:numPr>
      </w:pPr>
      <w:r>
        <w:rPr>
          <w:rFonts w:ascii="Calibri" w:hAnsi="Calibri" w:eastAsia="Calibri"/>
          <w:color w:val="202428"/>
          <w:sz w:val="18"/>
        </w:rPr>
        <w:t xml:space="preserve">IRS, Social Welfare Organizations; Political Activity and Social Welfare: </w:t>
      </w:r>
      <w:hyperlink r:id="rId58">
        <w:r>
          <w:rPr>
            <w:color w:val="0563C1"/>
            <w:u w:val="single"/>
            <w:rFonts w:ascii="Calibri" w:hAnsi="Calibri"/>
            <w:sz w:val="18"/>
          </w:rPr>
          <w:t>irs.gov/charities-non-profits/other-non-pr…</w:t>
        </w:r>
      </w:hyperlink>
      <w:r>
        <w:rPr>
          <w:rFonts w:ascii="Calibri" w:hAnsi="Calibri" w:eastAsia="Calibri"/>
          <w:color w:val="202428"/>
          <w:sz w:val="18"/>
        </w:rPr>
        <w:t xml:space="preserve">; </w:t>
      </w:r>
      <w:hyperlink r:id="rId59">
        <w:r>
          <w:rPr>
            <w:color w:val="0563C1"/>
            <w:u w:val="single"/>
            <w:rFonts w:ascii="Calibri" w:hAnsi="Calibri"/>
            <w:sz w:val="18"/>
          </w:rPr>
          <w:t>irs.gov/charities-non-profits/other-non-pr…</w:t>
        </w:r>
      </w:hyperlink>
      <w:r>
        <w:rPr>
          <w:rFonts w:ascii="Calibri" w:hAnsi="Calibri" w:eastAsia="Calibri"/>
          <w:color w:val="202428"/>
          <w:sz w:val="18"/>
        </w:rPr>
        <w:t>.</w:t>
      </w:r>
    </w:p>
    <w:p>
      <w:pPr>
        <w:pStyle w:val="CompactSource"/>
        <w:spacing w:after="60"/>
        <w:ind w:left="720" w:hanging="360"/>
        <w:widowControl/>
        <w:numPr>
          <w:ilvl w:val="0"/>
          <w:numId w:val="41"/>
        </w:numPr>
      </w:pPr>
      <w:r>
        <w:rPr>
          <w:rFonts w:ascii="Calibri" w:hAnsi="Calibri" w:eastAsia="Calibri"/>
          <w:i/>
          <w:color w:val="202428"/>
          <w:sz w:val="18"/>
        </w:rPr>
        <w:t>Manhattan Community Access Corp. v. Halleck</w:t>
      </w:r>
      <w:r>
        <w:rPr>
          <w:rFonts w:ascii="Calibri" w:hAnsi="Calibri" w:eastAsia="Calibri"/>
          <w:color w:val="202428"/>
          <w:sz w:val="18"/>
        </w:rPr>
        <w:t xml:space="preserve">, 587 U.S. 802 (2019): </w:t>
      </w:r>
      <w:hyperlink r:id="rId60">
        <w:r>
          <w:rPr>
            <w:color w:val="0563C1"/>
            <w:u w:val="single"/>
            <w:rFonts w:ascii="Calibri" w:hAnsi="Calibri"/>
            <w:sz w:val="18"/>
          </w:rPr>
          <w:t>supreme.justia.com/cases/federal/us/587/17-1702</w:t>
        </w:r>
      </w:hyperlink>
      <w:r>
        <w:rPr>
          <w:rFonts w:ascii="Calibri" w:hAnsi="Calibri" w:eastAsia="Calibri"/>
          <w:color w:val="202428"/>
          <w:sz w:val="18"/>
        </w:rPr>
        <w:t>.</w:t>
      </w:r>
    </w:p>
    <w:p>
      <w:pPr>
        <w:pStyle w:val="CompactSource"/>
        <w:spacing w:after="60"/>
        <w:ind w:left="720" w:hanging="360"/>
        <w:widowControl/>
        <w:numPr>
          <w:ilvl w:val="0"/>
          <w:numId w:val="41"/>
        </w:numPr>
      </w:pPr>
      <w:r>
        <w:rPr>
          <w:rFonts w:ascii="Calibri" w:hAnsi="Calibri" w:eastAsia="Calibri"/>
          <w:i/>
          <w:color w:val="202428"/>
          <w:sz w:val="18"/>
        </w:rPr>
        <w:t>Masson v. New Yorker Magazine, Inc.</w:t>
      </w:r>
      <w:r>
        <w:rPr>
          <w:rFonts w:ascii="Calibri" w:hAnsi="Calibri" w:eastAsia="Calibri"/>
          <w:color w:val="202428"/>
          <w:sz w:val="18"/>
        </w:rPr>
        <w:t xml:space="preserve">, 501 U.S. 496 (1991): </w:t>
      </w:r>
      <w:hyperlink r:id="rId61">
        <w:r>
          <w:rPr>
            <w:color w:val="0563C1"/>
            <w:u w:val="single"/>
            <w:rFonts w:ascii="Calibri" w:hAnsi="Calibri"/>
            <w:sz w:val="18"/>
          </w:rPr>
          <w:t>supreme.justia.com/cases/federal/us/501/496</w:t>
        </w:r>
      </w:hyperlink>
      <w:r>
        <w:rPr>
          <w:rFonts w:ascii="Calibri" w:hAnsi="Calibri" w:eastAsia="Calibri"/>
          <w:color w:val="202428"/>
          <w:sz w:val="18"/>
        </w:rPr>
        <w:t>.</w:t>
      </w:r>
    </w:p>
    <w:p>
      <w:pPr>
        <w:pStyle w:val="CompactSource"/>
        <w:spacing w:after="60"/>
        <w:ind w:left="720" w:hanging="360"/>
        <w:widowControl/>
        <w:numPr>
          <w:ilvl w:val="0"/>
          <w:numId w:val="41"/>
        </w:numPr>
      </w:pPr>
      <w:r>
        <w:rPr>
          <w:rFonts w:ascii="Calibri" w:hAnsi="Calibri" w:eastAsia="Calibri"/>
          <w:color w:val="202428"/>
          <w:sz w:val="18"/>
        </w:rPr>
        <w:t xml:space="preserve">47 U.S.C. § 230: </w:t>
      </w:r>
      <w:hyperlink r:id="rId62">
        <w:r>
          <w:rPr>
            <w:color w:val="0563C1"/>
            <w:u w:val="single"/>
            <w:rFonts w:ascii="Calibri" w:hAnsi="Calibri"/>
            <w:sz w:val="18"/>
          </w:rPr>
          <w:t>law.cornell.edu/uscode/text/47/230</w:t>
        </w:r>
      </w:hyperlink>
      <w:r>
        <w:rPr>
          <w:rFonts w:ascii="Calibri" w:hAnsi="Calibri" w:eastAsia="Calibri"/>
          <w:color w:val="202428"/>
          <w:sz w:val="18"/>
        </w:rPr>
        <w:t>.</w:t>
      </w:r>
    </w:p>
    <w:p>
      <w:pPr>
        <w:pStyle w:val="CompactSource"/>
        <w:spacing w:after="60"/>
        <w:ind w:left="720" w:hanging="360"/>
        <w:widowControl/>
        <w:numPr>
          <w:ilvl w:val="0"/>
          <w:numId w:val="41"/>
        </w:numPr>
      </w:pPr>
      <w:r>
        <w:rPr>
          <w:rFonts w:ascii="Calibri" w:hAnsi="Calibri" w:eastAsia="Calibri"/>
          <w:color w:val="202428"/>
          <w:sz w:val="18"/>
        </w:rPr>
        <w:t xml:space="preserve">18 Pa.C.S. §§ 102, 4501, and 4902–4904: </w:t>
      </w:r>
      <w:hyperlink r:id="rId63">
        <w:r>
          <w:rPr>
            <w:color w:val="0563C1"/>
            <w:u w:val="single"/>
            <w:rFonts w:ascii="Calibri" w:hAnsi="Calibri"/>
            <w:sz w:val="18"/>
          </w:rPr>
          <w:t>legis.state.pa.us/WU01/LI/LI/CT/HTM/18/00.001.002.00…</w:t>
        </w:r>
      </w:hyperlink>
      <w:r>
        <w:rPr>
          <w:rFonts w:ascii="Calibri" w:hAnsi="Calibri" w:eastAsia="Calibri"/>
          <w:color w:val="202428"/>
          <w:sz w:val="18"/>
        </w:rPr>
        <w:t xml:space="preserve">; </w:t>
      </w:r>
      <w:hyperlink r:id="rId64">
        <w:r>
          <w:rPr>
            <w:color w:val="0563C1"/>
            <w:u w:val="single"/>
            <w:rFonts w:ascii="Calibri" w:hAnsi="Calibri"/>
            <w:sz w:val="18"/>
          </w:rPr>
          <w:t>legis.state.pa.us/WU01/LI/LI/CT/HTM/18/00.045.001.00…</w:t>
        </w:r>
      </w:hyperlink>
      <w:r>
        <w:rPr>
          <w:rFonts w:ascii="Calibri" w:hAnsi="Calibri" w:eastAsia="Calibri"/>
          <w:color w:val="202428"/>
          <w:sz w:val="18"/>
        </w:rPr>
        <w:t xml:space="preserve">; </w:t>
      </w:r>
      <w:hyperlink r:id="rId65">
        <w:r>
          <w:rPr>
            <w:color w:val="0563C1"/>
            <w:u w:val="single"/>
            <w:rFonts w:ascii="Calibri" w:hAnsi="Calibri"/>
            <w:sz w:val="18"/>
          </w:rPr>
          <w:t>legis.state.pa.us/WU01/LI/LI/CT/HTM/18/00.049..HTM</w:t>
        </w:r>
      </w:hyperlink>
      <w:r>
        <w:rPr>
          <w:rFonts w:ascii="Calibri" w:hAnsi="Calibri" w:eastAsia="Calibri"/>
          <w:color w:val="202428"/>
          <w:sz w:val="18"/>
        </w:rPr>
        <w:t>.</w:t>
      </w:r>
    </w:p>
    <w:p>
      <w:pPr>
        <w:pStyle w:val="CompactSource"/>
        <w:spacing w:after="60"/>
        <w:ind w:left="720" w:hanging="360"/>
        <w:widowControl/>
        <w:numPr>
          <w:ilvl w:val="0"/>
          <w:numId w:val="41"/>
        </w:numPr>
      </w:pPr>
      <w:r>
        <w:rPr>
          <w:rFonts w:ascii="Calibri" w:hAnsi="Calibri" w:eastAsia="Calibri"/>
          <w:color w:val="202428"/>
          <w:sz w:val="18"/>
        </w:rPr>
        <w:t xml:space="preserve">18 Pa.C.S. §§ 5703, 5704(4), and 5725, recording offense/consent/remedies: </w:t>
      </w:r>
      <w:hyperlink r:id="rId66">
        <w:r>
          <w:rPr>
            <w:color w:val="0563C1"/>
            <w:u w:val="single"/>
            <w:rFonts w:ascii="Calibri" w:hAnsi="Calibri"/>
            <w:sz w:val="18"/>
          </w:rPr>
          <w:t>legis.state.pa.us/WU01/LI/LI/CT/HTM/18/00.057..HTM</w:t>
        </w:r>
      </w:hyperlink>
      <w:r>
        <w:rPr>
          <w:rFonts w:ascii="Calibri" w:hAnsi="Calibri" w:eastAsia="Calibri"/>
          <w:color w:val="202428"/>
          <w:sz w:val="18"/>
        </w:rPr>
        <w:t>.</w:t>
      </w:r>
    </w:p>
    <w:p>
      <w:pPr>
        <w:pStyle w:val="CompactSource"/>
        <w:spacing w:after="60"/>
        <w:ind w:left="720" w:hanging="360"/>
        <w:widowControl/>
        <w:numPr>
          <w:ilvl w:val="0"/>
          <w:numId w:val="41"/>
        </w:numPr>
      </w:pPr>
      <w:r>
        <w:rPr>
          <w:rFonts w:ascii="Calibri" w:hAnsi="Calibri" w:eastAsia="Calibri"/>
          <w:color w:val="202428"/>
          <w:sz w:val="18"/>
        </w:rPr>
        <w:t xml:space="preserve">57 Pa.C.S. §§ 306.1 and 311; Pennsylvania Department of State notary/RON guidance: </w:t>
      </w:r>
      <w:hyperlink r:id="rId67">
        <w:r>
          <w:rPr>
            <w:color w:val="0563C1"/>
            <w:u w:val="single"/>
            <w:rFonts w:ascii="Calibri" w:hAnsi="Calibri"/>
            <w:sz w:val="18"/>
          </w:rPr>
          <w:t>palegis.us/statutes/consolidated/view-statute</w:t>
        </w:r>
      </w:hyperlink>
      <w:r>
        <w:rPr>
          <w:rFonts w:ascii="Calibri" w:hAnsi="Calibri" w:eastAsia="Calibri"/>
          <w:color w:val="202428"/>
          <w:sz w:val="18"/>
        </w:rPr>
        <w:t xml:space="preserve">; </w:t>
      </w:r>
      <w:hyperlink r:id="rId68">
        <w:r>
          <w:rPr>
            <w:color w:val="0563C1"/>
            <w:u w:val="single"/>
            <w:rFonts w:ascii="Calibri" w:hAnsi="Calibri"/>
            <w:sz w:val="18"/>
          </w:rPr>
          <w:t>palegis.us/statutes/consolidated/view-statute</w:t>
        </w:r>
      </w:hyperlink>
      <w:r>
        <w:rPr>
          <w:rFonts w:ascii="Calibri" w:hAnsi="Calibri" w:eastAsia="Calibri"/>
          <w:color w:val="202428"/>
          <w:sz w:val="18"/>
        </w:rPr>
        <w:t xml:space="preserve">; </w:t>
      </w:r>
      <w:hyperlink r:id="rId69">
        <w:r>
          <w:rPr>
            <w:color w:val="0563C1"/>
            <w:u w:val="single"/>
            <w:rFonts w:ascii="Calibri" w:hAnsi="Calibri"/>
            <w:sz w:val="18"/>
          </w:rPr>
          <w:t>pa.gov/agencies/dos/resources/notaries-re…</w:t>
        </w:r>
      </w:hyperlink>
      <w:r>
        <w:rPr>
          <w:rFonts w:ascii="Calibri" w:hAnsi="Calibri" w:eastAsia="Calibri"/>
          <w:color w:val="202428"/>
          <w:sz w:val="18"/>
        </w:rPr>
        <w:t>.</w:t>
      </w:r>
    </w:p>
    <w:p>
      <w:pPr>
        <w:pStyle w:val="CompactSource"/>
        <w:spacing w:after="60"/>
        <w:ind w:left="720" w:hanging="360"/>
        <w:widowControl/>
        <w:numPr>
          <w:ilvl w:val="0"/>
          <w:numId w:val="41"/>
        </w:numPr>
      </w:pPr>
      <w:r>
        <w:rPr>
          <w:rFonts w:ascii="Calibri" w:hAnsi="Calibri" w:eastAsia="Calibri"/>
          <w:color w:val="202428"/>
          <w:sz w:val="18"/>
        </w:rPr>
        <w:t xml:space="preserve">A.R.S. §§ 13-2701–2703, 13-108, and 13-3846: </w:t>
      </w:r>
      <w:hyperlink r:id="rId70">
        <w:r>
          <w:rPr>
            <w:color w:val="0563C1"/>
            <w:u w:val="single"/>
            <w:rFonts w:ascii="Calibri" w:hAnsi="Calibri"/>
            <w:sz w:val="18"/>
          </w:rPr>
          <w:t>azleg.gov/ars/13/02701.htm</w:t>
        </w:r>
      </w:hyperlink>
      <w:r>
        <w:rPr>
          <w:rFonts w:ascii="Calibri" w:hAnsi="Calibri" w:eastAsia="Calibri"/>
          <w:color w:val="202428"/>
          <w:sz w:val="18"/>
        </w:rPr>
        <w:t xml:space="preserve">; </w:t>
      </w:r>
      <w:hyperlink r:id="rId71">
        <w:r>
          <w:rPr>
            <w:color w:val="0563C1"/>
            <w:u w:val="single"/>
            <w:rFonts w:ascii="Calibri" w:hAnsi="Calibri"/>
            <w:sz w:val="18"/>
          </w:rPr>
          <w:t>azleg.gov/ars/13/02702.htm</w:t>
        </w:r>
      </w:hyperlink>
      <w:r>
        <w:rPr>
          <w:rFonts w:ascii="Calibri" w:hAnsi="Calibri" w:eastAsia="Calibri"/>
          <w:color w:val="202428"/>
          <w:sz w:val="18"/>
        </w:rPr>
        <w:t xml:space="preserve">; </w:t>
      </w:r>
      <w:hyperlink r:id="rId72">
        <w:r>
          <w:rPr>
            <w:color w:val="0563C1"/>
            <w:u w:val="single"/>
            <w:rFonts w:ascii="Calibri" w:hAnsi="Calibri"/>
            <w:sz w:val="18"/>
          </w:rPr>
          <w:t>azleg.gov/ars/13/02703.htm</w:t>
        </w:r>
      </w:hyperlink>
      <w:r>
        <w:rPr>
          <w:rFonts w:ascii="Calibri" w:hAnsi="Calibri" w:eastAsia="Calibri"/>
          <w:color w:val="202428"/>
          <w:sz w:val="18"/>
        </w:rPr>
        <w:t xml:space="preserve">; </w:t>
      </w:r>
      <w:hyperlink r:id="rId73">
        <w:r>
          <w:rPr>
            <w:color w:val="0563C1"/>
            <w:u w:val="single"/>
            <w:rFonts w:ascii="Calibri" w:hAnsi="Calibri"/>
            <w:sz w:val="18"/>
          </w:rPr>
          <w:t>azleg.gov/ars/13/00108.htm</w:t>
        </w:r>
      </w:hyperlink>
      <w:r>
        <w:rPr>
          <w:rFonts w:ascii="Calibri" w:hAnsi="Calibri" w:eastAsia="Calibri"/>
          <w:color w:val="202428"/>
          <w:sz w:val="18"/>
        </w:rPr>
        <w:t xml:space="preserve">; </w:t>
      </w:r>
      <w:hyperlink r:id="rId74">
        <w:r>
          <w:rPr>
            <w:color w:val="0563C1"/>
            <w:u w:val="single"/>
            <w:rFonts w:ascii="Calibri" w:hAnsi="Calibri"/>
            <w:sz w:val="18"/>
          </w:rPr>
          <w:t>azleg.gov/ars/13/03846.htm</w:t>
        </w:r>
      </w:hyperlink>
      <w:r>
        <w:rPr>
          <w:rFonts w:ascii="Calibri" w:hAnsi="Calibri" w:eastAsia="Calibri"/>
          <w:color w:val="202428"/>
          <w:sz w:val="18"/>
        </w:rPr>
        <w:t>.</w:t>
      </w:r>
    </w:p>
    <w:p>
      <w:pPr>
        <w:pStyle w:val="CompactSource"/>
        <w:spacing w:after="60"/>
        <w:ind w:left="720" w:hanging="360"/>
        <w:widowControl/>
        <w:numPr>
          <w:ilvl w:val="0"/>
          <w:numId w:val="41"/>
        </w:numPr>
      </w:pPr>
      <w:r>
        <w:rPr>
          <w:rFonts w:ascii="Calibri" w:hAnsi="Calibri" w:eastAsia="Calibri"/>
          <w:color w:val="202428"/>
          <w:sz w:val="18"/>
        </w:rPr>
        <w:t xml:space="preserve">A.R.S. §§ 41-259 and 41-263–265, recognition and remote online notarization: </w:t>
      </w:r>
      <w:hyperlink r:id="rId75">
        <w:r>
          <w:rPr>
            <w:color w:val="0563C1"/>
            <w:u w:val="single"/>
            <w:rFonts w:ascii="Calibri" w:hAnsi="Calibri"/>
            <w:sz w:val="18"/>
          </w:rPr>
          <w:t>azleg.gov/ars/41/00259.htm</w:t>
        </w:r>
      </w:hyperlink>
      <w:r>
        <w:rPr>
          <w:rFonts w:ascii="Calibri" w:hAnsi="Calibri" w:eastAsia="Calibri"/>
          <w:color w:val="202428"/>
          <w:sz w:val="18"/>
        </w:rPr>
        <w:t xml:space="preserve">; </w:t>
      </w:r>
      <w:hyperlink r:id="rId76">
        <w:r>
          <w:rPr>
            <w:color w:val="0563C1"/>
            <w:u w:val="single"/>
            <w:rFonts w:ascii="Calibri" w:hAnsi="Calibri"/>
            <w:sz w:val="18"/>
          </w:rPr>
          <w:t>azleg.gov/ars/41/00263.htm</w:t>
        </w:r>
      </w:hyperlink>
      <w:r>
        <w:rPr>
          <w:rFonts w:ascii="Calibri" w:hAnsi="Calibri" w:eastAsia="Calibri"/>
          <w:color w:val="202428"/>
          <w:sz w:val="18"/>
        </w:rPr>
        <w:t xml:space="preserve">; </w:t>
      </w:r>
      <w:hyperlink r:id="rId77">
        <w:r>
          <w:rPr>
            <w:color w:val="0563C1"/>
            <w:u w:val="single"/>
            <w:rFonts w:ascii="Calibri" w:hAnsi="Calibri"/>
            <w:sz w:val="18"/>
          </w:rPr>
          <w:t>azleg.gov/ars/41/00264.htm</w:t>
        </w:r>
      </w:hyperlink>
      <w:r>
        <w:rPr>
          <w:rFonts w:ascii="Calibri" w:hAnsi="Calibri" w:eastAsia="Calibri"/>
          <w:color w:val="202428"/>
          <w:sz w:val="18"/>
        </w:rPr>
        <w:t xml:space="preserve">; </w:t>
      </w:r>
      <w:hyperlink r:id="rId78">
        <w:r>
          <w:rPr>
            <w:color w:val="0563C1"/>
            <w:u w:val="single"/>
            <w:rFonts w:ascii="Calibri" w:hAnsi="Calibri"/>
            <w:sz w:val="18"/>
          </w:rPr>
          <w:t>azleg.gov/ars/41/00265.htm</w:t>
        </w:r>
      </w:hyperlink>
      <w:r>
        <w:rPr>
          <w:rFonts w:ascii="Calibri" w:hAnsi="Calibri" w:eastAsia="Calibri"/>
          <w:color w:val="202428"/>
          <w:sz w:val="18"/>
        </w:rPr>
        <w:t>.</w:t>
      </w:r>
    </w:p>
    <w:p>
      <w:pPr>
        <w:pStyle w:val="CompactSource"/>
        <w:spacing w:after="60"/>
        <w:ind w:left="720" w:hanging="360"/>
        <w:widowControl/>
        <w:numPr>
          <w:ilvl w:val="0"/>
          <w:numId w:val="41"/>
        </w:numPr>
      </w:pPr>
      <w:r>
        <w:rPr>
          <w:rFonts w:ascii="Calibri" w:hAnsi="Calibri" w:eastAsia="Calibri"/>
          <w:i/>
          <w:color w:val="202428"/>
          <w:sz w:val="18"/>
        </w:rPr>
        <w:t>Franzi v. Superior Court</w:t>
      </w:r>
      <w:r>
        <w:rPr>
          <w:rFonts w:ascii="Calibri" w:hAnsi="Calibri" w:eastAsia="Calibri"/>
          <w:color w:val="202428"/>
          <w:sz w:val="18"/>
        </w:rPr>
        <w:t xml:space="preserve">, 139 Ariz. 556, 679 P.2d 1043 (1984): </w:t>
      </w:r>
      <w:hyperlink r:id="rId79">
        <w:r>
          <w:rPr>
            <w:color w:val="0563C1"/>
            <w:u w:val="single"/>
            <w:rFonts w:ascii="Calibri" w:hAnsi="Calibri"/>
            <w:sz w:val="18"/>
          </w:rPr>
          <w:t>law.justia.com/cases/arizona/supreme-court/1984/1…</w:t>
        </w:r>
      </w:hyperlink>
      <w:r>
        <w:rPr>
          <w:rFonts w:ascii="Calibri" w:hAnsi="Calibri" w:eastAsia="Calibri"/>
          <w:color w:val="202428"/>
          <w:sz w:val="18"/>
        </w:rPr>
        <w:t>.</w:t>
      </w:r>
    </w:p>
    <w:p>
      <w:pPr>
        <w:pStyle w:val="CompactSource"/>
        <w:spacing w:after="60"/>
        <w:ind w:left="720" w:hanging="360"/>
        <w:widowControl/>
        <w:numPr>
          <w:ilvl w:val="0"/>
          <w:numId w:val="41"/>
        </w:numPr>
      </w:pPr>
      <w:r>
        <w:rPr>
          <w:rFonts w:ascii="Calibri" w:hAnsi="Calibri" w:eastAsia="Calibri"/>
          <w:color w:val="202428"/>
          <w:sz w:val="18"/>
        </w:rPr>
        <w:t xml:space="preserve">Fla. Stat. §§ 92.50(2), 117.05(13), 117.209, 117.245, and 117.265, recognition and online notarization: </w:t>
      </w:r>
      <w:hyperlink r:id="rId80">
        <w:r>
          <w:rPr>
            <w:color w:val="0563C1"/>
            <w:u w:val="single"/>
            <w:rFonts w:ascii="Calibri" w:hAnsi="Calibri"/>
            <w:sz w:val="18"/>
          </w:rPr>
          <w:t>leg.state.fl.us/statutes/index.cfm</w:t>
        </w:r>
      </w:hyperlink>
      <w:r>
        <w:rPr>
          <w:rFonts w:ascii="Calibri" w:hAnsi="Calibri" w:eastAsia="Calibri"/>
          <w:color w:val="202428"/>
          <w:sz w:val="18"/>
        </w:rPr>
        <w:t xml:space="preserve">; </w:t>
      </w:r>
      <w:hyperlink r:id="rId81">
        <w:r>
          <w:rPr>
            <w:color w:val="0563C1"/>
            <w:u w:val="single"/>
            <w:rFonts w:ascii="Calibri" w:hAnsi="Calibri"/>
            <w:sz w:val="18"/>
          </w:rPr>
          <w:t>leg.state.fl.us/statutes/index.cfm</w:t>
        </w:r>
      </w:hyperlink>
      <w:r>
        <w:rPr>
          <w:rFonts w:ascii="Calibri" w:hAnsi="Calibri" w:eastAsia="Calibri"/>
          <w:color w:val="202428"/>
          <w:sz w:val="18"/>
        </w:rPr>
        <w:t>.</w:t>
      </w:r>
    </w:p>
    <w:p>
      <w:pPr>
        <w:pStyle w:val="CompactSource"/>
        <w:spacing w:after="60"/>
        <w:ind w:left="720" w:hanging="360"/>
        <w:widowControl/>
        <w:numPr>
          <w:ilvl w:val="0"/>
          <w:numId w:val="41"/>
        </w:numPr>
      </w:pPr>
      <w:r>
        <w:rPr>
          <w:rFonts w:ascii="Calibri" w:hAnsi="Calibri" w:eastAsia="Calibri"/>
          <w:color w:val="202428"/>
          <w:sz w:val="18"/>
        </w:rPr>
        <w:t xml:space="preserve">Fla. Stat. §§ 837.011–.012, 910.005, and 941.06: </w:t>
      </w:r>
      <w:hyperlink r:id="rId82">
        <w:r>
          <w:rPr>
            <w:color w:val="0563C1"/>
            <w:u w:val="single"/>
            <w:rFonts w:ascii="Calibri" w:hAnsi="Calibri"/>
            <w:sz w:val="18"/>
          </w:rPr>
          <w:t>leg.state.fl.us/statutes/index.cfm</w:t>
        </w:r>
      </w:hyperlink>
      <w:r>
        <w:rPr>
          <w:rFonts w:ascii="Calibri" w:hAnsi="Calibri" w:eastAsia="Calibri"/>
          <w:color w:val="202428"/>
          <w:sz w:val="18"/>
        </w:rPr>
        <w:t xml:space="preserve">; </w:t>
      </w:r>
      <w:hyperlink r:id="rId83">
        <w:r>
          <w:rPr>
            <w:color w:val="0563C1"/>
            <w:u w:val="single"/>
            <w:rFonts w:ascii="Calibri" w:hAnsi="Calibri"/>
            <w:sz w:val="18"/>
          </w:rPr>
          <w:t>leg.state.fl.us/Statutes/index.cfm</w:t>
        </w:r>
      </w:hyperlink>
      <w:r>
        <w:rPr>
          <w:rFonts w:ascii="Calibri" w:hAnsi="Calibri" w:eastAsia="Calibri"/>
          <w:color w:val="202428"/>
          <w:sz w:val="18"/>
        </w:rPr>
        <w:t xml:space="preserve">; </w:t>
      </w:r>
      <w:hyperlink r:id="rId84">
        <w:r>
          <w:rPr>
            <w:color w:val="0563C1"/>
            <w:u w:val="single"/>
            <w:rFonts w:ascii="Calibri" w:hAnsi="Calibri"/>
            <w:sz w:val="18"/>
          </w:rPr>
          <w:t>leg.state.fl.us/Statutes/index.cfm</w:t>
        </w:r>
      </w:hyperlink>
      <w:r>
        <w:rPr>
          <w:rFonts w:ascii="Calibri" w:hAnsi="Calibri" w:eastAsia="Calibri"/>
          <w:color w:val="202428"/>
          <w:sz w:val="18"/>
        </w:rPr>
        <w:t>.</w:t>
      </w:r>
    </w:p>
    <w:p>
      <w:pPr>
        <w:pStyle w:val="CompactSource"/>
        <w:spacing w:after="60"/>
        <w:ind w:left="720" w:hanging="360"/>
        <w:widowControl/>
        <w:numPr>
          <w:ilvl w:val="0"/>
          <w:numId w:val="41"/>
        </w:numPr>
      </w:pPr>
      <w:r>
        <w:rPr>
          <w:rFonts w:ascii="Calibri" w:hAnsi="Calibri" w:eastAsia="Calibri"/>
          <w:i/>
          <w:color w:val="202428"/>
          <w:sz w:val="18"/>
        </w:rPr>
        <w:t>Baker v. General Motors Corp.</w:t>
      </w:r>
      <w:r>
        <w:rPr>
          <w:rFonts w:ascii="Calibri" w:hAnsi="Calibri" w:eastAsia="Calibri"/>
          <w:color w:val="202428"/>
          <w:sz w:val="18"/>
        </w:rPr>
        <w:t xml:space="preserve">, 522 U.S. 222 (1998), and </w:t>
      </w:r>
      <w:r>
        <w:rPr>
          <w:rFonts w:ascii="Calibri" w:hAnsi="Calibri" w:eastAsia="Calibri"/>
          <w:i/>
          <w:color w:val="202428"/>
          <w:sz w:val="18"/>
        </w:rPr>
        <w:t>Huntington v. Attrill</w:t>
      </w:r>
      <w:r>
        <w:rPr>
          <w:rFonts w:ascii="Calibri" w:hAnsi="Calibri" w:eastAsia="Calibri"/>
          <w:color w:val="202428"/>
          <w:sz w:val="18"/>
        </w:rPr>
        <w:t xml:space="preserve">, 146 U.S. 657 (1892): </w:t>
      </w:r>
      <w:hyperlink r:id="rId85">
        <w:r>
          <w:rPr>
            <w:color w:val="0563C1"/>
            <w:u w:val="single"/>
            <w:rFonts w:ascii="Calibri" w:hAnsi="Calibri"/>
            <w:sz w:val="18"/>
          </w:rPr>
          <w:t>supreme.justia.com/cases/federal/us/522/222</w:t>
        </w:r>
      </w:hyperlink>
      <w:r>
        <w:rPr>
          <w:rFonts w:ascii="Calibri" w:hAnsi="Calibri" w:eastAsia="Calibri"/>
          <w:color w:val="202428"/>
          <w:sz w:val="18"/>
        </w:rPr>
        <w:t xml:space="preserve">; </w:t>
      </w:r>
      <w:hyperlink r:id="rId86">
        <w:r>
          <w:rPr>
            <w:color w:val="0563C1"/>
            <w:u w:val="single"/>
            <w:rFonts w:ascii="Calibri" w:hAnsi="Calibri"/>
            <w:sz w:val="18"/>
          </w:rPr>
          <w:t>supreme.justia.com/cases/federal/us/146/657</w:t>
        </w:r>
      </w:hyperlink>
      <w:r>
        <w:rPr>
          <w:rFonts w:ascii="Calibri" w:hAnsi="Calibri" w:eastAsia="Calibri"/>
          <w:color w:val="202428"/>
          <w:sz w:val="18"/>
        </w:rPr>
        <w:t>.</w:t>
      </w:r>
    </w:p>
    <w:p>
      <w:pPr>
        <w:pStyle w:val="CompactSource"/>
        <w:spacing w:after="60"/>
        <w:ind w:left="720" w:hanging="360"/>
        <w:widowControl/>
        <w:numPr>
          <w:ilvl w:val="0"/>
          <w:numId w:val="41"/>
        </w:numPr>
      </w:pPr>
      <w:r>
        <w:rPr>
          <w:rFonts w:ascii="Calibri" w:hAnsi="Calibri" w:eastAsia="Calibri"/>
          <w:i/>
          <w:color w:val="202428"/>
          <w:sz w:val="18"/>
        </w:rPr>
        <w:t>Hyatt v. People ex rel. Corkran</w:t>
      </w:r>
      <w:r>
        <w:rPr>
          <w:rFonts w:ascii="Calibri" w:hAnsi="Calibri" w:eastAsia="Calibri"/>
          <w:color w:val="202428"/>
          <w:sz w:val="18"/>
        </w:rPr>
        <w:t xml:space="preserve">, 188 U.S. 691 (1903), and </w:t>
      </w:r>
      <w:r>
        <w:rPr>
          <w:rFonts w:ascii="Calibri" w:hAnsi="Calibri" w:eastAsia="Calibri"/>
          <w:i/>
          <w:color w:val="202428"/>
          <w:sz w:val="18"/>
        </w:rPr>
        <w:t>Strassheim v. Daily</w:t>
      </w:r>
      <w:r>
        <w:rPr>
          <w:rFonts w:ascii="Calibri" w:hAnsi="Calibri" w:eastAsia="Calibri"/>
          <w:color w:val="202428"/>
          <w:sz w:val="18"/>
        </w:rPr>
        <w:t xml:space="preserve">, 221 U.S. 280 (1911): </w:t>
      </w:r>
      <w:hyperlink r:id="rId87">
        <w:r>
          <w:rPr>
            <w:color w:val="0563C1"/>
            <w:u w:val="single"/>
            <w:rFonts w:ascii="Calibri" w:hAnsi="Calibri"/>
            <w:sz w:val="18"/>
          </w:rPr>
          <w:t>govinfo.gov/app/details/USREPORTS-188/USREPORT…</w:t>
        </w:r>
      </w:hyperlink>
      <w:r>
        <w:rPr>
          <w:rFonts w:ascii="Calibri" w:hAnsi="Calibri" w:eastAsia="Calibri"/>
          <w:color w:val="202428"/>
          <w:sz w:val="18"/>
        </w:rPr>
        <w:t xml:space="preserve">; </w:t>
      </w:r>
      <w:hyperlink r:id="rId88">
        <w:r>
          <w:rPr>
            <w:color w:val="0563C1"/>
            <w:u w:val="single"/>
            <w:rFonts w:ascii="Calibri" w:hAnsi="Calibri"/>
            <w:sz w:val="18"/>
          </w:rPr>
          <w:t>supreme.justia.com/cases/federal/us/221/280</w:t>
        </w:r>
      </w:hyperlink>
      <w:r>
        <w:rPr>
          <w:rFonts w:ascii="Calibri" w:hAnsi="Calibri" w:eastAsia="Calibri"/>
          <w:color w:val="202428"/>
          <w:sz w:val="18"/>
        </w:rPr>
        <w:t>.</w:t>
      </w:r>
    </w:p>
    <w:p>
      <w:pPr>
        <w:pStyle w:val="CompactSource"/>
        <w:spacing w:after="60"/>
        <w:ind w:left="720" w:hanging="360"/>
        <w:widowControl/>
        <w:numPr>
          <w:ilvl w:val="0"/>
          <w:numId w:val="41"/>
        </w:numPr>
      </w:pPr>
      <w:r>
        <w:rPr>
          <w:rFonts w:ascii="Calibri" w:hAnsi="Calibri" w:eastAsia="Calibri"/>
          <w:color w:val="202428"/>
          <w:sz w:val="18"/>
        </w:rPr>
        <w:t xml:space="preserve">11 C.F.R. § 114.2, corporate contribution prohibition: </w:t>
      </w:r>
      <w:hyperlink r:id="rId89">
        <w:r>
          <w:rPr>
            <w:color w:val="0563C1"/>
            <w:u w:val="single"/>
            <w:rFonts w:ascii="Calibri" w:hAnsi="Calibri"/>
            <w:sz w:val="18"/>
          </w:rPr>
          <w:t>ecfr.gov/current/title-11/chapter-I/subchap…</w:t>
        </w:r>
      </w:hyperlink>
      <w:r>
        <w:rPr>
          <w:rFonts w:ascii="Calibri" w:hAnsi="Calibri" w:eastAsia="Calibri"/>
          <w:color w:val="202428"/>
          <w:sz w:val="18"/>
        </w:rPr>
        <w:t>.</w:t>
      </w:r>
    </w:p>
    <w:p>
      <w:pPr>
        <w:pStyle w:val="CompactSource"/>
        <w:spacing w:after="60"/>
        <w:ind w:left="720" w:hanging="360"/>
        <w:widowControl/>
        <w:numPr>
          <w:ilvl w:val="0"/>
          <w:numId w:val="41"/>
        </w:numPr>
      </w:pPr>
      <w:r>
        <w:rPr>
          <w:rFonts w:ascii="Calibri" w:hAnsi="Calibri" w:eastAsia="Calibri"/>
          <w:color w:val="202428"/>
          <w:sz w:val="18"/>
        </w:rPr>
        <w:t xml:space="preserve">Chapter 63.60 RCW, personality rights and 2026 forged-digital-likeness amendments: </w:t>
      </w:r>
      <w:hyperlink r:id="rId90">
        <w:r>
          <w:rPr>
            <w:color w:val="0563C1"/>
            <w:u w:val="single"/>
            <w:rFonts w:ascii="Calibri" w:hAnsi="Calibri"/>
            <w:sz w:val="18"/>
          </w:rPr>
          <w:t>app.leg.wa.gov/rcw/default.aspx</w:t>
        </w:r>
      </w:hyperlink>
      <w:r>
        <w:rPr>
          <w:rFonts w:ascii="Calibri" w:hAnsi="Calibri" w:eastAsia="Calibri"/>
          <w:color w:val="202428"/>
          <w:sz w:val="18"/>
        </w:rPr>
        <w:t>.</w:t>
      </w:r>
    </w:p>
    <w:p>
      <w:pPr>
        <w:pStyle w:val="CompactSource"/>
        <w:spacing w:after="60"/>
        <w:ind w:left="720" w:hanging="360"/>
        <w:widowControl/>
        <w:numPr>
          <w:ilvl w:val="0"/>
          <w:numId w:val="41"/>
        </w:numPr>
      </w:pPr>
      <w:r>
        <w:rPr>
          <w:rFonts w:ascii="Calibri" w:hAnsi="Calibri" w:eastAsia="Calibri"/>
          <w:color w:val="202428"/>
          <w:sz w:val="18"/>
        </w:rPr>
        <w:t xml:space="preserve">Chapter 9.73 RCW, recording consent, exclusion, civil, and criminal provisions: </w:t>
      </w:r>
      <w:hyperlink r:id="rId91">
        <w:r>
          <w:rPr>
            <w:color w:val="0563C1"/>
            <w:u w:val="single"/>
            <w:rFonts w:ascii="Calibri" w:hAnsi="Calibri"/>
            <w:sz w:val="18"/>
          </w:rPr>
          <w:t>app.leg.wa.gov/rcw/default.aspx</w:t>
        </w:r>
      </w:hyperlink>
      <w:r>
        <w:rPr>
          <w:rFonts w:ascii="Calibri" w:hAnsi="Calibri" w:eastAsia="Calibri"/>
          <w:color w:val="202428"/>
          <w:sz w:val="18"/>
        </w:rPr>
        <w:t>.</w:t>
      </w:r>
    </w:p>
    <w:p>
      <w:pPr>
        <w:pStyle w:val="CompactSource"/>
        <w:spacing w:after="60"/>
        <w:ind w:left="720" w:hanging="360"/>
        <w:widowControl/>
        <w:numPr>
          <w:ilvl w:val="0"/>
          <w:numId w:val="41"/>
        </w:numPr>
      </w:pPr>
      <w:r>
        <w:rPr>
          <w:rFonts w:ascii="Calibri" w:hAnsi="Calibri" w:eastAsia="Calibri"/>
          <w:color w:val="202428"/>
          <w:sz w:val="18"/>
        </w:rPr>
        <w:t xml:space="preserve">Washington Constitution article I, §§ 5 and 7: </w:t>
      </w:r>
      <w:hyperlink r:id="rId92">
        <w:r>
          <w:rPr>
            <w:color w:val="0563C1"/>
            <w:u w:val="single"/>
            <w:rFonts w:ascii="Calibri" w:hAnsi="Calibri"/>
            <w:sz w:val="18"/>
          </w:rPr>
          <w:t>leg.wa.gov/state-laws-and-rules/washington-st…</w:t>
        </w:r>
      </w:hyperlink>
      <w:r>
        <w:rPr>
          <w:rFonts w:ascii="Calibri" w:hAnsi="Calibri" w:eastAsia="Calibri"/>
          <w:color w:val="202428"/>
          <w:sz w:val="18"/>
        </w:rPr>
        <w:t>.</w:t>
      </w:r>
    </w:p>
    <w:p>
      <w:pPr>
        <w:pStyle w:val="CompactSource"/>
        <w:spacing w:after="60"/>
        <w:ind w:left="720" w:hanging="360"/>
        <w:widowControl/>
        <w:numPr>
          <w:ilvl w:val="0"/>
          <w:numId w:val="41"/>
        </w:numPr>
      </w:pPr>
      <w:r>
        <w:rPr>
          <w:rFonts w:ascii="Calibri" w:hAnsi="Calibri" w:eastAsia="Calibri"/>
          <w:i/>
          <w:color w:val="202428"/>
          <w:sz w:val="18"/>
        </w:rPr>
        <w:t>Fair Housing Council v. Roommates.com</w:t>
      </w:r>
      <w:r>
        <w:rPr>
          <w:rFonts w:ascii="Calibri" w:hAnsi="Calibri" w:eastAsia="Calibri"/>
          <w:color w:val="202428"/>
          <w:sz w:val="18"/>
        </w:rPr>
        <w:t xml:space="preserve">, 521 F.3d 1157 (9th Cir. 2008): </w:t>
      </w:r>
      <w:hyperlink r:id="rId93">
        <w:r>
          <w:rPr>
            <w:color w:val="0563C1"/>
            <w:u w:val="single"/>
            <w:rFonts w:ascii="Calibri" w:hAnsi="Calibri"/>
            <w:sz w:val="18"/>
          </w:rPr>
          <w:t>law.justia.com/cases/federal/appellate-courts/ca9…</w:t>
        </w:r>
      </w:hyperlink>
      <w:r>
        <w:rPr>
          <w:rFonts w:ascii="Calibri" w:hAnsi="Calibri" w:eastAsia="Calibri"/>
          <w:color w:val="202428"/>
          <w:sz w:val="18"/>
        </w:rPr>
        <w:t>.</w:t>
      </w:r>
    </w:p>
    <w:p>
      <w:pPr>
        <w:pStyle w:val="Heading2"/>
        <w:keepNext/>
        <w:widowControl/>
      </w:pPr>
      <w:r>
        <w:rPr>
          <w:rFonts w:ascii="Calibri" w:hAnsi="Calibri" w:eastAsia="Calibri"/>
          <w:color w:val="2E74B5"/>
          <w:sz w:val="26"/>
        </w:rPr>
        <w:t>C.4 Organizational and empirical sources</w:t>
      </w:r>
    </w:p>
    <w:p>
      <w:pPr>
        <w:pStyle w:val="CompactSource"/>
        <w:spacing w:after="60"/>
        <w:ind w:left="720" w:hanging="360"/>
        <w:widowControl/>
        <w:numPr>
          <w:ilvl w:val="0"/>
          <w:numId w:val="42"/>
        </w:numPr>
      </w:pPr>
      <w:r>
        <w:rPr>
          <w:rFonts w:ascii="Calibri" w:hAnsi="Calibri" w:eastAsia="Calibri"/>
          <w:color w:val="202428"/>
          <w:sz w:val="18"/>
        </w:rPr>
        <w:t xml:space="preserve">Digital Ground Game home page: </w:t>
      </w:r>
      <w:hyperlink r:id="rId94">
        <w:r>
          <w:rPr>
            <w:color w:val="0563C1"/>
            <w:u w:val="single"/>
            <w:rFonts w:ascii="Calibri" w:hAnsi="Calibri"/>
            <w:sz w:val="18"/>
          </w:rPr>
          <w:t>digitalgroundgame.org</w:t>
        </w:r>
      </w:hyperlink>
      <w:r>
        <w:rPr>
          <w:rFonts w:ascii="Calibri" w:hAnsi="Calibri" w:eastAsia="Calibri"/>
          <w:color w:val="202428"/>
          <w:sz w:val="18"/>
        </w:rPr>
        <w:t>.</w:t>
      </w:r>
    </w:p>
    <w:p>
      <w:pPr>
        <w:pStyle w:val="CompactSource"/>
        <w:spacing w:after="60"/>
        <w:ind w:left="720" w:hanging="360"/>
        <w:widowControl/>
        <w:numPr>
          <w:ilvl w:val="0"/>
          <w:numId w:val="42"/>
        </w:numPr>
      </w:pPr>
      <w:r>
        <w:rPr>
          <w:rFonts w:ascii="Calibri" w:hAnsi="Calibri" w:eastAsia="Calibri"/>
          <w:color w:val="202428"/>
          <w:sz w:val="18"/>
        </w:rPr>
        <w:t xml:space="preserve">DGG Creator Corner: </w:t>
      </w:r>
      <w:hyperlink r:id="rId95">
        <w:r>
          <w:rPr>
            <w:color w:val="0563C1"/>
            <w:u w:val="single"/>
            <w:rFonts w:ascii="Calibri" w:hAnsi="Calibri"/>
            <w:sz w:val="18"/>
          </w:rPr>
          <w:t>digitalgroundgame.org/creator-corner</w:t>
        </w:r>
      </w:hyperlink>
      <w:r>
        <w:rPr>
          <w:rFonts w:ascii="Calibri" w:hAnsi="Calibri" w:eastAsia="Calibri"/>
          <w:color w:val="202428"/>
          <w:sz w:val="18"/>
        </w:rPr>
        <w:t>.</w:t>
      </w:r>
    </w:p>
    <w:p>
      <w:pPr>
        <w:pStyle w:val="CompactSource"/>
        <w:spacing w:after="60"/>
        <w:ind w:left="720" w:hanging="360"/>
        <w:widowControl/>
        <w:numPr>
          <w:ilvl w:val="0"/>
          <w:numId w:val="42"/>
        </w:numPr>
      </w:pPr>
      <w:r>
        <w:rPr>
          <w:rFonts w:ascii="Calibri" w:hAnsi="Calibri" w:eastAsia="Calibri"/>
          <w:color w:val="202428"/>
          <w:sz w:val="18"/>
        </w:rPr>
        <w:t xml:space="preserve">DGG West and Northeast regions: </w:t>
      </w:r>
      <w:hyperlink r:id="rId96">
        <w:r>
          <w:rPr>
            <w:color w:val="0563C1"/>
            <w:u w:val="single"/>
            <w:rFonts w:ascii="Calibri" w:hAnsi="Calibri"/>
            <w:sz w:val="18"/>
          </w:rPr>
          <w:t>digitalgroundgame.org/regions/west</w:t>
        </w:r>
      </w:hyperlink>
      <w:r>
        <w:rPr>
          <w:rFonts w:ascii="Calibri" w:hAnsi="Calibri" w:eastAsia="Calibri"/>
          <w:color w:val="202428"/>
          <w:sz w:val="18"/>
        </w:rPr>
        <w:t xml:space="preserve">; </w:t>
      </w:r>
      <w:hyperlink r:id="rId97">
        <w:r>
          <w:rPr>
            <w:color w:val="0563C1"/>
            <w:u w:val="single"/>
            <w:rFonts w:ascii="Calibri" w:hAnsi="Calibri"/>
            <w:sz w:val="18"/>
          </w:rPr>
          <w:t>digitalgroundgame.org/regions/northeast</w:t>
        </w:r>
      </w:hyperlink>
      <w:r>
        <w:rPr>
          <w:rFonts w:ascii="Calibri" w:hAnsi="Calibri" w:eastAsia="Calibri"/>
          <w:color w:val="202428"/>
          <w:sz w:val="18"/>
        </w:rPr>
        <w:t>.</w:t>
      </w:r>
    </w:p>
    <w:p>
      <w:pPr>
        <w:pStyle w:val="CompactSource"/>
        <w:spacing w:after="60"/>
        <w:ind w:left="720" w:hanging="360"/>
        <w:widowControl/>
        <w:numPr>
          <w:ilvl w:val="0"/>
          <w:numId w:val="42"/>
        </w:numPr>
      </w:pPr>
      <w:r>
        <w:rPr>
          <w:rFonts w:ascii="Calibri" w:hAnsi="Calibri" w:eastAsia="Calibri"/>
          <w:color w:val="202428"/>
          <w:sz w:val="18"/>
        </w:rPr>
        <w:t xml:space="preserve">Jacquemet et al., “Truth Telling Under Oath,” 65 </w:t>
      </w:r>
      <w:r>
        <w:rPr>
          <w:rFonts w:ascii="Calibri" w:hAnsi="Calibri" w:eastAsia="Calibri"/>
          <w:i/>
          <w:color w:val="202428"/>
          <w:sz w:val="18"/>
        </w:rPr>
        <w:t>Management Science</w:t>
      </w:r>
      <w:r>
        <w:rPr>
          <w:rFonts w:ascii="Calibri" w:hAnsi="Calibri" w:eastAsia="Calibri"/>
          <w:color w:val="202428"/>
          <w:sz w:val="18"/>
        </w:rPr>
        <w:t xml:space="preserve"> 426–38 (2019), DOI 10.1287/mnsc.2017.2892: </w:t>
      </w:r>
      <w:hyperlink r:id="rId98">
        <w:r>
          <w:rPr>
            <w:color w:val="0563C1"/>
            <w:u w:val="single"/>
            <w:rFonts w:ascii="Calibri" w:hAnsi="Calibri"/>
            <w:sz w:val="18"/>
          </w:rPr>
          <w:t>pubsonline.informs.org/doi/10.1287/mnsc.2017.2892</w:t>
        </w:r>
      </w:hyperlink>
      <w:r>
        <w:rPr>
          <w:rFonts w:ascii="Calibri" w:hAnsi="Calibri" w:eastAsia="Calibri"/>
          <w:color w:val="202428"/>
          <w:sz w:val="18"/>
        </w:rPr>
        <w:t>.</w:t>
      </w:r>
    </w:p>
    <w:p>
      <w:pPr>
        <w:pStyle w:val="CompactSource"/>
        <w:spacing w:after="60"/>
        <w:ind w:left="720" w:hanging="360"/>
        <w:widowControl/>
        <w:numPr>
          <w:ilvl w:val="0"/>
          <w:numId w:val="42"/>
        </w:numPr>
      </w:pPr>
      <w:r>
        <w:rPr>
          <w:rFonts w:ascii="Calibri" w:hAnsi="Calibri" w:eastAsia="Calibri"/>
          <w:color w:val="202428"/>
          <w:sz w:val="18"/>
        </w:rPr>
        <w:t xml:space="preserve">Zickfeld et al., “Commitment to honesty oaths decreases dishonesty,” </w:t>
      </w:r>
      <w:r>
        <w:rPr>
          <w:rFonts w:ascii="Calibri" w:hAnsi="Calibri" w:eastAsia="Calibri"/>
          <w:i/>
          <w:color w:val="202428"/>
          <w:sz w:val="18"/>
        </w:rPr>
        <w:t>Scientific Reports</w:t>
      </w:r>
      <w:r>
        <w:rPr>
          <w:rFonts w:ascii="Calibri" w:hAnsi="Calibri" w:eastAsia="Calibri"/>
          <w:color w:val="202428"/>
          <w:sz w:val="18"/>
        </w:rPr>
        <w:t xml:space="preserve"> (2024): </w:t>
      </w:r>
      <w:hyperlink r:id="rId99">
        <w:r>
          <w:rPr>
            <w:color w:val="0563C1"/>
            <w:u w:val="single"/>
            <w:rFonts w:ascii="Calibri" w:hAnsi="Calibri"/>
            <w:sz w:val="18"/>
          </w:rPr>
          <w:t>pmc.ncbi.nlm.nih.gov/articles/PMC11332245</w:t>
        </w:r>
      </w:hyperlink>
      <w:r>
        <w:rPr>
          <w:rFonts w:ascii="Calibri" w:hAnsi="Calibri" w:eastAsia="Calibri"/>
          <w:color w:val="202428"/>
          <w:sz w:val="18"/>
        </w:rPr>
        <w:t>.</w:t>
      </w:r>
    </w:p>
    <w:p>
      <w:pPr>
        <w:pStyle w:val="CompactSource"/>
        <w:spacing w:after="60"/>
        <w:ind w:left="720" w:hanging="360"/>
        <w:widowControl/>
        <w:numPr>
          <w:ilvl w:val="0"/>
          <w:numId w:val="42"/>
        </w:numPr>
      </w:pPr>
      <w:r>
        <w:rPr>
          <w:rFonts w:ascii="Calibri" w:hAnsi="Calibri" w:eastAsia="Calibri"/>
          <w:color w:val="202428"/>
          <w:sz w:val="18"/>
        </w:rPr>
        <w:t xml:space="preserve">Pennycook et al., “Shifting attention to accuracy can reduce misinformation online,” </w:t>
      </w:r>
      <w:r>
        <w:rPr>
          <w:rFonts w:ascii="Calibri" w:hAnsi="Calibri" w:eastAsia="Calibri"/>
          <w:i/>
          <w:color w:val="202428"/>
          <w:sz w:val="18"/>
        </w:rPr>
        <w:t>Nature Communications</w:t>
      </w:r>
      <w:r>
        <w:rPr>
          <w:rFonts w:ascii="Calibri" w:hAnsi="Calibri" w:eastAsia="Calibri"/>
          <w:color w:val="202428"/>
          <w:sz w:val="18"/>
        </w:rPr>
        <w:t xml:space="preserve">: </w:t>
      </w:r>
      <w:hyperlink r:id="rId100">
        <w:r>
          <w:rPr>
            <w:color w:val="0563C1"/>
            <w:u w:val="single"/>
            <w:rFonts w:ascii="Calibri" w:hAnsi="Calibri"/>
            <w:sz w:val="18"/>
          </w:rPr>
          <w:t>nature.com/articles/s41467-022-30073-5</w:t>
        </w:r>
      </w:hyperlink>
      <w:r>
        <w:rPr>
          <w:rFonts w:ascii="Calibri" w:hAnsi="Calibri" w:eastAsia="Calibri"/>
          <w:color w:val="202428"/>
          <w:sz w:val="18"/>
        </w:rPr>
        <w:t>.</w:t>
      </w:r>
    </w:p>
    <w:p>
      <w:pPr>
        <w:pStyle w:val="CompactSource"/>
        <w:spacing w:after="60"/>
        <w:ind w:left="720" w:hanging="360"/>
        <w:widowControl/>
        <w:numPr>
          <w:ilvl w:val="0"/>
          <w:numId w:val="42"/>
        </w:numPr>
      </w:pPr>
      <w:r>
        <w:rPr>
          <w:rFonts w:ascii="Calibri" w:hAnsi="Calibri" w:eastAsia="Calibri"/>
          <w:color w:val="202428"/>
          <w:sz w:val="18"/>
        </w:rPr>
        <w:t xml:space="preserve">PNAS retraction of the signing-first paper: </w:t>
      </w:r>
      <w:hyperlink r:id="rId101">
        <w:r>
          <w:rPr>
            <w:color w:val="0563C1"/>
            <w:u w:val="single"/>
            <w:rFonts w:ascii="Calibri" w:hAnsi="Calibri"/>
            <w:sz w:val="18"/>
          </w:rPr>
          <w:t>pnas.org/doi/10.1073/pnas.2115397118</w:t>
        </w:r>
      </w:hyperlink>
      <w:r>
        <w:rPr>
          <w:rFonts w:ascii="Calibri" w:hAnsi="Calibri" w:eastAsia="Calibri"/>
          <w:color w:val="202428"/>
          <w:sz w:val="18"/>
        </w:rPr>
        <w:t xml:space="preserve">; failed update: </w:t>
      </w:r>
      <w:hyperlink r:id="rId102">
        <w:r>
          <w:rPr>
            <w:color w:val="0563C1"/>
            <w:u w:val="single"/>
            <w:rFonts w:ascii="Calibri" w:hAnsi="Calibri"/>
            <w:sz w:val="18"/>
          </w:rPr>
          <w:t>pnas.org/doi/10.1073/pnas.1911695117</w:t>
        </w:r>
      </w:hyperlink>
      <w:r>
        <w:rPr>
          <w:rFonts w:ascii="Calibri" w:hAnsi="Calibri" w:eastAsia="Calibri"/>
          <w:color w:val="202428"/>
          <w:sz w:val="18"/>
        </w:rPr>
        <w:t>.</w:t>
      </w:r>
    </w:p>
    <w:p>
      <w:pPr>
        <w:pStyle w:val="CompactSource"/>
        <w:spacing w:after="60"/>
        <w:ind w:left="720" w:hanging="360"/>
        <w:widowControl/>
        <w:numPr>
          <w:ilvl w:val="0"/>
          <w:numId w:val="42"/>
        </w:numPr>
      </w:pPr>
      <w:r>
        <w:rPr>
          <w:rFonts w:ascii="Calibri" w:hAnsi="Calibri" w:eastAsia="Calibri"/>
          <w:color w:val="202428"/>
          <w:sz w:val="18"/>
        </w:rPr>
        <w:t xml:space="preserve">FactCheck.org, Our Process: </w:t>
      </w:r>
      <w:hyperlink r:id="rId103">
        <w:r>
          <w:rPr>
            <w:color w:val="0563C1"/>
            <w:u w:val="single"/>
            <w:rFonts w:ascii="Calibri" w:hAnsi="Calibri"/>
            <w:sz w:val="18"/>
          </w:rPr>
          <w:t>factcheck.org/our-process</w:t>
        </w:r>
      </w:hyperlink>
      <w:r>
        <w:rPr>
          <w:rFonts w:ascii="Calibri" w:hAnsi="Calibri" w:eastAsia="Calibri"/>
          <w:color w:val="202428"/>
          <w:sz w:val="18"/>
        </w:rPr>
        <w:t>.</w:t>
      </w:r>
    </w:p>
    <w:p>
      <w:pPr>
        <w:pStyle w:val="CompactSource"/>
        <w:spacing w:after="60"/>
        <w:ind w:left="720" w:hanging="360"/>
        <w:widowControl/>
        <w:numPr>
          <w:ilvl w:val="0"/>
          <w:numId w:val="42"/>
        </w:numPr>
      </w:pPr>
      <w:r>
        <w:rPr>
          <w:rFonts w:ascii="Calibri" w:hAnsi="Calibri" w:eastAsia="Calibri"/>
          <w:color w:val="202428"/>
          <w:sz w:val="18"/>
        </w:rPr>
        <w:t xml:space="preserve">Pro-Truth Pledge: </w:t>
      </w:r>
      <w:hyperlink r:id="rId104">
        <w:r>
          <w:rPr>
            <w:color w:val="0563C1"/>
            <w:u w:val="single"/>
            <w:rFonts w:ascii="Calibri" w:hAnsi="Calibri"/>
            <w:sz w:val="18"/>
          </w:rPr>
          <w:t>protruthpledge.org</w:t>
        </w:r>
      </w:hyperlink>
      <w:r>
        <w:rPr>
          <w:rFonts w:ascii="Calibri" w:hAnsi="Calibri" w:eastAsia="Calibri"/>
          <w:color w:val="202428"/>
          <w:sz w:val="18"/>
        </w:rPr>
        <w:t>.</w:t>
      </w:r>
    </w:p>
    <w:p>
      <w:pPr>
        <w:widowControl/>
      </w:pPr>
      <w:r>
        <w:br w:type="page"/>
      </w:r>
    </w:p>
    <w:p>
      <w:pPr>
        <w:pStyle w:val="Heading1"/>
        <w:keepNext/>
        <w:widowControl/>
      </w:pPr>
      <w:r>
        <w:rPr>
          <w:rFonts w:ascii="Calibri" w:hAnsi="Calibri" w:eastAsia="Calibri"/>
          <w:color w:val="2E74B5"/>
          <w:sz w:val="32"/>
        </w:rPr>
        <w:t>Appendix D. Claim ledger</w:t>
      </w:r>
    </w:p>
    <w:p>
      <w:pPr>
        <w:widowControl/>
      </w:pPr>
      <w:r>
        <w:rPr>
          <w:rFonts w:ascii="Calibri" w:hAnsi="Calibri" w:eastAsia="Calibri"/>
          <w:color w:val="202428"/>
          <w:sz w:val="22"/>
        </w:rPr>
        <w:t>The full claim-by-claim ledger follows this page in the generated report. It distinguishes established rules from textually plausible arguments, unresolved applications, and unsupported historical claims.</w:t>
      </w:r>
    </w:p>
    <w:p>
      <w:pPr>
        <w:pStyle w:val="Metadata"/>
        <w:widowControl/>
      </w:pPr>
      <w:r>
        <w:rPr>
          <w:rFonts w:ascii="Calibri" w:hAnsi="Calibri" w:eastAsia="Calibri"/>
          <w:b/>
          <w:color w:val="5F6B76"/>
          <w:sz w:val="19"/>
        </w:rPr>
        <w:t>Research cutoff:</w:t>
      </w:r>
      <w:r>
        <w:rPr>
          <w:rFonts w:ascii="Calibri" w:hAnsi="Calibri" w:eastAsia="Calibri"/>
          <w:color w:val="5F6B76"/>
          <w:sz w:val="19"/>
        </w:rPr>
        <w:t xml:space="preserve"> August 30, 2026  </w:t>
      </w:r>
    </w:p>
    <w:p>
      <w:pPr>
        <w:pStyle w:val="Metadata"/>
        <w:widowControl/>
      </w:pPr>
      <w:r>
        <w:rPr>
          <w:rFonts w:ascii="Calibri" w:hAnsi="Calibri" w:eastAsia="Calibri"/>
          <w:b/>
          <w:color w:val="5F6B76"/>
          <w:sz w:val="19"/>
        </w:rPr>
        <w:t>Purpose:</w:t>
      </w:r>
      <w:r>
        <w:rPr>
          <w:rFonts w:ascii="Calibri" w:hAnsi="Calibri" w:eastAsia="Calibri"/>
          <w:color w:val="5F6B76"/>
          <w:sz w:val="19"/>
        </w:rPr>
        <w:t xml:space="preserve"> Internal traceability ledger for the legal-feasibility report. “Supported” means the cited authority supports the stated proposition; it does not mean a court has approved the proposed DGG format.</w:t>
      </w:r>
    </w:p>
    <w:p>
      <w:pPr>
        <w:pStyle w:val="Callout"/>
        <w:keepLines/>
        <w:spacing w:before="160" w:after="240"/>
        <w:ind w:left="259" w:right="173"/>
        <w:shd w:fill="EAF2F8"/>
        <w:widowControl/>
        <w:pBdr>
          <w:left w:val="single" w:sz="18" w:space="8" w:color="2E74B5"/>
        </w:pBdr>
      </w:pPr>
      <w:r>
        <w:rPr>
          <w:rFonts w:ascii="Calibri" w:hAnsi="Calibri" w:eastAsia="Calibri"/>
          <w:color w:val="18324A"/>
          <w:sz w:val="22"/>
        </w:rPr>
        <w:t>Ledger key: Supported = direct authority; Textually strong/plausible = a serious argument with an unresolved application; Historical tension/bounded gap = counsel must research before use. No ledger entry represents a charging prediction.</w:t>
      </w:r>
    </w:p>
    <w:p>
      <w:pPr>
        <w:pStyle w:val="LedgerClaim"/>
        <w:keepNext/>
        <w:widowControl/>
      </w:pPr>
      <w:r>
        <w:rPr>
          <w:rFonts w:ascii="Calibri" w:hAnsi="Calibri" w:eastAsia="Calibri"/>
          <w:b/>
          <w:color w:val="FFFFFF"/>
          <w:sz w:val="18"/>
          <w:shd w:fill="2E74B5"/>
        </w:rPr>
        <w:t xml:space="preserve">WA-N-01  </w:t>
      </w:r>
      <w:r>
        <w:rPr>
          <w:rFonts w:ascii="Calibri" w:hAnsi="Calibri" w:eastAsia="Calibri"/>
          <w:color w:val="18324A"/>
          <w:sz w:val="20"/>
        </w:rPr>
        <w:t>A Washington notary may administer an oath or affirmation and take a verification on oath or affirmation.</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RCW 42.45.010(8), (18); RCW 42.45.020(1), </w:t>
      </w:r>
      <w:hyperlink r:id="rId13">
        <w:r>
          <w:rPr>
            <w:color w:val="0563C1"/>
            <w:u w:val="single"/>
            <w:rFonts w:ascii="Calibri" w:hAnsi="Calibri"/>
            <w:sz w:val="18"/>
          </w:rPr>
          <w:t>app.leg.wa.gov/rcw/default.aspx</w:t>
        </w:r>
      </w:hyperlink>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w:t>
      </w:r>
      <w:r>
        <w:rPr>
          <w:rFonts w:ascii="Calibri" w:hAnsi="Calibri" w:eastAsia="Calibri"/>
          <w:color w:val="202428"/>
          <w:sz w:val="18"/>
        </w:rPr>
        <w:t xml:space="preserve"> This is authority to perform the notarial act, not authority to certify factual truth.</w:t>
      </w:r>
    </w:p>
    <w:p>
      <w:pPr>
        <w:pStyle w:val="LedgerClaim"/>
        <w:keepNext/>
        <w:widowControl/>
      </w:pPr>
      <w:r>
        <w:rPr>
          <w:rFonts w:ascii="Calibri" w:hAnsi="Calibri" w:eastAsia="Calibri"/>
          <w:b/>
          <w:color w:val="FFFFFF"/>
          <w:sz w:val="18"/>
          <w:shd w:fill="2E74B5"/>
        </w:rPr>
        <w:t xml:space="preserve">WA-N-02  </w:t>
      </w:r>
      <w:r>
        <w:rPr>
          <w:rFonts w:ascii="Calibri" w:hAnsi="Calibri" w:eastAsia="Calibri"/>
          <w:color w:val="18324A"/>
          <w:sz w:val="20"/>
        </w:rPr>
        <w:t>A verification on oath or affirmation is tied to a statement in a record, making an exact signed record the safest pilot object.</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RCW 42.45.010(18); RCW 42.45.030.</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w:t>
      </w:r>
      <w:r>
        <w:rPr>
          <w:rFonts w:ascii="Calibri" w:hAnsi="Calibri" w:eastAsia="Calibri"/>
          <w:color w:val="202428"/>
          <w:sz w:val="18"/>
        </w:rPr>
        <w:t xml:space="preserve"> Oral oath administration is separately authorized, but the statutory “verification” concept is record-centered.</w:t>
      </w:r>
    </w:p>
    <w:p>
      <w:pPr>
        <w:pStyle w:val="LedgerClaim"/>
        <w:keepNext/>
        <w:widowControl/>
      </w:pPr>
      <w:r>
        <w:rPr>
          <w:rFonts w:ascii="Calibri" w:hAnsi="Calibri" w:eastAsia="Calibri"/>
          <w:b/>
          <w:color w:val="FFFFFF"/>
          <w:sz w:val="18"/>
          <w:shd w:fill="2E74B5"/>
        </w:rPr>
        <w:t xml:space="preserve">WA-N-03  </w:t>
      </w:r>
      <w:r>
        <w:rPr>
          <w:rFonts w:ascii="Calibri" w:hAnsi="Calibri" w:eastAsia="Calibri"/>
          <w:color w:val="18324A"/>
          <w:sz w:val="20"/>
        </w:rPr>
        <w:t>The signer must personally appear unless the remote-notarial-act statute applies, and identity must be established; capacity or knowing-voluntary concerns authorize refusal.</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RCW 42.45.040–.060; RCW 42.45.130(5).</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w:t>
      </w:r>
      <w:r>
        <w:rPr>
          <w:rFonts w:ascii="Calibri" w:hAnsi="Calibri" w:eastAsia="Calibri"/>
          <w:color w:val="202428"/>
          <w:sz w:val="18"/>
        </w:rPr>
        <w:t xml:space="preserve"> Capacity/voluntariness are refusal safeguards, not substantive facts certified by the notary.</w:t>
      </w:r>
    </w:p>
    <w:p>
      <w:pPr>
        <w:pStyle w:val="LedgerClaim"/>
        <w:keepNext/>
        <w:widowControl/>
      </w:pPr>
      <w:r>
        <w:rPr>
          <w:rFonts w:ascii="Calibri" w:hAnsi="Calibri" w:eastAsia="Calibri"/>
          <w:b/>
          <w:color w:val="FFFFFF"/>
          <w:sz w:val="18"/>
          <w:shd w:fill="2E74B5"/>
        </w:rPr>
        <w:t xml:space="preserve">WA-N-04  </w:t>
      </w:r>
      <w:r>
        <w:rPr>
          <w:rFonts w:ascii="Calibri" w:hAnsi="Calibri" w:eastAsia="Calibri"/>
          <w:color w:val="18324A"/>
          <w:sz w:val="20"/>
        </w:rPr>
        <w:t>A certificate must be completed contemporaneously and attached or logically associated with the exact record.</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RCW 42.45.130; RCW 42.45.140.</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w:t>
      </w:r>
      <w:r>
        <w:rPr>
          <w:rFonts w:ascii="Calibri" w:hAnsi="Calibri" w:eastAsia="Calibri"/>
          <w:color w:val="202428"/>
          <w:sz w:val="18"/>
        </w:rPr>
        <w:t xml:space="preserve"> The notary may not sign the certificate before the act.</w:t>
      </w:r>
    </w:p>
    <w:p>
      <w:pPr>
        <w:pStyle w:val="LedgerClaim"/>
        <w:keepNext/>
        <w:widowControl/>
      </w:pPr>
      <w:r>
        <w:rPr>
          <w:rFonts w:ascii="Calibri" w:hAnsi="Calibri" w:eastAsia="Calibri"/>
          <w:b/>
          <w:color w:val="FFFFFF"/>
          <w:sz w:val="18"/>
          <w:shd w:fill="2E74B5"/>
        </w:rPr>
        <w:t xml:space="preserve">WA-N-05  </w:t>
      </w:r>
      <w:r>
        <w:rPr>
          <w:rFonts w:ascii="Calibri" w:hAnsi="Calibri" w:eastAsia="Calibri"/>
          <w:color w:val="18324A"/>
          <w:sz w:val="20"/>
        </w:rPr>
        <w:t>A Washington notary generally must keep a contemporaneous journal and retain it for ten years after the last act; RCW 42.45.180(2) contains an attorney-notary professional-record exception.</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RCW 42.45.180; WAC 308-30-190 through -210, </w:t>
      </w:r>
      <w:hyperlink r:id="rId23">
        <w:r>
          <w:rPr>
            <w:color w:val="0563C1"/>
            <w:u w:val="single"/>
            <w:rFonts w:ascii="Calibri" w:hAnsi="Calibri"/>
            <w:sz w:val="18"/>
          </w:rPr>
          <w:t>app.leg.wa.gov/WAC/default.aspx</w:t>
        </w:r>
      </w:hyperlink>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 with exception.</w:t>
      </w:r>
      <w:r>
        <w:rPr>
          <w:rFonts w:ascii="Calibri" w:hAnsi="Calibri" w:eastAsia="Calibri"/>
          <w:color w:val="202428"/>
          <w:sz w:val="18"/>
        </w:rPr>
        <w:t xml:space="preserve"> The recommended pilot uses a nonattorney notary; the journal is the notary’s record and DGG’s production archive is separate.</w:t>
      </w:r>
    </w:p>
    <w:p>
      <w:pPr>
        <w:pStyle w:val="LedgerClaim"/>
        <w:keepNext/>
        <w:widowControl/>
      </w:pPr>
      <w:r>
        <w:rPr>
          <w:rFonts w:ascii="Calibri" w:hAnsi="Calibri" w:eastAsia="Calibri"/>
          <w:b/>
          <w:color w:val="FFFFFF"/>
          <w:sz w:val="18"/>
          <w:shd w:fill="2E74B5"/>
        </w:rPr>
        <w:t xml:space="preserve">WA-N-06  </w:t>
      </w:r>
      <w:r>
        <w:rPr>
          <w:rFonts w:ascii="Calibri" w:hAnsi="Calibri" w:eastAsia="Calibri"/>
          <w:color w:val="18324A"/>
          <w:sz w:val="20"/>
        </w:rPr>
        <w:t>A notary or the notary’s spouse/domestic partner may not be a party or hold a direct beneficial interest in the record; a violating act is voidable.</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RCW 42.45.020(2).</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w:t>
      </w:r>
      <w:r>
        <w:rPr>
          <w:rFonts w:ascii="Calibri" w:hAnsi="Calibri" w:eastAsia="Calibri"/>
          <w:color w:val="202428"/>
          <w:sz w:val="18"/>
        </w:rPr>
        <w:t xml:space="preserve"> Use an independent notary with no editorial, campaign, or outcome interest; payment cannot depend on the result.</w:t>
      </w:r>
    </w:p>
    <w:p>
      <w:pPr>
        <w:pStyle w:val="LedgerClaim"/>
        <w:keepNext/>
        <w:widowControl/>
      </w:pPr>
      <w:r>
        <w:rPr>
          <w:rFonts w:ascii="Calibri" w:hAnsi="Calibri" w:eastAsia="Calibri"/>
          <w:b/>
          <w:color w:val="FFFFFF"/>
          <w:sz w:val="18"/>
          <w:shd w:fill="2E74B5"/>
        </w:rPr>
        <w:t xml:space="preserve">WA-N-07  </w:t>
      </w:r>
      <w:r>
        <w:rPr>
          <w:rFonts w:ascii="Calibri" w:hAnsi="Calibri" w:eastAsia="Calibri"/>
          <w:color w:val="18324A"/>
          <w:sz w:val="20"/>
        </w:rPr>
        <w:t>A nonlawyer notary may not choose a certificate for a signer, draft legal records, give legal advice, or otherwise practice law.</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RCW 42.45.230; WAC 308-30-240.</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w:t>
      </w:r>
      <w:r>
        <w:rPr>
          <w:rFonts w:ascii="Calibri" w:hAnsi="Calibri" w:eastAsia="Calibri"/>
          <w:color w:val="202428"/>
          <w:sz w:val="18"/>
        </w:rPr>
        <w:t xml:space="preserve"> Licensed counsel approves the legal form, certificate, and consequence disclosure; DGG implements the fixed protocol and gives no individualized legal advice.</w:t>
      </w:r>
    </w:p>
    <w:p>
      <w:pPr>
        <w:pStyle w:val="LedgerClaim"/>
        <w:keepNext/>
        <w:widowControl/>
      </w:pPr>
      <w:r>
        <w:rPr>
          <w:rFonts w:ascii="Calibri" w:hAnsi="Calibri" w:eastAsia="Calibri"/>
          <w:b/>
          <w:color w:val="FFFFFF"/>
          <w:sz w:val="18"/>
          <w:shd w:fill="2E74B5"/>
        </w:rPr>
        <w:t xml:space="preserve">WA-N-08  </w:t>
      </w:r>
      <w:r>
        <w:rPr>
          <w:rFonts w:ascii="Calibri" w:hAnsi="Calibri" w:eastAsia="Calibri"/>
          <w:color w:val="18324A"/>
          <w:sz w:val="20"/>
        </w:rPr>
        <w:t>A Washington notary may not use the notarial title or seal to endorse or promote a contest, service, or offering.</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WAC 308-30-230.</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w:t>
      </w:r>
      <w:r>
        <w:rPr>
          <w:rFonts w:ascii="Calibri" w:hAnsi="Calibri" w:eastAsia="Calibri"/>
          <w:color w:val="202428"/>
          <w:sz w:val="18"/>
        </w:rPr>
        <w:t xml:space="preserve"> Avoid “notary approved” branding and keep the seal confined to the certificate.</w:t>
      </w:r>
    </w:p>
    <w:p>
      <w:pPr>
        <w:pStyle w:val="LedgerClaim"/>
        <w:keepNext/>
        <w:widowControl/>
      </w:pPr>
      <w:r>
        <w:rPr>
          <w:rFonts w:ascii="Calibri" w:hAnsi="Calibri" w:eastAsia="Calibri"/>
          <w:b/>
          <w:color w:val="FFFFFF"/>
          <w:sz w:val="18"/>
          <w:shd w:fill="2E74B5"/>
        </w:rPr>
        <w:t xml:space="preserve">WA-N-09  </w:t>
      </w:r>
      <w:r>
        <w:rPr>
          <w:rFonts w:ascii="Calibri" w:hAnsi="Calibri" w:eastAsia="Calibri"/>
          <w:color w:val="18324A"/>
          <w:sz w:val="20"/>
        </w:rPr>
        <w:t>A Washington electronic-records notary physically located in Washington may notarize a remotely located U.S. signer if statutory and rule-based identity, record, audiovisual, certificate, and retention requirements are met.</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RCW 42.45.280 (effective until Jan. 1, 2027); WAC 308-30-290 through -330.</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 operationally demanding.</w:t>
      </w:r>
      <w:r>
        <w:rPr>
          <w:rFonts w:ascii="Calibri" w:hAnsi="Calibri" w:eastAsia="Calibri"/>
          <w:color w:val="202428"/>
          <w:sz w:val="18"/>
        </w:rPr>
        <w:t xml:space="preserve"> The signer may be elsewhere; the notary must be in Washington.</w:t>
      </w:r>
    </w:p>
    <w:p>
      <w:pPr>
        <w:pStyle w:val="LedgerClaim"/>
        <w:keepNext/>
        <w:widowControl/>
      </w:pPr>
      <w:r>
        <w:rPr>
          <w:rFonts w:ascii="Calibri" w:hAnsi="Calibri" w:eastAsia="Calibri"/>
          <w:b/>
          <w:color w:val="FFFFFF"/>
          <w:sz w:val="18"/>
          <w:shd w:fill="2E74B5"/>
        </w:rPr>
        <w:t xml:space="preserve">WA-N-10  </w:t>
      </w:r>
      <w:r>
        <w:rPr>
          <w:rFonts w:ascii="Calibri" w:hAnsi="Calibri" w:eastAsia="Calibri"/>
          <w:color w:val="18324A"/>
          <w:sz w:val="20"/>
        </w:rPr>
        <w:t>Beginning Jan. 1, 2027, RCW 42.45.280 expressly authorizes a Washington electronic-records notary to administer a remote oath or affirmation if identity, audiovisual creation, and retention requirements are met.</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RCW 42.45.280(7) (effective Jan. 1, 2027), </w:t>
      </w:r>
      <w:hyperlink r:id="rId22">
        <w:r>
          <w:rPr>
            <w:color w:val="0563C1"/>
            <w:u w:val="single"/>
            <w:rFonts w:ascii="Calibri" w:hAnsi="Calibri"/>
            <w:sz w:val="18"/>
          </w:rPr>
          <w:t>app.leg.wa.gov/RCW/default.aspx</w:t>
        </w:r>
      </w:hyperlink>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 for future version.</w:t>
      </w:r>
      <w:r>
        <w:rPr>
          <w:rFonts w:ascii="Calibri" w:hAnsi="Calibri" w:eastAsia="Calibri"/>
          <w:color w:val="202428"/>
          <w:sz w:val="18"/>
        </w:rPr>
        <w:t xml:space="preserve"> Prelaunch counsel must verify implementing rules and effective text; the amendment should not be represented as already operative before Jan. 1, 2027.</w:t>
      </w:r>
    </w:p>
    <w:p>
      <w:pPr>
        <w:pStyle w:val="LedgerClaim"/>
        <w:keepNext/>
        <w:widowControl/>
      </w:pPr>
      <w:r>
        <w:rPr>
          <w:rFonts w:ascii="Calibri" w:hAnsi="Calibri" w:eastAsia="Calibri"/>
          <w:b/>
          <w:color w:val="FFFFFF"/>
          <w:sz w:val="18"/>
          <w:shd w:fill="2E74B5"/>
        </w:rPr>
        <w:t xml:space="preserve">WA-N-11  </w:t>
      </w:r>
      <w:r>
        <w:rPr>
          <w:rFonts w:ascii="Calibri" w:hAnsi="Calibri" w:eastAsia="Calibri"/>
          <w:color w:val="18324A"/>
          <w:sz w:val="20"/>
        </w:rPr>
        <w:t>The statutory RON recording and a DGG broadcast/production recording are distinct records; Washington’s RON recording may not show images of the subject electronic record.</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WAC 308-30-330.</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w:t>
      </w:r>
      <w:r>
        <w:rPr>
          <w:rFonts w:ascii="Calibri" w:hAnsi="Calibri" w:eastAsia="Calibri"/>
          <w:color w:val="202428"/>
          <w:sz w:val="18"/>
        </w:rPr>
        <w:t xml:space="preserve"> Use segregated feeds/storage and separate consents.</w:t>
      </w:r>
    </w:p>
    <w:p>
      <w:pPr>
        <w:pStyle w:val="LedgerClaim"/>
        <w:keepNext/>
        <w:widowControl/>
      </w:pPr>
      <w:r>
        <w:rPr>
          <w:rFonts w:ascii="Calibri" w:hAnsi="Calibri" w:eastAsia="Calibri"/>
          <w:b/>
          <w:color w:val="FFFFFF"/>
          <w:sz w:val="18"/>
          <w:shd w:fill="2E74B5"/>
        </w:rPr>
        <w:t xml:space="preserve">WA-N-12  </w:t>
      </w:r>
      <w:r>
        <w:rPr>
          <w:rFonts w:ascii="Calibri" w:hAnsi="Calibri" w:eastAsia="Calibri"/>
          <w:color w:val="18324A"/>
          <w:sz w:val="20"/>
        </w:rPr>
        <w:t>In 2026, the conservative remote format is a signed electronic verification/jurat, not a standalone remote oral oath or a paper record later mailed to the notary.</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WAC 308-30-290, -320; RCW 42.45.280 current and future versions; 2026 Wash. Laws ch. 21 (effective Jan. 1, 2027).</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 as a risk-controlled interpretation.</w:t>
      </w:r>
      <w:r>
        <w:rPr>
          <w:rFonts w:ascii="Calibri" w:hAnsi="Calibri" w:eastAsia="Calibri"/>
          <w:color w:val="202428"/>
          <w:sz w:val="18"/>
        </w:rPr>
        <w:t xml:space="preserve"> Current definitions create a contrary textual argument, but the WAC omission and prospective express authorization make the broader 2026 route unnecessarily uncertain.</w:t>
      </w:r>
    </w:p>
    <w:p>
      <w:pPr>
        <w:pStyle w:val="LedgerClaim"/>
        <w:keepNext/>
        <w:widowControl/>
      </w:pPr>
      <w:r>
        <w:rPr>
          <w:rFonts w:ascii="Calibri" w:hAnsi="Calibri" w:eastAsia="Calibri"/>
          <w:b/>
          <w:color w:val="FFFFFF"/>
          <w:sz w:val="18"/>
          <w:shd w:fill="2E74B5"/>
        </w:rPr>
        <w:t xml:space="preserve">WA-N-13  </w:t>
      </w:r>
      <w:r>
        <w:rPr>
          <w:rFonts w:ascii="Calibri" w:hAnsi="Calibri" w:eastAsia="Calibri"/>
          <w:color w:val="18324A"/>
          <w:sz w:val="20"/>
        </w:rPr>
        <w:t>Washington’s current maximum notarial fees are generally $15 for a verification/oath and $25 for a remote act; separately permitted travel or other charges require advance disclosure/agreement.</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WAC 308-30-220, </w:t>
      </w:r>
      <w:hyperlink r:id="rId105">
        <w:r>
          <w:rPr>
            <w:color w:val="0563C1"/>
            <w:u w:val="single"/>
            <w:rFonts w:ascii="Calibri" w:hAnsi="Calibri"/>
            <w:sz w:val="18"/>
          </w:rPr>
          <w:t>app.leg.wa.gov/WAC/default.aspx</w:t>
        </w:r>
      </w:hyperlink>
      <w:r>
        <w:rPr>
          <w:rFonts w:ascii="Calibri" w:hAnsi="Calibri" w:eastAsia="Calibri"/>
          <w:color w:val="202428"/>
          <w:sz w:val="18"/>
        </w:rPr>
        <w:t>.</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w:t>
      </w:r>
      <w:r>
        <w:rPr>
          <w:rFonts w:ascii="Calibri" w:hAnsi="Calibri" w:eastAsia="Calibri"/>
          <w:color w:val="202428"/>
          <w:sz w:val="18"/>
        </w:rPr>
        <w:t xml:space="preserve"> Election counsel must classify who pays before service; campaign-finance consequences are separate.</w:t>
      </w:r>
    </w:p>
    <w:p>
      <w:pPr>
        <w:pStyle w:val="LedgerClaim"/>
        <w:keepNext/>
        <w:widowControl/>
      </w:pPr>
      <w:r>
        <w:rPr>
          <w:rFonts w:ascii="Calibri" w:hAnsi="Calibri" w:eastAsia="Calibri"/>
          <w:b/>
          <w:color w:val="FFFFFF"/>
          <w:sz w:val="18"/>
          <w:shd w:fill="2E74B5"/>
        </w:rPr>
        <w:t xml:space="preserve">WA-C-01  </w:t>
      </w:r>
      <w:r>
        <w:rPr>
          <w:rFonts w:ascii="Calibri" w:hAnsi="Calibri" w:eastAsia="Calibri"/>
          <w:color w:val="18324A"/>
          <w:sz w:val="20"/>
        </w:rPr>
        <w:t>A written statement is treated as made under oath when it satisfies one of RCW 9A.72.010(3)’s routes, including a signed-jurat route or a chapter 5.50 declaration.</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RCW 9A.72.010(3), </w:t>
      </w:r>
      <w:hyperlink r:id="rId25">
        <w:r>
          <w:rPr>
            <w:color w:val="0563C1"/>
            <w:u w:val="single"/>
            <w:rFonts w:ascii="Calibri" w:hAnsi="Calibri"/>
            <w:sz w:val="18"/>
          </w:rPr>
          <w:t>app.leg.wa.gov/RCW/default.aspx</w:t>
        </w:r>
      </w:hyperlink>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w:t>
      </w:r>
      <w:r>
        <w:rPr>
          <w:rFonts w:ascii="Calibri" w:hAnsi="Calibri" w:eastAsia="Calibri"/>
          <w:color w:val="202428"/>
          <w:sz w:val="18"/>
        </w:rPr>
        <w:t xml:space="preserve"> Do not assume every notarized document or casual “I swear” meets a route.</w:t>
      </w:r>
    </w:p>
    <w:p>
      <w:pPr>
        <w:pStyle w:val="LedgerClaim"/>
        <w:keepNext/>
        <w:widowControl/>
      </w:pPr>
      <w:r>
        <w:rPr>
          <w:rFonts w:ascii="Calibri" w:hAnsi="Calibri" w:eastAsia="Calibri"/>
          <w:b/>
          <w:color w:val="FFFFFF"/>
          <w:sz w:val="18"/>
          <w:shd w:fill="2E74B5"/>
        </w:rPr>
        <w:t xml:space="preserve">WA-C-02  </w:t>
      </w:r>
      <w:r>
        <w:rPr>
          <w:rFonts w:ascii="Calibri" w:hAnsi="Calibri" w:eastAsia="Calibri"/>
          <w:color w:val="18324A"/>
          <w:sz w:val="20"/>
        </w:rPr>
        <w:t>Washington false swearing requires a knowingly false statement under an oath required or authorized by law and is a gross misdemeanor; materiality and an official proceeding are not elements.</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RCW 9A.72.040; </w:t>
      </w:r>
      <w:r>
        <w:rPr>
          <w:rFonts w:ascii="Calibri" w:hAnsi="Calibri" w:eastAsia="Calibri"/>
          <w:i/>
          <w:color w:val="202428"/>
          <w:sz w:val="18"/>
        </w:rPr>
        <w:t>In re Recall of Pearsall-Stipek</w:t>
      </w:r>
      <w:r>
        <w:rPr>
          <w:rFonts w:ascii="Calibri" w:hAnsi="Calibri" w:eastAsia="Calibri"/>
          <w:color w:val="202428"/>
          <w:sz w:val="18"/>
        </w:rPr>
        <w:t>, 141 Wn.2d 756, 774–78, 10 P.3d 1034 (2000).</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 as the best statutory theory.</w:t>
      </w:r>
      <w:r>
        <w:rPr>
          <w:rFonts w:ascii="Calibri" w:hAnsi="Calibri" w:eastAsia="Calibri"/>
          <w:color w:val="202428"/>
          <w:sz w:val="18"/>
        </w:rPr>
        <w:t xml:space="preserve"> No located appellate case squarely applies it to this private media/notarial format.</w:t>
      </w:r>
    </w:p>
    <w:p>
      <w:pPr>
        <w:pStyle w:val="LedgerClaim"/>
        <w:keepNext/>
        <w:widowControl/>
      </w:pPr>
      <w:r>
        <w:rPr>
          <w:rFonts w:ascii="Calibri" w:hAnsi="Calibri" w:eastAsia="Calibri"/>
          <w:b/>
          <w:color w:val="FFFFFF"/>
          <w:sz w:val="18"/>
          <w:shd w:fill="2E74B5"/>
        </w:rPr>
        <w:t xml:space="preserve">WA-C-03  </w:t>
      </w:r>
      <w:r>
        <w:rPr>
          <w:rFonts w:ascii="Calibri" w:hAnsi="Calibri" w:eastAsia="Calibri"/>
          <w:color w:val="18324A"/>
          <w:sz w:val="20"/>
        </w:rPr>
        <w:t>Washington first-degree perjury requires a materially false statement knowingly made under oath in an official proceeding.</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RCW 9A.72.020; RCW 9A.72.010(2)–(4), (6).</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w:t>
      </w:r>
      <w:r>
        <w:rPr>
          <w:rFonts w:ascii="Calibri" w:hAnsi="Calibri" w:eastAsia="Calibri"/>
          <w:color w:val="202428"/>
          <w:sz w:val="18"/>
        </w:rPr>
        <w:t xml:space="preserve"> Whether a private DGG notarial session is an “official proceeding” remains unsettled. Do not market the format as automatic felony perjury.</w:t>
      </w:r>
    </w:p>
    <w:p>
      <w:pPr>
        <w:pStyle w:val="LedgerClaim"/>
        <w:keepNext/>
        <w:widowControl/>
      </w:pPr>
      <w:r>
        <w:rPr>
          <w:rFonts w:ascii="Calibri" w:hAnsi="Calibri" w:eastAsia="Calibri"/>
          <w:b/>
          <w:color w:val="FFFFFF"/>
          <w:sz w:val="18"/>
          <w:shd w:fill="2E74B5"/>
        </w:rPr>
        <w:t xml:space="preserve">WA-C-04  </w:t>
      </w:r>
      <w:r>
        <w:rPr>
          <w:rFonts w:ascii="Calibri" w:hAnsi="Calibri" w:eastAsia="Calibri"/>
          <w:color w:val="18324A"/>
          <w:sz w:val="20"/>
        </w:rPr>
        <w:t>“Official proceeding” includes a proceeding before a person authorized to hear evidence under oath, including a notary or a person taking testimony or depositions.</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RCW 9A.72.010(4).</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Textually supportive but not dispositive.</w:t>
      </w:r>
      <w:r>
        <w:rPr>
          <w:rFonts w:ascii="Calibri" w:hAnsi="Calibri" w:eastAsia="Calibri"/>
          <w:color w:val="202428"/>
          <w:sz w:val="18"/>
        </w:rPr>
        <w:t xml:space="preserve"> The statute supplies DGG’s best perjury argument; located cases do not squarely decide this fact pattern.</w:t>
      </w:r>
    </w:p>
    <w:p>
      <w:pPr>
        <w:pStyle w:val="LedgerClaim"/>
        <w:keepNext/>
        <w:widowControl/>
      </w:pPr>
      <w:r>
        <w:rPr>
          <w:rFonts w:ascii="Calibri" w:hAnsi="Calibri" w:eastAsia="Calibri"/>
          <w:b/>
          <w:color w:val="FFFFFF"/>
          <w:sz w:val="18"/>
          <w:shd w:fill="2E74B5"/>
        </w:rPr>
        <w:t xml:space="preserve">WA-C-05  </w:t>
      </w:r>
      <w:r>
        <w:rPr>
          <w:rFonts w:ascii="Calibri" w:hAnsi="Calibri" w:eastAsia="Calibri"/>
          <w:color w:val="18324A"/>
          <w:sz w:val="20"/>
        </w:rPr>
        <w:t>An oath is “required or authorized by law” when administered by a person authorized by law to administer oaths.</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RCW 9A.72.010(5).</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Textually supports false swearing.</w:t>
      </w:r>
      <w:r>
        <w:rPr>
          <w:rFonts w:ascii="Calibri" w:hAnsi="Calibri" w:eastAsia="Calibri"/>
          <w:color w:val="202428"/>
          <w:sz w:val="18"/>
        </w:rPr>
        <w:t xml:space="preserve"> Application still depends on proof of the exact statement, oath, authority, knowledge, and venue/jurisdiction.</w:t>
      </w:r>
    </w:p>
    <w:p>
      <w:pPr>
        <w:pStyle w:val="LedgerClaim"/>
        <w:keepNext/>
        <w:widowControl/>
      </w:pPr>
      <w:r>
        <w:rPr>
          <w:rFonts w:ascii="Calibri" w:hAnsi="Calibri" w:eastAsia="Calibri"/>
          <w:b/>
          <w:color w:val="FFFFFF"/>
          <w:sz w:val="18"/>
          <w:shd w:fill="2E74B5"/>
        </w:rPr>
        <w:t xml:space="preserve">WA-C-06  </w:t>
      </w:r>
      <w:r>
        <w:rPr>
          <w:rFonts w:ascii="Calibri" w:hAnsi="Calibri" w:eastAsia="Calibri"/>
          <w:color w:val="18324A"/>
          <w:sz w:val="20"/>
        </w:rPr>
        <w:t>Irregular administration or lack of administrator authority is not a defense if the oath was otherwise required or authorized by law.</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RCW 9A.72.070.</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w:t>
      </w:r>
      <w:r>
        <w:rPr>
          <w:rFonts w:ascii="Calibri" w:hAnsi="Calibri" w:eastAsia="Calibri"/>
          <w:color w:val="202428"/>
          <w:sz w:val="18"/>
        </w:rPr>
        <w:t xml:space="preserve"> Technical sloppiness is not a safe “off switch”; it creates evidentiary and notary-law problems.</w:t>
      </w:r>
    </w:p>
    <w:p>
      <w:pPr>
        <w:pStyle w:val="LedgerClaim"/>
        <w:keepNext/>
        <w:widowControl/>
      </w:pPr>
      <w:r>
        <w:rPr>
          <w:rFonts w:ascii="Calibri" w:hAnsi="Calibri" w:eastAsia="Calibri"/>
          <w:b/>
          <w:color w:val="FFFFFF"/>
          <w:sz w:val="18"/>
          <w:shd w:fill="2E74B5"/>
        </w:rPr>
        <w:t xml:space="preserve">WA-C-07  </w:t>
      </w:r>
      <w:r>
        <w:rPr>
          <w:rFonts w:ascii="Calibri" w:hAnsi="Calibri" w:eastAsia="Calibri"/>
          <w:color w:val="18324A"/>
          <w:sz w:val="20"/>
        </w:rPr>
        <w:t>An unqualified statement of something the declarant does not know to be true may be treated as knowingly false.</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RCW 9A.72.080.</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w:t>
      </w:r>
      <w:r>
        <w:rPr>
          <w:rFonts w:ascii="Calibri" w:hAnsi="Calibri" w:eastAsia="Calibri"/>
          <w:color w:val="202428"/>
          <w:sz w:val="18"/>
        </w:rPr>
        <w:t xml:space="preserve"> Every question must permit “I do not know,” “I cannot verify,” and explicit qualifications.</w:t>
      </w:r>
    </w:p>
    <w:p>
      <w:pPr>
        <w:pStyle w:val="LedgerClaim"/>
        <w:keepNext/>
        <w:widowControl/>
      </w:pPr>
      <w:r>
        <w:rPr>
          <w:rFonts w:ascii="Calibri" w:hAnsi="Calibri" w:eastAsia="Calibri"/>
          <w:b/>
          <w:color w:val="FFFFFF"/>
          <w:sz w:val="18"/>
          <w:shd w:fill="2E74B5"/>
        </w:rPr>
        <w:t xml:space="preserve">WA-C-08  </w:t>
      </w:r>
      <w:r>
        <w:rPr>
          <w:rFonts w:ascii="Calibri" w:hAnsi="Calibri" w:eastAsia="Calibri"/>
          <w:color w:val="18324A"/>
          <w:sz w:val="20"/>
        </w:rPr>
        <w:t xml:space="preserve">Washington does not require a theatrical oath ritual when the person unequivocally and consciously assumes the obligation; a notary’s procedural irregularity did not defeat the former perjury conviction in </w:t>
      </w:r>
      <w:r>
        <w:rPr>
          <w:rFonts w:ascii="Calibri" w:hAnsi="Calibri" w:eastAsia="Calibri"/>
          <w:i/>
          <w:color w:val="18324A"/>
          <w:sz w:val="20"/>
        </w:rPr>
        <w:t>Lewis</w:t>
      </w:r>
      <w:r>
        <w:rPr>
          <w:rFonts w:ascii="Calibri" w:hAnsi="Calibri" w:eastAsia="Calibri"/>
          <w:color w:val="18324A"/>
          <w:sz w:val="20"/>
        </w:rPr>
        <w:t>.</w:t>
      </w:r>
    </w:p>
    <w:p>
      <w:pPr>
        <w:pStyle w:val="LedgerDetail"/>
        <w:keepNext/>
        <w:widowControl/>
      </w:pPr>
      <w:r>
        <w:rPr>
          <w:rFonts w:ascii="Calibri" w:hAnsi="Calibri" w:eastAsia="Calibri"/>
          <w:b/>
          <w:color w:val="1F4D78"/>
          <w:sz w:val="18"/>
        </w:rPr>
        <w:t xml:space="preserve">Authority: </w:t>
      </w:r>
      <w:r>
        <w:rPr>
          <w:rFonts w:ascii="Calibri" w:hAnsi="Calibri" w:eastAsia="Calibri"/>
          <w:i/>
          <w:color w:val="202428"/>
          <w:sz w:val="18"/>
        </w:rPr>
        <w:t>State v. Lewis</w:t>
      </w:r>
      <w:r>
        <w:rPr>
          <w:rFonts w:ascii="Calibri" w:hAnsi="Calibri" w:eastAsia="Calibri"/>
          <w:color w:val="202428"/>
          <w:sz w:val="18"/>
        </w:rPr>
        <w:t xml:space="preserve">, 85 Wn.2d 769, 771–72, 539 P.2d 677 (1975), </w:t>
      </w:r>
      <w:hyperlink r:id="rId38">
        <w:r>
          <w:rPr>
            <w:color w:val="0563C1"/>
            <w:u w:val="single"/>
            <w:rFonts w:ascii="Calibri" w:hAnsi="Calibri"/>
            <w:sz w:val="18"/>
          </w:rPr>
          <w:t>law.justia.com/cases/washington/supreme-court/197…</w:t>
        </w:r>
      </w:hyperlink>
      <w:r>
        <w:rPr>
          <w:rFonts w:ascii="Calibri" w:hAnsi="Calibri" w:eastAsia="Calibri"/>
          <w:color w:val="202428"/>
          <w:sz w:val="18"/>
        </w:rPr>
        <w:t xml:space="preserve">; </w:t>
      </w:r>
      <w:r>
        <w:rPr>
          <w:rFonts w:ascii="Calibri" w:hAnsi="Calibri" w:eastAsia="Calibri"/>
          <w:i/>
          <w:color w:val="202428"/>
          <w:sz w:val="18"/>
        </w:rPr>
        <w:t>Schoultz v. Dep’t of Motor Vehicles</w:t>
      </w:r>
      <w:r>
        <w:rPr>
          <w:rFonts w:ascii="Calibri" w:hAnsi="Calibri" w:eastAsia="Calibri"/>
          <w:color w:val="202428"/>
          <w:sz w:val="18"/>
        </w:rPr>
        <w:t xml:space="preserve">, 89 Wn.2d 664, 671–72, 574 P.2d 1167 (1978), </w:t>
      </w:r>
      <w:hyperlink r:id="rId39">
        <w:r>
          <w:rPr>
            <w:color w:val="0563C1"/>
            <w:u w:val="single"/>
            <w:rFonts w:ascii="Calibri" w:hAnsi="Calibri"/>
            <w:sz w:val="18"/>
          </w:rPr>
          <w:t>law.justia.com/cases/washington/supreme-court/197…</w:t>
        </w:r>
      </w:hyperlink>
      <w:r>
        <w:rPr>
          <w:rFonts w:ascii="Calibri" w:hAnsi="Calibri" w:eastAsia="Calibri"/>
          <w:color w:val="202428"/>
          <w:sz w:val="18"/>
        </w:rPr>
        <w:t>.</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 but fact-specific and under predecessor statutes.</w:t>
      </w:r>
      <w:r>
        <w:rPr>
          <w:rFonts w:ascii="Calibri" w:hAnsi="Calibri" w:eastAsia="Calibri"/>
          <w:color w:val="202428"/>
          <w:sz w:val="18"/>
        </w:rPr>
        <w:t xml:space="preserve"> This is an accidental-activation warning, not proof that a casual phrase creates a modern offense. Historical draft citation “72 Wn.2d 427 (1975)” is wrong.</w:t>
      </w:r>
    </w:p>
    <w:p>
      <w:pPr>
        <w:pStyle w:val="LedgerClaim"/>
        <w:keepNext/>
        <w:widowControl/>
      </w:pPr>
      <w:r>
        <w:rPr>
          <w:rFonts w:ascii="Calibri" w:hAnsi="Calibri" w:eastAsia="Calibri"/>
          <w:b/>
          <w:color w:val="FFFFFF"/>
          <w:sz w:val="18"/>
          <w:shd w:fill="2E74B5"/>
        </w:rPr>
        <w:t xml:space="preserve">WA-C-09  </w:t>
      </w:r>
      <w:r>
        <w:rPr>
          <w:rFonts w:ascii="Calibri" w:hAnsi="Calibri" w:eastAsia="Calibri"/>
          <w:color w:val="18324A"/>
          <w:sz w:val="20"/>
        </w:rPr>
        <w:t>In an ER 801(d)(1)(i) case applying former RCW 9A.72.085, a recorded/transcribed statement without required signature/date did not qualify as sworn; current CSR use is analogical.</w:t>
      </w:r>
    </w:p>
    <w:p>
      <w:pPr>
        <w:pStyle w:val="LedgerDetail"/>
        <w:keepNext/>
        <w:widowControl/>
      </w:pPr>
      <w:r>
        <w:rPr>
          <w:rFonts w:ascii="Calibri" w:hAnsi="Calibri" w:eastAsia="Calibri"/>
          <w:b/>
          <w:color w:val="1F4D78"/>
          <w:sz w:val="18"/>
        </w:rPr>
        <w:t xml:space="preserve">Authority: </w:t>
      </w:r>
      <w:r>
        <w:rPr>
          <w:rFonts w:ascii="Calibri" w:hAnsi="Calibri" w:eastAsia="Calibri"/>
          <w:i/>
          <w:color w:val="202428"/>
          <w:sz w:val="18"/>
        </w:rPr>
        <w:t>State v. McComas</w:t>
      </w:r>
      <w:r>
        <w:rPr>
          <w:rFonts w:ascii="Calibri" w:hAnsi="Calibri" w:eastAsia="Calibri"/>
          <w:color w:val="202428"/>
          <w:sz w:val="18"/>
        </w:rPr>
        <w:t xml:space="preserve">, 186 Wn. App. 307, 318–19, 345 P.3d 36 (2015), </w:t>
      </w:r>
      <w:hyperlink r:id="rId48">
        <w:r>
          <w:rPr>
            <w:color w:val="0563C1"/>
            <w:u w:val="single"/>
            <w:rFonts w:ascii="Calibri" w:hAnsi="Calibri"/>
            <w:sz w:val="18"/>
          </w:rPr>
          <w:t>courts.wa.gov/opinions/pdf/D2%2044974-9-II%20%20…</w:t>
        </w:r>
      </w:hyperlink>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 only by analogy.</w:t>
      </w:r>
      <w:r>
        <w:rPr>
          <w:rFonts w:ascii="Calibri" w:hAnsi="Calibri" w:eastAsia="Calibri"/>
          <w:color w:val="202428"/>
          <w:sz w:val="18"/>
        </w:rPr>
        <w:t xml:space="preserve"> DGG must never rewrite an answer and retroactively label it sworn; </w:t>
      </w:r>
      <w:r>
        <w:rPr>
          <w:rFonts w:ascii="Calibri" w:hAnsi="Calibri" w:eastAsia="Calibri"/>
          <w:i/>
          <w:color w:val="202428"/>
          <w:sz w:val="18"/>
        </w:rPr>
        <w:t>McComas</w:t>
      </w:r>
      <w:r>
        <w:rPr>
          <w:rFonts w:ascii="Calibri" w:hAnsi="Calibri" w:eastAsia="Calibri"/>
          <w:color w:val="202428"/>
          <w:sz w:val="18"/>
        </w:rPr>
        <w:t xml:space="preserve"> does not define current notarial-verification law.</w:t>
      </w:r>
    </w:p>
    <w:p>
      <w:pPr>
        <w:pStyle w:val="LedgerClaim"/>
        <w:keepNext/>
        <w:widowControl/>
      </w:pPr>
      <w:r>
        <w:rPr>
          <w:rFonts w:ascii="Calibri" w:hAnsi="Calibri" w:eastAsia="Calibri"/>
          <w:b/>
          <w:color w:val="FFFFFF"/>
          <w:sz w:val="18"/>
          <w:shd w:fill="2E74B5"/>
        </w:rPr>
        <w:t xml:space="preserve">WA-C-10  </w:t>
      </w:r>
      <w:r>
        <w:rPr>
          <w:rFonts w:ascii="Calibri" w:hAnsi="Calibri" w:eastAsia="Calibri"/>
          <w:color w:val="18324A"/>
          <w:sz w:val="20"/>
        </w:rPr>
        <w:t>Literal truth, ambiguity, and question context matter in a perjury prosecution.</w:t>
      </w:r>
    </w:p>
    <w:p>
      <w:pPr>
        <w:pStyle w:val="LedgerDetail"/>
        <w:keepNext/>
        <w:widowControl/>
      </w:pPr>
      <w:r>
        <w:rPr>
          <w:rFonts w:ascii="Calibri" w:hAnsi="Calibri" w:eastAsia="Calibri"/>
          <w:b/>
          <w:color w:val="1F4D78"/>
          <w:sz w:val="18"/>
        </w:rPr>
        <w:t xml:space="preserve">Authority: </w:t>
      </w:r>
      <w:r>
        <w:rPr>
          <w:rFonts w:ascii="Calibri" w:hAnsi="Calibri" w:eastAsia="Calibri"/>
          <w:i/>
          <w:color w:val="202428"/>
          <w:sz w:val="18"/>
        </w:rPr>
        <w:t>State v. White</w:t>
      </w:r>
      <w:r>
        <w:rPr>
          <w:rFonts w:ascii="Calibri" w:hAnsi="Calibri" w:eastAsia="Calibri"/>
          <w:color w:val="202428"/>
          <w:sz w:val="18"/>
        </w:rPr>
        <w:t>, 31 Wn. App. 655, 644 P.2d 693 (1982).</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w:t>
      </w:r>
      <w:r>
        <w:rPr>
          <w:rFonts w:ascii="Calibri" w:hAnsi="Calibri" w:eastAsia="Calibri"/>
          <w:color w:val="202428"/>
          <w:sz w:val="18"/>
        </w:rPr>
        <w:t xml:space="preserve"> Use one proposition per question, defined dates/terms, and source packets.</w:t>
      </w:r>
    </w:p>
    <w:p>
      <w:pPr>
        <w:pStyle w:val="LedgerClaim"/>
        <w:keepNext/>
        <w:widowControl/>
      </w:pPr>
      <w:r>
        <w:rPr>
          <w:rFonts w:ascii="Calibri" w:hAnsi="Calibri" w:eastAsia="Calibri"/>
          <w:b/>
          <w:color w:val="FFFFFF"/>
          <w:sz w:val="18"/>
          <w:shd w:fill="2E74B5"/>
        </w:rPr>
        <w:t xml:space="preserve">WA-C-11  </w:t>
      </w:r>
      <w:r>
        <w:rPr>
          <w:rFonts w:ascii="Calibri" w:hAnsi="Calibri" w:eastAsia="Calibri"/>
          <w:color w:val="18324A"/>
          <w:sz w:val="20"/>
        </w:rPr>
        <w:t>A statutory retraction defense is narrow: retraction must occur in the same proceeding before falsity exposure is manifest and before substantial effect.</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RCW 9A.72.060.</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w:t>
      </w:r>
      <w:r>
        <w:rPr>
          <w:rFonts w:ascii="Calibri" w:hAnsi="Calibri" w:eastAsia="Calibri"/>
          <w:color w:val="202428"/>
          <w:sz w:val="18"/>
        </w:rPr>
        <w:t xml:space="preserve"> Do not promise that a later correction immunizes anyone. Versioned correction is an integrity control, not a guaranteed defense.</w:t>
      </w:r>
    </w:p>
    <w:p>
      <w:pPr>
        <w:pStyle w:val="LedgerClaim"/>
        <w:keepNext/>
        <w:widowControl/>
      </w:pPr>
      <w:r>
        <w:rPr>
          <w:rFonts w:ascii="Calibri" w:hAnsi="Calibri" w:eastAsia="Calibri"/>
          <w:b/>
          <w:color w:val="FFFFFF"/>
          <w:sz w:val="18"/>
          <w:shd w:fill="2E74B5"/>
        </w:rPr>
        <w:t xml:space="preserve">WA-J-01  </w:t>
      </w:r>
      <w:r>
        <w:rPr>
          <w:rFonts w:ascii="Calibri" w:hAnsi="Calibri" w:eastAsia="Calibri"/>
          <w:color w:val="18324A"/>
          <w:sz w:val="20"/>
        </w:rPr>
        <w:t>An out-of-state act may support Washington jurisdiction in specified circumstances, but a Washington notarial venue does not itself establish criminal jurisdiction.</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RCW 9A.04.030, </w:t>
      </w:r>
      <w:hyperlink r:id="rId27">
        <w:r>
          <w:rPr>
            <w:color w:val="0563C1"/>
            <w:u w:val="single"/>
            <w:rFonts w:ascii="Calibri" w:hAnsi="Calibri"/>
            <w:sz w:val="18"/>
          </w:rPr>
          <w:t>app.leg.wa.gov/RCW/default.aspx</w:t>
        </w:r>
      </w:hyperlink>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 distinction.</w:t>
      </w:r>
      <w:r>
        <w:rPr>
          <w:rFonts w:ascii="Calibri" w:hAnsi="Calibri" w:eastAsia="Calibri"/>
          <w:color w:val="202428"/>
          <w:sz w:val="18"/>
        </w:rPr>
        <w:t xml:space="preserve"> RCW 9A.04.030(6) is specifically about chapter 5.50 declarations that would be perjury; it is not a catch-all for every remote notarization.</w:t>
      </w:r>
    </w:p>
    <w:p>
      <w:pPr>
        <w:pStyle w:val="LedgerClaim"/>
        <w:keepNext/>
        <w:widowControl/>
      </w:pPr>
      <w:r>
        <w:rPr>
          <w:rFonts w:ascii="Calibri" w:hAnsi="Calibri" w:eastAsia="Calibri"/>
          <w:b/>
          <w:color w:val="FFFFFF"/>
          <w:sz w:val="18"/>
          <w:shd w:fill="2E74B5"/>
        </w:rPr>
        <w:t xml:space="preserve">WA-J-02  </w:t>
      </w:r>
      <w:r>
        <w:rPr>
          <w:rFonts w:ascii="Calibri" w:hAnsi="Calibri" w:eastAsia="Calibri"/>
          <w:color w:val="18324A"/>
          <w:sz w:val="20"/>
        </w:rPr>
        <w:t>Washington recognizes qualifying notarial acts performed by authorized officers in other states.</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RCW 42.45.090.</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w:t>
      </w:r>
      <w:r>
        <w:rPr>
          <w:rFonts w:ascii="Calibri" w:hAnsi="Calibri" w:eastAsia="Calibri"/>
          <w:color w:val="202428"/>
          <w:sz w:val="18"/>
        </w:rPr>
        <w:t xml:space="preserve"> Recognition of notarial effect is not a criminal choice-of-law rule, an evidence ruling, or an extradition command.</w:t>
      </w:r>
    </w:p>
    <w:p>
      <w:pPr>
        <w:pStyle w:val="LedgerClaim"/>
        <w:keepNext/>
        <w:widowControl/>
      </w:pPr>
      <w:r>
        <w:rPr>
          <w:rFonts w:ascii="Calibri" w:hAnsi="Calibri" w:eastAsia="Calibri"/>
          <w:b/>
          <w:color w:val="FFFFFF"/>
          <w:sz w:val="18"/>
          <w:shd w:fill="2E74B5"/>
        </w:rPr>
        <w:t xml:space="preserve">EX-01  </w:t>
      </w:r>
      <w:r>
        <w:rPr>
          <w:rFonts w:ascii="Calibri" w:hAnsi="Calibri" w:eastAsia="Calibri"/>
          <w:color w:val="18324A"/>
          <w:sz w:val="20"/>
        </w:rPr>
        <w:t>A conclusively never-present person is not thereby a federal fugitive; nonfugitive surrender, if available, depends on the asylum state’s UCEA provision and is discretionary.</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18 U.S.C. § 3182; </w:t>
      </w:r>
      <w:r>
        <w:rPr>
          <w:rFonts w:ascii="Calibri" w:hAnsi="Calibri" w:eastAsia="Calibri"/>
          <w:i/>
          <w:color w:val="202428"/>
          <w:sz w:val="18"/>
        </w:rPr>
        <w:t>Hyatt v. People ex rel. Corkran</w:t>
      </w:r>
      <w:r>
        <w:rPr>
          <w:rFonts w:ascii="Calibri" w:hAnsi="Calibri" w:eastAsia="Calibri"/>
          <w:color w:val="202428"/>
          <w:sz w:val="18"/>
        </w:rPr>
        <w:t>, 188 U.S. 691 (1903); RCW 10.88.250 (person found in Washington); 42 Pa.C.S. § 9127; A.R.S. § 13-3846; Fla. Stat. § 941.06.</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 distinction.</w:t>
      </w:r>
      <w:r>
        <w:rPr>
          <w:rFonts w:ascii="Calibri" w:hAnsi="Calibri" w:eastAsia="Calibri"/>
          <w:color w:val="202428"/>
          <w:sz w:val="18"/>
        </w:rPr>
        <w:t xml:space="preserve"> The UCEA provisions ordinarily require a charged out-of-state act intentionally resulting in a crime in the demanding state. Extradition/surrender is not an interview feature.</w:t>
      </w:r>
    </w:p>
    <w:p>
      <w:pPr>
        <w:pStyle w:val="LedgerClaim"/>
        <w:keepNext/>
        <w:widowControl/>
      </w:pPr>
      <w:r>
        <w:rPr>
          <w:rFonts w:ascii="Calibri" w:hAnsi="Calibri" w:eastAsia="Calibri"/>
          <w:b/>
          <w:color w:val="FFFFFF"/>
          <w:sz w:val="18"/>
          <w:shd w:fill="2E74B5"/>
        </w:rPr>
        <w:t xml:space="preserve">PA-01  </w:t>
      </w:r>
      <w:r>
        <w:rPr>
          <w:rFonts w:ascii="Calibri" w:hAnsi="Calibri" w:eastAsia="Calibri"/>
          <w:color w:val="18324A"/>
          <w:sz w:val="20"/>
        </w:rPr>
        <w:t>Pennsylvania perjury requires a material false statement in an official proceeding; § 4501 defines that term as governmental and includes notarial testimony/deposition only when connected to such a proceeding.</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18 Pa.C.S. §§ 4501, 4902, </w:t>
      </w:r>
      <w:hyperlink r:id="rId64">
        <w:r>
          <w:rPr>
            <w:color w:val="0563C1"/>
            <w:u w:val="single"/>
            <w:rFonts w:ascii="Calibri" w:hAnsi="Calibri"/>
            <w:sz w:val="18"/>
          </w:rPr>
          <w:t>legis.state.pa.us/WU01/LI/LI/CT/HTM/18/00.045.001.00…</w:t>
        </w:r>
      </w:hyperlink>
      <w:r>
        <w:rPr>
          <w:rFonts w:ascii="Calibri" w:hAnsi="Calibri" w:eastAsia="Calibri"/>
          <w:color w:val="202428"/>
          <w:sz w:val="18"/>
        </w:rPr>
        <w:t xml:space="preserve">, </w:t>
      </w:r>
      <w:hyperlink r:id="rId106">
        <w:r>
          <w:rPr>
            <w:color w:val="0563C1"/>
            <w:u w:val="single"/>
            <w:rFonts w:ascii="Calibri" w:hAnsi="Calibri"/>
            <w:sz w:val="18"/>
          </w:rPr>
          <w:t>legis.state.pa.us/WU01/LI/LI/CT/HTM/18/00.049.002.00…</w:t>
        </w:r>
      </w:hyperlink>
      <w:r>
        <w:rPr>
          <w:rFonts w:ascii="Calibri" w:hAnsi="Calibri" w:eastAsia="Calibri"/>
          <w:color w:val="202428"/>
          <w:sz w:val="18"/>
        </w:rPr>
        <w:t>.</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w:t>
      </w:r>
      <w:r>
        <w:rPr>
          <w:rFonts w:ascii="Calibri" w:hAnsi="Calibri" w:eastAsia="Calibri"/>
          <w:color w:val="202428"/>
          <w:sz w:val="18"/>
        </w:rPr>
        <w:t xml:space="preserve"> A private DGG interview is not shown to be an official proceeding.</w:t>
      </w:r>
    </w:p>
    <w:p>
      <w:pPr>
        <w:pStyle w:val="LedgerClaim"/>
        <w:keepNext/>
        <w:widowControl/>
      </w:pPr>
      <w:r>
        <w:rPr>
          <w:rFonts w:ascii="Calibri" w:hAnsi="Calibri" w:eastAsia="Calibri"/>
          <w:b/>
          <w:color w:val="FFFFFF"/>
          <w:sz w:val="18"/>
          <w:shd w:fill="2E74B5"/>
        </w:rPr>
        <w:t xml:space="preserve">PA-02  </w:t>
      </w:r>
      <w:r>
        <w:rPr>
          <w:rFonts w:ascii="Calibri" w:hAnsi="Calibri" w:eastAsia="Calibri"/>
          <w:color w:val="18324A"/>
          <w:sz w:val="20"/>
        </w:rPr>
        <w:t>Pennsylvania “other false swearing” requires that law itself require the statement to be sworn before a notary or other officer.</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18 Pa.C.S. § 4903(b), </w:t>
      </w:r>
      <w:hyperlink r:id="rId107">
        <w:r>
          <w:rPr>
            <w:color w:val="0563C1"/>
            <w:u w:val="single"/>
            <w:rFonts w:ascii="Calibri" w:hAnsi="Calibri"/>
            <w:sz w:val="18"/>
          </w:rPr>
          <w:t>legis.state.pa.us/WU01/LI/LI/CT/HTM/18/00.049.003.00…</w:t>
        </w:r>
      </w:hyperlink>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w:t>
      </w:r>
      <w:r>
        <w:rPr>
          <w:rFonts w:ascii="Calibri" w:hAnsi="Calibri" w:eastAsia="Calibri"/>
          <w:color w:val="202428"/>
          <w:sz w:val="18"/>
        </w:rPr>
        <w:t xml:space="preserve"> DGG’s voluntary choice to require an oath is not itself a legal requirement. Pennsylvania is a poor substantive anchor.</w:t>
      </w:r>
    </w:p>
    <w:p>
      <w:pPr>
        <w:pStyle w:val="LedgerClaim"/>
        <w:keepNext/>
        <w:widowControl/>
      </w:pPr>
      <w:r>
        <w:rPr>
          <w:rFonts w:ascii="Calibri" w:hAnsi="Calibri" w:eastAsia="Calibri"/>
          <w:b/>
          <w:color w:val="FFFFFF"/>
          <w:sz w:val="18"/>
          <w:shd w:fill="2E74B5"/>
        </w:rPr>
        <w:t xml:space="preserve">PA-03  </w:t>
      </w:r>
      <w:r>
        <w:rPr>
          <w:rFonts w:ascii="Calibri" w:hAnsi="Calibri" w:eastAsia="Calibri"/>
          <w:color w:val="18324A"/>
          <w:sz w:val="20"/>
        </w:rPr>
        <w:t>Pennsylvania RON can solve a Pennsylvania notarial logistics problem, but does not cure § 4903(b)’s substantive element or territorial applicability.</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57 Pa.C.S. § 306.1, </w:t>
      </w:r>
      <w:hyperlink r:id="rId67">
        <w:r>
          <w:rPr>
            <w:color w:val="0563C1"/>
            <w:u w:val="single"/>
            <w:rFonts w:ascii="Calibri" w:hAnsi="Calibri"/>
            <w:sz w:val="18"/>
          </w:rPr>
          <w:t>palegis.us/statutes/consolidated/view-statute</w:t>
        </w:r>
      </w:hyperlink>
      <w:r>
        <w:rPr>
          <w:rFonts w:ascii="Calibri" w:hAnsi="Calibri" w:eastAsia="Calibri"/>
          <w:color w:val="202428"/>
          <w:sz w:val="18"/>
        </w:rPr>
        <w:t>; 18 Pa.C.S. § 102.</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 distinction.</w:t>
      </w:r>
      <w:r>
        <w:rPr>
          <w:rFonts w:ascii="Calibri" w:hAnsi="Calibri" w:eastAsia="Calibri"/>
          <w:color w:val="202428"/>
          <w:sz w:val="18"/>
        </w:rPr>
        <w:t xml:space="preserve"> The notary must be physically in Pennsylvania; signer location does not create broader false-swearing coverage.</w:t>
      </w:r>
    </w:p>
    <w:p>
      <w:pPr>
        <w:pStyle w:val="LedgerClaim"/>
        <w:keepNext/>
        <w:widowControl/>
      </w:pPr>
      <w:r>
        <w:rPr>
          <w:rFonts w:ascii="Calibri" w:hAnsi="Calibri" w:eastAsia="Calibri"/>
          <w:b/>
          <w:color w:val="FFFFFF"/>
          <w:sz w:val="18"/>
          <w:shd w:fill="2E74B5"/>
        </w:rPr>
        <w:t xml:space="preserve">AZ-01  </w:t>
      </w:r>
      <w:r>
        <w:rPr>
          <w:rFonts w:ascii="Calibri" w:hAnsi="Calibri" w:eastAsia="Calibri"/>
          <w:color w:val="18324A"/>
          <w:sz w:val="20"/>
        </w:rPr>
        <w:t>Arizona’s current statutory text defines “sworn statement” to include a notarized statement whether or not connected to an official proceeding, and false swearing is a class 6 felony.</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A.R.S. §§ 13-2701(3), 13-2703, </w:t>
      </w:r>
      <w:hyperlink r:id="rId70">
        <w:r>
          <w:rPr>
            <w:color w:val="0563C1"/>
            <w:u w:val="single"/>
            <w:rFonts w:ascii="Calibri" w:hAnsi="Calibri"/>
            <w:sz w:val="18"/>
          </w:rPr>
          <w:t>azleg.gov/ars/13/02701.htm</w:t>
        </w:r>
      </w:hyperlink>
      <w:r>
        <w:rPr>
          <w:rFonts w:ascii="Calibri" w:hAnsi="Calibri" w:eastAsia="Calibri"/>
          <w:color w:val="202428"/>
          <w:sz w:val="18"/>
        </w:rPr>
        <w:t xml:space="preserve">, </w:t>
      </w:r>
      <w:hyperlink r:id="rId72">
        <w:r>
          <w:rPr>
            <w:color w:val="0563C1"/>
            <w:u w:val="single"/>
            <w:rFonts w:ascii="Calibri" w:hAnsi="Calibri"/>
            <w:sz w:val="18"/>
          </w:rPr>
          <w:t>azleg.gov/ars/13/02703.htm</w:t>
        </w:r>
      </w:hyperlink>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Textually strong.</w:t>
      </w:r>
      <w:r>
        <w:rPr>
          <w:rFonts w:ascii="Calibri" w:hAnsi="Calibri" w:eastAsia="Calibri"/>
          <w:color w:val="202428"/>
          <w:sz w:val="18"/>
        </w:rPr>
        <w:t xml:space="preserve"> Not a safe launch anchor without Arizona counsel.</w:t>
      </w:r>
    </w:p>
    <w:p>
      <w:pPr>
        <w:pStyle w:val="LedgerClaim"/>
        <w:keepNext/>
        <w:widowControl/>
      </w:pPr>
      <w:r>
        <w:rPr>
          <w:rFonts w:ascii="Calibri" w:hAnsi="Calibri" w:eastAsia="Calibri"/>
          <w:b/>
          <w:color w:val="FFFFFF"/>
          <w:sz w:val="18"/>
          <w:shd w:fill="2E74B5"/>
        </w:rPr>
        <w:t xml:space="preserve">AZ-02  </w:t>
      </w:r>
      <w:r>
        <w:rPr>
          <w:rFonts w:ascii="Calibri" w:hAnsi="Calibri" w:eastAsia="Calibri"/>
          <w:i/>
          <w:color w:val="18324A"/>
          <w:sz w:val="20"/>
        </w:rPr>
        <w:t>Franzi</w:t>
      </w:r>
      <w:r>
        <w:rPr>
          <w:rFonts w:ascii="Calibri" w:hAnsi="Calibri" w:eastAsia="Calibri"/>
          <w:color w:val="18324A"/>
          <w:sz w:val="20"/>
        </w:rPr>
        <w:t xml:space="preserve"> construed the then-operative scheme to require an official proceeding; current § 13-2701(3) contains contrary express language.</w:t>
      </w:r>
    </w:p>
    <w:p>
      <w:pPr>
        <w:pStyle w:val="LedgerDetail"/>
        <w:keepNext/>
        <w:widowControl/>
      </w:pPr>
      <w:r>
        <w:rPr>
          <w:rFonts w:ascii="Calibri" w:hAnsi="Calibri" w:eastAsia="Calibri"/>
          <w:b/>
          <w:color w:val="1F4D78"/>
          <w:sz w:val="18"/>
        </w:rPr>
        <w:t xml:space="preserve">Authority: </w:t>
      </w:r>
      <w:r>
        <w:rPr>
          <w:rFonts w:ascii="Calibri" w:hAnsi="Calibri" w:eastAsia="Calibri"/>
          <w:i/>
          <w:color w:val="202428"/>
          <w:sz w:val="18"/>
        </w:rPr>
        <w:t>Franzi v. Superior Court</w:t>
      </w:r>
      <w:r>
        <w:rPr>
          <w:rFonts w:ascii="Calibri" w:hAnsi="Calibri" w:eastAsia="Calibri"/>
          <w:color w:val="202428"/>
          <w:sz w:val="18"/>
        </w:rPr>
        <w:t xml:space="preserve">, 139 Ariz. 556, 679 P.2d 1043 (1984), </w:t>
      </w:r>
      <w:hyperlink r:id="rId79">
        <w:r>
          <w:rPr>
            <w:color w:val="0563C1"/>
            <w:u w:val="single"/>
            <w:rFonts w:ascii="Calibri" w:hAnsi="Calibri"/>
            <w:sz w:val="18"/>
          </w:rPr>
          <w:t>law.justia.com/cases/arizona/supreme-court/1984/1…</w:t>
        </w:r>
      </w:hyperlink>
      <w:r>
        <w:rPr>
          <w:rFonts w:ascii="Calibri" w:hAnsi="Calibri" w:eastAsia="Calibri"/>
          <w:color w:val="202428"/>
          <w:sz w:val="18"/>
        </w:rPr>
        <w:t>; A.R.S. § 13-2701(3).</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Unresolved current tension.</w:t>
      </w:r>
      <w:r>
        <w:rPr>
          <w:rFonts w:ascii="Calibri" w:hAnsi="Calibri" w:eastAsia="Calibri"/>
          <w:color w:val="202428"/>
          <w:sz w:val="18"/>
        </w:rPr>
        <w:t xml:space="preserve"> No located reported case resolves the current clause’s application to private political media, and exact amendment history remains a bounded gap.</w:t>
      </w:r>
    </w:p>
    <w:p>
      <w:pPr>
        <w:pStyle w:val="LedgerClaim"/>
        <w:keepNext/>
        <w:widowControl/>
      </w:pPr>
      <w:r>
        <w:rPr>
          <w:rFonts w:ascii="Calibri" w:hAnsi="Calibri" w:eastAsia="Calibri"/>
          <w:b/>
          <w:color w:val="FFFFFF"/>
          <w:sz w:val="18"/>
          <w:shd w:fill="2E74B5"/>
        </w:rPr>
        <w:t xml:space="preserve">AZ-03  </w:t>
      </w:r>
      <w:r>
        <w:rPr>
          <w:rFonts w:ascii="Calibri" w:hAnsi="Calibri" w:eastAsia="Calibri"/>
          <w:color w:val="18324A"/>
          <w:sz w:val="20"/>
        </w:rPr>
        <w:t>Arizona RON requires the notary to remain in Arizona, but that fact alone does not conclusively establish criminal jurisdiction over a never-present signer.</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A.R.S. §§ 41-263–265, </w:t>
      </w:r>
      <w:hyperlink r:id="rId76">
        <w:r>
          <w:rPr>
            <w:color w:val="0563C1"/>
            <w:u w:val="single"/>
            <w:rFonts w:ascii="Calibri" w:hAnsi="Calibri"/>
            <w:sz w:val="18"/>
          </w:rPr>
          <w:t>azleg.gov/ars/41/00263.htm</w:t>
        </w:r>
      </w:hyperlink>
      <w:r>
        <w:rPr>
          <w:rFonts w:ascii="Calibri" w:hAnsi="Calibri" w:eastAsia="Calibri"/>
          <w:color w:val="202428"/>
          <w:sz w:val="18"/>
        </w:rPr>
        <w:t xml:space="preserve">; A.R.S. § 13-108, </w:t>
      </w:r>
      <w:hyperlink r:id="rId73">
        <w:r>
          <w:rPr>
            <w:color w:val="0563C1"/>
            <w:u w:val="single"/>
            <w:rFonts w:ascii="Calibri" w:hAnsi="Calibri"/>
            <w:sz w:val="18"/>
          </w:rPr>
          <w:t>azleg.gov/ars/13/00108.htm</w:t>
        </w:r>
      </w:hyperlink>
      <w:r>
        <w:rPr>
          <w:rFonts w:ascii="Calibri" w:hAnsi="Calibri" w:eastAsia="Calibri"/>
          <w:color w:val="202428"/>
          <w:sz w:val="18"/>
        </w:rPr>
        <w:t>.</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 / application unresolved.</w:t>
      </w:r>
      <w:r>
        <w:rPr>
          <w:rFonts w:ascii="Calibri" w:hAnsi="Calibri" w:eastAsia="Calibri"/>
          <w:color w:val="202428"/>
          <w:sz w:val="18"/>
        </w:rPr>
        <w:t xml:space="preserve"> Obtain an Arizona territorial-jurisdiction opinion before use.</w:t>
      </w:r>
    </w:p>
    <w:p>
      <w:pPr>
        <w:pStyle w:val="LedgerClaim"/>
        <w:keepNext/>
        <w:widowControl/>
      </w:pPr>
      <w:r>
        <w:rPr>
          <w:rFonts w:ascii="Calibri" w:hAnsi="Calibri" w:eastAsia="Calibri"/>
          <w:b/>
          <w:color w:val="FFFFFF"/>
          <w:sz w:val="18"/>
          <w:shd w:fill="2E74B5"/>
        </w:rPr>
        <w:t xml:space="preserve">FL-01  </w:t>
      </w:r>
      <w:r>
        <w:rPr>
          <w:rFonts w:ascii="Calibri" w:hAnsi="Calibri" w:eastAsia="Calibri"/>
          <w:color w:val="18324A"/>
          <w:sz w:val="20"/>
        </w:rPr>
        <w:t>Florida online notarizations are deemed performed in Florida and governed by Florida law even when the principal is elsewhere.</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Fla. Stat. §§ 117.209, 117.265, </w:t>
      </w:r>
      <w:hyperlink r:id="rId108">
        <w:r>
          <w:rPr>
            <w:color w:val="0563C1"/>
            <w:u w:val="single"/>
            <w:rFonts w:ascii="Calibri" w:hAnsi="Calibri"/>
            <w:sz w:val="18"/>
          </w:rPr>
          <w:t>leg.state.fl.us/statutes/index.cfm</w:t>
        </w:r>
      </w:hyperlink>
      <w:r>
        <w:rPr>
          <w:rFonts w:ascii="Calibri" w:hAnsi="Calibri" w:eastAsia="Calibri"/>
          <w:color w:val="202428"/>
          <w:sz w:val="18"/>
        </w:rPr>
        <w:t xml:space="preserve">, </w:t>
      </w:r>
      <w:hyperlink r:id="rId109">
        <w:r>
          <w:rPr>
            <w:color w:val="0563C1"/>
            <w:u w:val="single"/>
            <w:rFonts w:ascii="Calibri" w:hAnsi="Calibri"/>
            <w:sz w:val="18"/>
          </w:rPr>
          <w:t>leg.state.fl.us/statutes/index.cfm</w:t>
        </w:r>
      </w:hyperlink>
      <w:r>
        <w:rPr>
          <w:rFonts w:ascii="Calibri" w:hAnsi="Calibri" w:eastAsia="Calibri"/>
          <w:color w:val="202428"/>
          <w:sz w:val="18"/>
        </w:rPr>
        <w:t>.</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 for notarial validity.</w:t>
      </w:r>
      <w:r>
        <w:rPr>
          <w:rFonts w:ascii="Calibri" w:hAnsi="Calibri" w:eastAsia="Calibri"/>
          <w:color w:val="202428"/>
          <w:sz w:val="18"/>
        </w:rPr>
        <w:t xml:space="preserve"> This does not itself establish penal territorial jurisdiction.</w:t>
      </w:r>
    </w:p>
    <w:p>
      <w:pPr>
        <w:pStyle w:val="LedgerClaim"/>
        <w:keepNext/>
        <w:widowControl/>
      </w:pPr>
      <w:r>
        <w:rPr>
          <w:rFonts w:ascii="Calibri" w:hAnsi="Calibri" w:eastAsia="Calibri"/>
          <w:b/>
          <w:color w:val="FFFFFF"/>
          <w:sz w:val="18"/>
          <w:shd w:fill="2E74B5"/>
        </w:rPr>
        <w:t xml:space="preserve">FL-02  </w:t>
      </w:r>
      <w:r>
        <w:rPr>
          <w:rFonts w:ascii="Calibri" w:hAnsi="Calibri" w:eastAsia="Calibri"/>
          <w:color w:val="18324A"/>
          <w:sz w:val="20"/>
        </w:rPr>
        <w:t>Section 837.012 reaches a false material statement outside an official proceeding only if the attestation and matter satisfy §§ 837.011(2)–(3).</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Fla. Stat. §§ 837.011–.012, </w:t>
      </w:r>
      <w:hyperlink r:id="rId110">
        <w:r>
          <w:rPr>
            <w:color w:val="0563C1"/>
            <w:u w:val="single"/>
            <w:rFonts w:ascii="Calibri" w:hAnsi="Calibri"/>
            <w:sz w:val="18"/>
          </w:rPr>
          <w:t>leg.state.fl.us/Statutes/index.cfm</w:t>
        </w:r>
      </w:hyperlink>
      <w:r>
        <w:rPr>
          <w:rFonts w:ascii="Calibri" w:hAnsi="Calibri" w:eastAsia="Calibri"/>
          <w:color w:val="202428"/>
          <w:sz w:val="18"/>
        </w:rPr>
        <w:t>; Fla. Stat. § 910.005.</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Textually uncertain and untested.</w:t>
      </w:r>
      <w:r>
        <w:rPr>
          <w:rFonts w:ascii="Calibri" w:hAnsi="Calibri" w:eastAsia="Calibri"/>
          <w:color w:val="202428"/>
          <w:sz w:val="18"/>
        </w:rPr>
        <w:t xml:space="preserve"> Application to a voluntary private political-media record may be unavailable. Florida is a RON comparator, not a prosecution promise.</w:t>
      </w:r>
    </w:p>
    <w:p>
      <w:pPr>
        <w:pStyle w:val="LedgerClaim"/>
        <w:keepNext/>
        <w:widowControl/>
      </w:pPr>
      <w:r>
        <w:rPr>
          <w:rFonts w:ascii="Calibri" w:hAnsi="Calibri" w:eastAsia="Calibri"/>
          <w:b/>
          <w:color w:val="FFFFFF"/>
          <w:sz w:val="18"/>
          <w:shd w:fill="2E74B5"/>
        </w:rPr>
        <w:t xml:space="preserve">INT-01  </w:t>
      </w:r>
      <w:r>
        <w:rPr>
          <w:rFonts w:ascii="Calibri" w:hAnsi="Calibri" w:eastAsia="Calibri"/>
          <w:color w:val="18324A"/>
          <w:sz w:val="20"/>
        </w:rPr>
        <w:t>Effect of a sister-state certificate depends on the receiving forum’s recognition statute; recognition does not establish truth, admissibility, criminal jurisdiction, or imported penal law.</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RCW 42.45.090; 57 Pa.C.S. § 311; A.R.S. § 41-259; Fla. Stat. § 92.50(2); </w:t>
      </w:r>
      <w:r>
        <w:rPr>
          <w:rFonts w:ascii="Calibri" w:hAnsi="Calibri" w:eastAsia="Calibri"/>
          <w:i/>
          <w:color w:val="202428"/>
          <w:sz w:val="18"/>
        </w:rPr>
        <w:t>Baker v. General Motors Corp.</w:t>
      </w:r>
      <w:r>
        <w:rPr>
          <w:rFonts w:ascii="Calibri" w:hAnsi="Calibri" w:eastAsia="Calibri"/>
          <w:color w:val="202428"/>
          <w:sz w:val="18"/>
        </w:rPr>
        <w:t xml:space="preserve">, 522 U.S. 222 (1998); </w:t>
      </w:r>
      <w:r>
        <w:rPr>
          <w:rFonts w:ascii="Calibri" w:hAnsi="Calibri" w:eastAsia="Calibri"/>
          <w:i/>
          <w:color w:val="202428"/>
          <w:sz w:val="18"/>
        </w:rPr>
        <w:t>Huntington v. Attrill</w:t>
      </w:r>
      <w:r>
        <w:rPr>
          <w:rFonts w:ascii="Calibri" w:hAnsi="Calibri" w:eastAsia="Calibri"/>
          <w:color w:val="202428"/>
          <w:sz w:val="18"/>
        </w:rPr>
        <w:t>, 146 U.S. 657 (1892).</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 with forum-specific qualification.</w:t>
      </w:r>
      <w:r>
        <w:rPr>
          <w:rFonts w:ascii="Calibri" w:hAnsi="Calibri" w:eastAsia="Calibri"/>
          <w:color w:val="202428"/>
          <w:sz w:val="18"/>
        </w:rPr>
        <w:t xml:space="preserve"> Florida’s provision concerns out-of-state acts required or authorized under Florida law, not every private paper.</w:t>
      </w:r>
    </w:p>
    <w:p>
      <w:pPr>
        <w:pStyle w:val="LedgerClaim"/>
        <w:keepNext/>
        <w:widowControl/>
      </w:pPr>
      <w:r>
        <w:rPr>
          <w:rFonts w:ascii="Calibri" w:hAnsi="Calibri" w:eastAsia="Calibri"/>
          <w:b/>
          <w:color w:val="FFFFFF"/>
          <w:sz w:val="18"/>
          <w:shd w:fill="2E74B5"/>
        </w:rPr>
        <w:t xml:space="preserve">INT-02  </w:t>
      </w:r>
      <w:r>
        <w:rPr>
          <w:rFonts w:ascii="Calibri" w:hAnsi="Calibri" w:eastAsia="Calibri"/>
          <w:color w:val="18324A"/>
          <w:sz w:val="20"/>
        </w:rPr>
        <w:t>Mandatory fugitive extradition differs from discretionary nonfugitive surrender, which depends on the asylum state’s UCEA rule.</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18 U.S.C. § 3182; </w:t>
      </w:r>
      <w:r>
        <w:rPr>
          <w:rFonts w:ascii="Calibri" w:hAnsi="Calibri" w:eastAsia="Calibri"/>
          <w:i/>
          <w:color w:val="202428"/>
          <w:sz w:val="18"/>
        </w:rPr>
        <w:t>Hyatt v. People ex rel. Corkran</w:t>
      </w:r>
      <w:r>
        <w:rPr>
          <w:rFonts w:ascii="Calibri" w:hAnsi="Calibri" w:eastAsia="Calibri"/>
          <w:color w:val="202428"/>
          <w:sz w:val="18"/>
        </w:rPr>
        <w:t xml:space="preserve">, 188 U.S. 691 (1903); </w:t>
      </w:r>
      <w:r>
        <w:rPr>
          <w:rFonts w:ascii="Calibri" w:hAnsi="Calibri" w:eastAsia="Calibri"/>
          <w:i/>
          <w:color w:val="202428"/>
          <w:sz w:val="18"/>
        </w:rPr>
        <w:t>Strassheim v. Daily</w:t>
      </w:r>
      <w:r>
        <w:rPr>
          <w:rFonts w:ascii="Calibri" w:hAnsi="Calibri" w:eastAsia="Calibri"/>
          <w:color w:val="202428"/>
          <w:sz w:val="18"/>
        </w:rPr>
        <w:t>, 221 U.S. 280 (1911); RCW 10.88.250; 42 Pa.C.S. § 9127; A.R.S. § 13-3846; Fla. Stat. § 941.06.</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 distinction.</w:t>
      </w:r>
      <w:r>
        <w:rPr>
          <w:rFonts w:ascii="Calibri" w:hAnsi="Calibri" w:eastAsia="Calibri"/>
          <w:color w:val="202428"/>
          <w:sz w:val="18"/>
        </w:rPr>
        <w:t xml:space="preserve"> Do not forecast prosecution, extradition, or surrender as an operational feature.</w:t>
      </w:r>
    </w:p>
    <w:p>
      <w:pPr>
        <w:pStyle w:val="LedgerClaim"/>
        <w:keepNext/>
        <w:widowControl/>
      </w:pPr>
      <w:r>
        <w:rPr>
          <w:rFonts w:ascii="Calibri" w:hAnsi="Calibri" w:eastAsia="Calibri"/>
          <w:b/>
          <w:color w:val="FFFFFF"/>
          <w:sz w:val="18"/>
          <w:shd w:fill="2E74B5"/>
        </w:rPr>
        <w:t xml:space="preserve">REC-01  </w:t>
      </w:r>
      <w:r>
        <w:rPr>
          <w:rFonts w:ascii="Calibri" w:hAnsi="Calibri" w:eastAsia="Calibri"/>
          <w:color w:val="18324A"/>
          <w:sz w:val="20"/>
        </w:rPr>
        <w:t>Washington generally requires consent of all participants before recording a private conversation; an effective recorded announcement may establish consent.</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RCW 9.73.030, </w:t>
      </w:r>
      <w:hyperlink r:id="rId111">
        <w:r>
          <w:rPr>
            <w:color w:val="0563C1"/>
            <w:u w:val="single"/>
            <w:rFonts w:ascii="Calibri" w:hAnsi="Calibri"/>
            <w:sz w:val="18"/>
          </w:rPr>
          <w:t>app.leg.wa.gov/rcw/default.aspx</w:t>
        </w:r>
      </w:hyperlink>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w:t>
      </w:r>
      <w:r>
        <w:rPr>
          <w:rFonts w:ascii="Calibri" w:hAnsi="Calibri" w:eastAsia="Calibri"/>
          <w:color w:val="202428"/>
          <w:sz w:val="18"/>
        </w:rPr>
        <w:t xml:space="preserve"> Obtain express recorded consent anyway, including publication/editing and statutory RON retention.</w:t>
      </w:r>
    </w:p>
    <w:p>
      <w:pPr>
        <w:pStyle w:val="LedgerClaim"/>
        <w:keepNext/>
        <w:widowControl/>
      </w:pPr>
      <w:r>
        <w:rPr>
          <w:rFonts w:ascii="Calibri" w:hAnsi="Calibri" w:eastAsia="Calibri"/>
          <w:b/>
          <w:color w:val="FFFFFF"/>
          <w:sz w:val="18"/>
          <w:shd w:fill="2E74B5"/>
        </w:rPr>
        <w:t xml:space="preserve">REC-02  </w:t>
      </w:r>
      <w:r>
        <w:rPr>
          <w:rFonts w:ascii="Calibri" w:hAnsi="Calibri" w:eastAsia="Calibri"/>
          <w:color w:val="18324A"/>
          <w:sz w:val="20"/>
        </w:rPr>
        <w:t>Pennsylvania is also generally all-party-consent for wire/oral/electronic communications.</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18 Pa.C.S. § 5704(4), </w:t>
      </w:r>
      <w:hyperlink r:id="rId112">
        <w:r>
          <w:rPr>
            <w:color w:val="0563C1"/>
            <w:u w:val="single"/>
            <w:rFonts w:ascii="Calibri" w:hAnsi="Calibri"/>
            <w:sz w:val="18"/>
          </w:rPr>
          <w:t>legis.state.pa.us/WU01/LI/LI/CT/HTM/18/00.057.004.00…</w:t>
        </w:r>
      </w:hyperlink>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w:t>
      </w:r>
      <w:r>
        <w:rPr>
          <w:rFonts w:ascii="Calibri" w:hAnsi="Calibri" w:eastAsia="Calibri"/>
          <w:color w:val="202428"/>
          <w:sz w:val="18"/>
        </w:rPr>
        <w:t xml:space="preserve"> Interstate sessions should comply with the most protective plausibly applicable rule after counsel review.</w:t>
      </w:r>
    </w:p>
    <w:p>
      <w:pPr>
        <w:pStyle w:val="LedgerClaim"/>
        <w:keepNext/>
        <w:widowControl/>
      </w:pPr>
      <w:r>
        <w:rPr>
          <w:rFonts w:ascii="Calibri" w:hAnsi="Calibri" w:eastAsia="Calibri"/>
          <w:b/>
          <w:color w:val="FFFFFF"/>
          <w:sz w:val="18"/>
          <w:shd w:fill="2E74B5"/>
        </w:rPr>
        <w:t xml:space="preserve">REC-03  </w:t>
      </w:r>
      <w:r>
        <w:rPr>
          <w:rFonts w:ascii="Calibri" w:hAnsi="Calibri" w:eastAsia="Calibri"/>
          <w:color w:val="18324A"/>
          <w:sz w:val="20"/>
        </w:rPr>
        <w:t>Unlawful Washington recording may be inadmissible, create civil damages/fees, and create criminal exposure; Pennsylvania provides felony and civil remedies.</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RCW 9.73.050, .060, .080, </w:t>
      </w:r>
      <w:hyperlink r:id="rId91">
        <w:r>
          <w:rPr>
            <w:color w:val="0563C1"/>
            <w:u w:val="single"/>
            <w:rFonts w:ascii="Calibri" w:hAnsi="Calibri"/>
            <w:sz w:val="18"/>
          </w:rPr>
          <w:t>app.leg.wa.gov/rcw/default.aspx</w:t>
        </w:r>
      </w:hyperlink>
      <w:r>
        <w:rPr>
          <w:rFonts w:ascii="Calibri" w:hAnsi="Calibri" w:eastAsia="Calibri"/>
          <w:color w:val="202428"/>
          <w:sz w:val="18"/>
        </w:rPr>
        <w:t xml:space="preserve">; 18 Pa.C.S. §§ 5703, 5725, </w:t>
      </w:r>
      <w:hyperlink r:id="rId66">
        <w:r>
          <w:rPr>
            <w:color w:val="0563C1"/>
            <w:u w:val="single"/>
            <w:rFonts w:ascii="Calibri" w:hAnsi="Calibri"/>
            <w:sz w:val="18"/>
          </w:rPr>
          <w:t>legis.state.pa.us/WU01/LI/LI/CT/HTM/18/00.057..HTM</w:t>
        </w:r>
      </w:hyperlink>
      <w:r>
        <w:rPr>
          <w:rFonts w:ascii="Calibri" w:hAnsi="Calibri" w:eastAsia="Calibri"/>
          <w:color w:val="202428"/>
          <w:sz w:val="18"/>
        </w:rPr>
        <w:t>.</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w:t>
      </w:r>
      <w:r>
        <w:rPr>
          <w:rFonts w:ascii="Calibri" w:hAnsi="Calibri" w:eastAsia="Calibri"/>
          <w:color w:val="202428"/>
          <w:sz w:val="18"/>
        </w:rPr>
        <w:t xml:space="preserve"> Post hoc consent is not assumed to cure an initial interception.</w:t>
      </w:r>
    </w:p>
    <w:p>
      <w:pPr>
        <w:pStyle w:val="LedgerClaim"/>
        <w:keepNext/>
        <w:widowControl/>
      </w:pPr>
      <w:r>
        <w:rPr>
          <w:rFonts w:ascii="Calibri" w:hAnsi="Calibri" w:eastAsia="Calibri"/>
          <w:b/>
          <w:color w:val="FFFFFF"/>
          <w:sz w:val="18"/>
          <w:shd w:fill="2E74B5"/>
        </w:rPr>
        <w:t xml:space="preserve">DEF-01  </w:t>
      </w:r>
      <w:r>
        <w:rPr>
          <w:rFonts w:ascii="Calibri" w:hAnsi="Calibri" w:eastAsia="Calibri"/>
          <w:color w:val="18324A"/>
          <w:sz w:val="20"/>
        </w:rPr>
        <w:t>Materially altering a quotation can support actual malice when the alteration changes meaning.</w:t>
      </w:r>
    </w:p>
    <w:p>
      <w:pPr>
        <w:pStyle w:val="LedgerDetail"/>
        <w:keepNext/>
        <w:widowControl/>
      </w:pPr>
      <w:r>
        <w:rPr>
          <w:rFonts w:ascii="Calibri" w:hAnsi="Calibri" w:eastAsia="Calibri"/>
          <w:b/>
          <w:color w:val="1F4D78"/>
          <w:sz w:val="18"/>
        </w:rPr>
        <w:t xml:space="preserve">Authority: </w:t>
      </w:r>
      <w:r>
        <w:rPr>
          <w:rFonts w:ascii="Calibri" w:hAnsi="Calibri" w:eastAsia="Calibri"/>
          <w:i/>
          <w:color w:val="202428"/>
          <w:sz w:val="18"/>
        </w:rPr>
        <w:t>Masson v. New Yorker Magazine, Inc.</w:t>
      </w:r>
      <w:r>
        <w:rPr>
          <w:rFonts w:ascii="Calibri" w:hAnsi="Calibri" w:eastAsia="Calibri"/>
          <w:color w:val="202428"/>
          <w:sz w:val="18"/>
        </w:rPr>
        <w:t xml:space="preserve">, 501 U.S. 496, 517 (1991), </w:t>
      </w:r>
      <w:hyperlink r:id="rId61">
        <w:r>
          <w:rPr>
            <w:color w:val="0563C1"/>
            <w:u w:val="single"/>
            <w:rFonts w:ascii="Calibri" w:hAnsi="Calibri"/>
            <w:sz w:val="18"/>
          </w:rPr>
          <w:t>supreme.justia.com/cases/federal/us/501/496</w:t>
        </w:r>
      </w:hyperlink>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w:t>
      </w:r>
      <w:r>
        <w:rPr>
          <w:rFonts w:ascii="Calibri" w:hAnsi="Calibri" w:eastAsia="Calibri"/>
          <w:color w:val="202428"/>
          <w:sz w:val="18"/>
        </w:rPr>
        <w:t xml:space="preserve"> Preserve full recordings, show ellipses, and never turn a qualified answer into an absolute one.</w:t>
      </w:r>
    </w:p>
    <w:p>
      <w:pPr>
        <w:pStyle w:val="LedgerClaim"/>
        <w:keepNext/>
        <w:widowControl/>
      </w:pPr>
      <w:r>
        <w:rPr>
          <w:rFonts w:ascii="Calibri" w:hAnsi="Calibri" w:eastAsia="Calibri"/>
          <w:b/>
          <w:color w:val="FFFFFF"/>
          <w:sz w:val="18"/>
          <w:shd w:fill="2E74B5"/>
        </w:rPr>
        <w:t xml:space="preserve">DEF-02  </w:t>
      </w:r>
      <w:r>
        <w:rPr>
          <w:rFonts w:ascii="Calibri" w:hAnsi="Calibri" w:eastAsia="Calibri"/>
          <w:color w:val="18324A"/>
          <w:sz w:val="20"/>
        </w:rPr>
        <w:t>Washington recognizes defamation-by-implication theories involving omitted facts and a false defamatory implication.</w:t>
      </w:r>
    </w:p>
    <w:p>
      <w:pPr>
        <w:pStyle w:val="LedgerDetail"/>
        <w:keepNext/>
        <w:widowControl/>
      </w:pPr>
      <w:r>
        <w:rPr>
          <w:rFonts w:ascii="Calibri" w:hAnsi="Calibri" w:eastAsia="Calibri"/>
          <w:b/>
          <w:color w:val="1F4D78"/>
          <w:sz w:val="18"/>
        </w:rPr>
        <w:t xml:space="preserve">Authority: </w:t>
      </w:r>
      <w:r>
        <w:rPr>
          <w:rFonts w:ascii="Calibri" w:hAnsi="Calibri" w:eastAsia="Calibri"/>
          <w:i/>
          <w:color w:val="202428"/>
          <w:sz w:val="18"/>
        </w:rPr>
        <w:t>Mohr v. Grant</w:t>
      </w:r>
      <w:r>
        <w:rPr>
          <w:rFonts w:ascii="Calibri" w:hAnsi="Calibri" w:eastAsia="Calibri"/>
          <w:color w:val="202428"/>
          <w:sz w:val="18"/>
        </w:rPr>
        <w:t>, 153 Wn.2d 812, 822–27, 108 P.3d 768 (2005).</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w:t>
      </w:r>
      <w:r>
        <w:rPr>
          <w:rFonts w:ascii="Calibri" w:hAnsi="Calibri" w:eastAsia="Calibri"/>
          <w:color w:val="202428"/>
          <w:sz w:val="18"/>
        </w:rPr>
        <w:t xml:space="preserve"> “Declined” labels can create a false sting; do not publish identified nonparticipant statuses unless neutral wording first passes the adverse-inference safety test and counsel review.</w:t>
      </w:r>
    </w:p>
    <w:p>
      <w:pPr>
        <w:pStyle w:val="LedgerClaim"/>
        <w:keepNext/>
        <w:widowControl/>
      </w:pPr>
      <w:r>
        <w:rPr>
          <w:rFonts w:ascii="Calibri" w:hAnsi="Calibri" w:eastAsia="Calibri"/>
          <w:b/>
          <w:color w:val="FFFFFF"/>
          <w:sz w:val="18"/>
          <w:shd w:fill="2E74B5"/>
        </w:rPr>
        <w:t xml:space="preserve">DEF-03  </w:t>
      </w:r>
      <w:r>
        <w:rPr>
          <w:rFonts w:ascii="Calibri" w:hAnsi="Calibri" w:eastAsia="Calibri"/>
          <w:color w:val="18324A"/>
          <w:sz w:val="20"/>
        </w:rPr>
        <w:t>Evidence preservation does not require continued public access to a known-false or potentially defamatory superseded record.</w:t>
      </w:r>
    </w:p>
    <w:p>
      <w:pPr>
        <w:pStyle w:val="LedgerDetail"/>
        <w:keepNext/>
        <w:widowControl/>
      </w:pPr>
      <w:r>
        <w:rPr>
          <w:rFonts w:ascii="Calibri" w:hAnsi="Calibri" w:eastAsia="Calibri"/>
          <w:b/>
          <w:color w:val="1F4D78"/>
          <w:sz w:val="18"/>
        </w:rPr>
        <w:t xml:space="preserve">Authority: </w:t>
      </w:r>
      <w:r>
        <w:rPr>
          <w:rFonts w:ascii="Calibri" w:hAnsi="Calibri" w:eastAsia="Calibri"/>
          <w:i/>
          <w:color w:val="202428"/>
          <w:sz w:val="18"/>
        </w:rPr>
        <w:t>Masson</w:t>
      </w:r>
      <w:r>
        <w:rPr>
          <w:rFonts w:ascii="Calibri" w:hAnsi="Calibri" w:eastAsia="Calibri"/>
          <w:color w:val="202428"/>
          <w:sz w:val="18"/>
        </w:rPr>
        <w:t xml:space="preserve">, 501 U.S. 496; </w:t>
      </w:r>
      <w:r>
        <w:rPr>
          <w:rFonts w:ascii="Calibri" w:hAnsi="Calibri" w:eastAsia="Calibri"/>
          <w:i/>
          <w:color w:val="202428"/>
          <w:sz w:val="18"/>
        </w:rPr>
        <w:t>Mohr</w:t>
      </w:r>
      <w:r>
        <w:rPr>
          <w:rFonts w:ascii="Calibri" w:hAnsi="Calibri" w:eastAsia="Calibri"/>
          <w:color w:val="202428"/>
          <w:sz w:val="18"/>
        </w:rPr>
        <w:t>, 153 Wn.2d 812; preservation/correction protocol is a risk control.</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 as operational risk control.</w:t>
      </w:r>
      <w:r>
        <w:rPr>
          <w:rFonts w:ascii="Calibri" w:hAnsi="Calibri" w:eastAsia="Calibri"/>
          <w:color w:val="202428"/>
          <w:sz w:val="18"/>
        </w:rPr>
        <w:t xml:space="preserve"> Preserve internally; promptly correct derivatives; media counsel decides continued public access.</w:t>
      </w:r>
    </w:p>
    <w:p>
      <w:pPr>
        <w:pStyle w:val="LedgerClaim"/>
        <w:keepNext/>
        <w:widowControl/>
      </w:pPr>
      <w:r>
        <w:rPr>
          <w:rFonts w:ascii="Calibri" w:hAnsi="Calibri" w:eastAsia="Calibri"/>
          <w:b/>
          <w:color w:val="FFFFFF"/>
          <w:sz w:val="18"/>
          <w:shd w:fill="2E74B5"/>
        </w:rPr>
        <w:t xml:space="preserve">PUB-01  </w:t>
      </w:r>
      <w:r>
        <w:rPr>
          <w:rFonts w:ascii="Calibri" w:hAnsi="Calibri" w:eastAsia="Calibri"/>
          <w:color w:val="18324A"/>
          <w:sz w:val="20"/>
        </w:rPr>
        <w:t>Washington personality-rights law contains news/political exceptions but also protects against unauthorized commercial use and now expressly addresses forged digital likenesses.</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Chapter 63.60 RCW, </w:t>
      </w:r>
      <w:hyperlink r:id="rId90">
        <w:r>
          <w:rPr>
            <w:color w:val="0563C1"/>
            <w:u w:val="single"/>
            <w:rFonts w:ascii="Calibri" w:hAnsi="Calibri"/>
            <w:sz w:val="18"/>
          </w:rPr>
          <w:t>app.leg.wa.gov/rcw/default.aspx</w:t>
        </w:r>
      </w:hyperlink>
      <w:r>
        <w:rPr>
          <w:rFonts w:ascii="Calibri" w:hAnsi="Calibri" w:eastAsia="Calibri"/>
          <w:color w:val="202428"/>
          <w:sz w:val="18"/>
        </w:rPr>
        <w:t>.</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 / application fact-specific.</w:t>
      </w:r>
      <w:r>
        <w:rPr>
          <w:rFonts w:ascii="Calibri" w:hAnsi="Calibri" w:eastAsia="Calibri"/>
          <w:color w:val="202428"/>
          <w:sz w:val="18"/>
        </w:rPr>
        <w:t xml:space="preserve"> Obtain a written name/voice/image/fundraising license; prohibit false endorsement and synthetic alteration.</w:t>
      </w:r>
    </w:p>
    <w:p>
      <w:pPr>
        <w:pStyle w:val="LedgerClaim"/>
        <w:keepNext/>
        <w:widowControl/>
      </w:pPr>
      <w:r>
        <w:rPr>
          <w:rFonts w:ascii="Calibri" w:hAnsi="Calibri" w:eastAsia="Calibri"/>
          <w:b/>
          <w:color w:val="FFFFFF"/>
          <w:sz w:val="18"/>
          <w:shd w:fill="2E74B5"/>
        </w:rPr>
        <w:t xml:space="preserve">PUB-02  </w:t>
      </w:r>
      <w:r>
        <w:rPr>
          <w:rFonts w:ascii="Calibri" w:hAnsi="Calibri" w:eastAsia="Calibri"/>
          <w:color w:val="18324A"/>
          <w:sz w:val="20"/>
        </w:rPr>
        <w:t>Section 230 does not immunize DGG for its own questions, summaries, labels, edits, or materially developed content.</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47 U.S.C. § 230; </w:t>
      </w:r>
      <w:r>
        <w:rPr>
          <w:rFonts w:ascii="Calibri" w:hAnsi="Calibri" w:eastAsia="Calibri"/>
          <w:i/>
          <w:color w:val="202428"/>
          <w:sz w:val="18"/>
        </w:rPr>
        <w:t>Fair Housing Council v. Roommates.com</w:t>
      </w:r>
      <w:r>
        <w:rPr>
          <w:rFonts w:ascii="Calibri" w:hAnsi="Calibri" w:eastAsia="Calibri"/>
          <w:color w:val="202428"/>
          <w:sz w:val="18"/>
        </w:rPr>
        <w:t xml:space="preserve">, 521 F.3d 1157 (9th Cir. 2008), </w:t>
      </w:r>
      <w:hyperlink r:id="rId93">
        <w:r>
          <w:rPr>
            <w:color w:val="0563C1"/>
            <w:u w:val="single"/>
            <w:rFonts w:ascii="Calibri" w:hAnsi="Calibri"/>
            <w:sz w:val="18"/>
          </w:rPr>
          <w:t>law.justia.com/cases/federal/appellate-courts/ca9…</w:t>
        </w:r>
      </w:hyperlink>
      <w:r>
        <w:rPr>
          <w:rFonts w:ascii="Calibri" w:hAnsi="Calibri" w:eastAsia="Calibri"/>
          <w:color w:val="202428"/>
          <w:sz w:val="18"/>
        </w:rPr>
        <w:t>.</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 generally.</w:t>
      </w:r>
      <w:r>
        <w:rPr>
          <w:rFonts w:ascii="Calibri" w:hAnsi="Calibri" w:eastAsia="Calibri"/>
          <w:color w:val="202428"/>
          <w:sz w:val="18"/>
        </w:rPr>
        <w:t xml:space="preserve"> Do not budget on platform immunity for DGG-authored editorial content or privacy/IP claims.</w:t>
      </w:r>
    </w:p>
    <w:p>
      <w:pPr>
        <w:pStyle w:val="LedgerClaim"/>
        <w:keepNext/>
        <w:widowControl/>
      </w:pPr>
      <w:r>
        <w:rPr>
          <w:rFonts w:ascii="Calibri" w:hAnsi="Calibri" w:eastAsia="Calibri"/>
          <w:b/>
          <w:color w:val="FFFFFF"/>
          <w:sz w:val="18"/>
          <w:shd w:fill="2E74B5"/>
        </w:rPr>
        <w:t xml:space="preserve">PR-01  </w:t>
      </w:r>
      <w:r>
        <w:rPr>
          <w:rFonts w:ascii="Calibri" w:hAnsi="Calibri" w:eastAsia="Calibri"/>
          <w:color w:val="18324A"/>
          <w:sz w:val="20"/>
        </w:rPr>
        <w:t>Official-capacity records may be public records even when stored on a private device.</w:t>
      </w:r>
    </w:p>
    <w:p>
      <w:pPr>
        <w:pStyle w:val="LedgerDetail"/>
        <w:keepNext/>
        <w:widowControl/>
      </w:pPr>
      <w:r>
        <w:rPr>
          <w:rFonts w:ascii="Calibri" w:hAnsi="Calibri" w:eastAsia="Calibri"/>
          <w:b/>
          <w:color w:val="1F4D78"/>
          <w:sz w:val="18"/>
        </w:rPr>
        <w:t xml:space="preserve">Authority: </w:t>
      </w:r>
      <w:r>
        <w:rPr>
          <w:rFonts w:ascii="Calibri" w:hAnsi="Calibri" w:eastAsia="Calibri"/>
          <w:i/>
          <w:color w:val="202428"/>
          <w:sz w:val="18"/>
        </w:rPr>
        <w:t>Nissen v. Pierce County</w:t>
      </w:r>
      <w:r>
        <w:rPr>
          <w:rFonts w:ascii="Calibri" w:hAnsi="Calibri" w:eastAsia="Calibri"/>
          <w:color w:val="202428"/>
          <w:sz w:val="18"/>
        </w:rPr>
        <w:t xml:space="preserve">, 183 Wn.2d 863, 357 P.3d 45 (2015), </w:t>
      </w:r>
      <w:hyperlink r:id="rId51">
        <w:r>
          <w:rPr>
            <w:color w:val="0563C1"/>
            <w:u w:val="single"/>
            <w:rFonts w:ascii="Calibri" w:hAnsi="Calibri"/>
            <w:sz w:val="18"/>
          </w:rPr>
          <w:t>law.justia.com/cases/washington/supreme-court/201…</w:t>
        </w:r>
      </w:hyperlink>
      <w:r>
        <w:rPr>
          <w:rFonts w:ascii="Calibri" w:hAnsi="Calibri" w:eastAsia="Calibri"/>
          <w:color w:val="202428"/>
          <w:sz w:val="18"/>
        </w:rPr>
        <w:t>.</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w:t>
      </w:r>
      <w:r>
        <w:rPr>
          <w:rFonts w:ascii="Calibri" w:hAnsi="Calibri" w:eastAsia="Calibri"/>
          <w:color w:val="202428"/>
          <w:sz w:val="18"/>
        </w:rPr>
        <w:t xml:space="preserve"> Do not promise confidentiality to officeholders or direct evasion of retention/disclosure duties.</w:t>
      </w:r>
    </w:p>
    <w:p>
      <w:pPr>
        <w:pStyle w:val="LedgerClaim"/>
        <w:keepNext/>
        <w:widowControl/>
      </w:pPr>
      <w:r>
        <w:rPr>
          <w:rFonts w:ascii="Calibri" w:hAnsi="Calibri" w:eastAsia="Calibri"/>
          <w:b/>
          <w:color w:val="FFFFFF"/>
          <w:sz w:val="18"/>
          <w:shd w:fill="2E74B5"/>
        </w:rPr>
        <w:t xml:space="preserve">WIT-01  </w:t>
      </w:r>
      <w:r>
        <w:rPr>
          <w:rFonts w:ascii="Calibri" w:hAnsi="Calibri" w:eastAsia="Calibri"/>
          <w:color w:val="18324A"/>
          <w:sz w:val="20"/>
        </w:rPr>
        <w:t>Because DGG advances a possible official-proceeding theory, threats or inducements directed at a purported witness require counsel review under Washington witness-intimidation/tampering law.</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RCW 9A.72.110–.120, </w:t>
      </w:r>
      <w:hyperlink r:id="rId113">
        <w:r>
          <w:rPr>
            <w:color w:val="0563C1"/>
            <w:u w:val="single"/>
            <w:rFonts w:ascii="Calibri" w:hAnsi="Calibri"/>
            <w:sz w:val="18"/>
          </w:rPr>
          <w:t>app.leg.wa.gov/rcw/default.aspx</w:t>
        </w:r>
      </w:hyperlink>
      <w:r>
        <w:rPr>
          <w:rFonts w:ascii="Calibri" w:hAnsi="Calibri" w:eastAsia="Calibri"/>
          <w:color w:val="202428"/>
          <w:sz w:val="18"/>
        </w:rPr>
        <w:t>.</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 as a no-go boundary.</w:t>
      </w:r>
      <w:r>
        <w:rPr>
          <w:rFonts w:ascii="Calibri" w:hAnsi="Calibri" w:eastAsia="Calibri"/>
          <w:color w:val="202428"/>
          <w:sz w:val="18"/>
        </w:rPr>
        <w:t xml:space="preserve"> An ordinary voluntary invitation is not intimidation; threats, adverse-publicity leverage, specified-answer benefits, or evidence interference are prohibited.</w:t>
      </w:r>
    </w:p>
    <w:p>
      <w:pPr>
        <w:pStyle w:val="LedgerClaim"/>
        <w:keepNext/>
        <w:widowControl/>
      </w:pPr>
      <w:r>
        <w:rPr>
          <w:rFonts w:ascii="Calibri" w:hAnsi="Calibri" w:eastAsia="Calibri"/>
          <w:b/>
          <w:color w:val="FFFFFF"/>
          <w:sz w:val="18"/>
          <w:shd w:fill="2E74B5"/>
        </w:rPr>
        <w:t xml:space="preserve">FEC-01  </w:t>
      </w:r>
      <w:r>
        <w:rPr>
          <w:rFonts w:ascii="Calibri" w:hAnsi="Calibri" w:eastAsia="Calibri"/>
          <w:color w:val="18324A"/>
          <w:sz w:val="20"/>
        </w:rPr>
        <w:t>The federal press exemption is fact-specific and generally unavailable where the facility is owned or controlled by a candidate, party, or political committee.</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11 C.F.R. § 100.73, </w:t>
      </w:r>
      <w:hyperlink r:id="rId54">
        <w:r>
          <w:rPr>
            <w:color w:val="0563C1"/>
            <w:u w:val="single"/>
            <w:rFonts w:ascii="Calibri" w:hAnsi="Calibri"/>
            <w:sz w:val="18"/>
          </w:rPr>
          <w:t>ecfr.gov/current/title-11/chapter-I/subchap…</w:t>
        </w:r>
      </w:hyperlink>
      <w:r>
        <w:rPr>
          <w:rFonts w:ascii="Calibri" w:hAnsi="Calibri" w:eastAsia="Calibri"/>
          <w:color w:val="202428"/>
          <w:sz w:val="18"/>
        </w:rPr>
        <w:t xml:space="preserve">; FEC AO 2008-14, </w:t>
      </w:r>
      <w:hyperlink r:id="rId57">
        <w:r>
          <w:rPr>
            <w:color w:val="0563C1"/>
            <w:u w:val="single"/>
            <w:rFonts w:ascii="Calibri" w:hAnsi="Calibri"/>
            <w:sz w:val="18"/>
          </w:rPr>
          <w:t>fec.gov/data/legal/advisory-opinions/2008-14</w:t>
        </w:r>
      </w:hyperlink>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w:t>
      </w:r>
      <w:r>
        <w:rPr>
          <w:rFonts w:ascii="Calibri" w:hAnsi="Calibri" w:eastAsia="Calibri"/>
          <w:color w:val="202428"/>
          <w:sz w:val="18"/>
        </w:rPr>
        <w:t xml:space="preserve"> DGG must not assume it qualifies; entity status, regular media function, ownership/control, and conduct require counsel review.</w:t>
      </w:r>
    </w:p>
    <w:p>
      <w:pPr>
        <w:pStyle w:val="LedgerClaim"/>
        <w:keepNext/>
        <w:widowControl/>
      </w:pPr>
      <w:r>
        <w:rPr>
          <w:rFonts w:ascii="Calibri" w:hAnsi="Calibri" w:eastAsia="Calibri"/>
          <w:b/>
          <w:color w:val="FFFFFF"/>
          <w:sz w:val="18"/>
          <w:shd w:fill="2E74B5"/>
        </w:rPr>
        <w:t xml:space="preserve">FEC-02  </w:t>
      </w:r>
      <w:r>
        <w:rPr>
          <w:rFonts w:ascii="Calibri" w:hAnsi="Calibri" w:eastAsia="Calibri"/>
          <w:color w:val="18324A"/>
          <w:sz w:val="20"/>
        </w:rPr>
        <w:t>Coordinated-communication analysis can turn on payment, content, and conduct; candidate requests, material involvement, and substantial discussions are relevant, while responses to policy inquiries have a limited safe harbor.</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11 C.F.R. § 109.21, </w:t>
      </w:r>
      <w:hyperlink r:id="rId55">
        <w:r>
          <w:rPr>
            <w:color w:val="0563C1"/>
            <w:u w:val="single"/>
            <w:rFonts w:ascii="Calibri" w:hAnsi="Calibri"/>
            <w:sz w:val="18"/>
          </w:rPr>
          <w:t>ecfr.gov/current/title-11/chapter-I/subchap…</w:t>
        </w:r>
      </w:hyperlink>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w:t>
      </w:r>
      <w:r>
        <w:rPr>
          <w:rFonts w:ascii="Calibri" w:hAnsi="Calibri" w:eastAsia="Calibri"/>
          <w:color w:val="202428"/>
          <w:sz w:val="18"/>
        </w:rPr>
        <w:t xml:space="preserve"> Campaigns may identify a demonstrable verbatim transcription error, but DGG retains editorial control; there is no general “accuracy review” safe harbor.</w:t>
      </w:r>
    </w:p>
    <w:p>
      <w:pPr>
        <w:pStyle w:val="LedgerClaim"/>
        <w:keepNext/>
        <w:widowControl/>
      </w:pPr>
      <w:r>
        <w:rPr>
          <w:rFonts w:ascii="Calibri" w:hAnsi="Calibri" w:eastAsia="Calibri"/>
          <w:b/>
          <w:color w:val="FFFFFF"/>
          <w:sz w:val="18"/>
          <w:shd w:fill="2E74B5"/>
        </w:rPr>
        <w:t xml:space="preserve">FEC-03  </w:t>
      </w:r>
      <w:r>
        <w:rPr>
          <w:rFonts w:ascii="Calibri" w:hAnsi="Calibri" w:eastAsia="Calibri"/>
          <w:color w:val="18324A"/>
          <w:sz w:val="20"/>
        </w:rPr>
        <w:t>If DGG is a corporation and the activity is a coordinated federal contribution, reporting does not cure the corporate-contribution prohibition.</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11 C.F.R. § 114.2, </w:t>
      </w:r>
      <w:hyperlink r:id="rId89">
        <w:r>
          <w:rPr>
            <w:color w:val="0563C1"/>
            <w:u w:val="single"/>
            <w:rFonts w:ascii="Calibri" w:hAnsi="Calibri"/>
            <w:sz w:val="18"/>
          </w:rPr>
          <w:t>ecfr.gov/current/title-11/chapter-I/subchap…</w:t>
        </w:r>
      </w:hyperlink>
      <w:r>
        <w:rPr>
          <w:rFonts w:ascii="Calibri" w:hAnsi="Calibri" w:eastAsia="Calibri"/>
          <w:color w:val="202428"/>
          <w:sz w:val="18"/>
        </w:rPr>
        <w:t>.</w:t>
      </w:r>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w:t>
      </w:r>
      <w:r>
        <w:rPr>
          <w:rFonts w:ascii="Calibri" w:hAnsi="Calibri" w:eastAsia="Calibri"/>
          <w:color w:val="202428"/>
          <w:sz w:val="18"/>
        </w:rPr>
        <w:t xml:space="preserve"> Classification must occur before service or spending.</w:t>
      </w:r>
    </w:p>
    <w:p>
      <w:pPr>
        <w:pStyle w:val="LedgerClaim"/>
        <w:keepNext/>
        <w:widowControl/>
      </w:pPr>
      <w:r>
        <w:rPr>
          <w:rFonts w:ascii="Calibri" w:hAnsi="Calibri" w:eastAsia="Calibri"/>
          <w:b/>
          <w:color w:val="FFFFFF"/>
          <w:sz w:val="18"/>
          <w:shd w:fill="2E74B5"/>
        </w:rPr>
        <w:t xml:space="preserve">WA-E-01  </w:t>
      </w:r>
      <w:r>
        <w:rPr>
          <w:rFonts w:ascii="Calibri" w:hAnsi="Calibri" w:eastAsia="Calibri"/>
          <w:color w:val="18324A"/>
          <w:sz w:val="20"/>
        </w:rPr>
        <w:t>Washington’s campaign-finance code was recodified from chapter 42.17A RCW to Title 29B effective Jan. 1, 2026.</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Washington Legislature disposition table, </w:t>
      </w:r>
      <w:hyperlink r:id="rId33">
        <w:r>
          <w:rPr>
            <w:color w:val="0563C1"/>
            <w:u w:val="single"/>
            <w:rFonts w:ascii="Calibri" w:hAnsi="Calibri"/>
            <w:sz w:val="18"/>
          </w:rPr>
          <w:t>app.leg.wa.gov/rcw/dispo.aspx</w:t>
        </w:r>
      </w:hyperlink>
      <w:r>
        <w:rPr>
          <w:rFonts w:ascii="Calibri" w:hAnsi="Calibri" w:eastAsia="Calibri"/>
          <w:color w:val="202428"/>
          <w:sz w:val="18"/>
        </w:rPr>
        <w:t xml:space="preserve">; PDC notice, </w:t>
      </w:r>
      <w:hyperlink r:id="rId37">
        <w:r>
          <w:rPr>
            <w:color w:val="0563C1"/>
            <w:u w:val="single"/>
            <w:rFonts w:ascii="Calibri" w:hAnsi="Calibri"/>
            <w:sz w:val="18"/>
          </w:rPr>
          <w:t>pdc.wa.gov/rules-enforcement/pdc-relocating-r…</w:t>
        </w:r>
      </w:hyperlink>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w:t>
      </w:r>
      <w:r>
        <w:rPr>
          <w:rFonts w:ascii="Calibri" w:hAnsi="Calibri" w:eastAsia="Calibri"/>
          <w:color w:val="202428"/>
          <w:sz w:val="18"/>
        </w:rPr>
        <w:t xml:space="preserve"> Historical citations must be cross-walked to current Title 29B.</w:t>
      </w:r>
    </w:p>
    <w:p>
      <w:pPr>
        <w:pStyle w:val="LedgerClaim"/>
        <w:keepNext/>
        <w:widowControl/>
      </w:pPr>
      <w:r>
        <w:rPr>
          <w:rFonts w:ascii="Calibri" w:hAnsi="Calibri" w:eastAsia="Calibri"/>
          <w:b/>
          <w:color w:val="FFFFFF"/>
          <w:sz w:val="18"/>
          <w:shd w:fill="2E74B5"/>
        </w:rPr>
        <w:t xml:space="preserve">WA-E-02  </w:t>
      </w:r>
      <w:r>
        <w:rPr>
          <w:rFonts w:ascii="Calibri" w:hAnsi="Calibri" w:eastAsia="Calibri"/>
          <w:color w:val="18324A"/>
          <w:sz w:val="20"/>
        </w:rPr>
        <w:t>Candidate cooperation/consultation may make spending a contribution; media and regularly scheduled news exceptions are conditional.</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RCW 29B.10.160, .220, .230, .310, </w:t>
      </w:r>
      <w:hyperlink r:id="rId114">
        <w:r>
          <w:rPr>
            <w:color w:val="0563C1"/>
            <w:u w:val="single"/>
            <w:rFonts w:ascii="Calibri" w:hAnsi="Calibri"/>
            <w:sz w:val="18"/>
          </w:rPr>
          <w:t>app.leg.wa.gov/rcw/default.aspx</w:t>
        </w:r>
      </w:hyperlink>
      <w:r>
        <w:rPr>
          <w:rFonts w:ascii="Calibri" w:hAnsi="Calibri" w:eastAsia="Calibri"/>
          <w:color w:val="202428"/>
          <w:sz w:val="18"/>
        </w:rPr>
        <w:t xml:space="preserve">; RCW 29B.30.070, </w:t>
      </w:r>
      <w:hyperlink r:id="rId115">
        <w:r>
          <w:rPr>
            <w:color w:val="0563C1"/>
            <w:u w:val="single"/>
            <w:rFonts w:ascii="Calibri" w:hAnsi="Calibri"/>
            <w:sz w:val="18"/>
          </w:rPr>
          <w:t>app.leg.wa.gov/rcw/default.aspx</w:t>
        </w:r>
      </w:hyperlink>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w:t>
      </w:r>
      <w:r>
        <w:rPr>
          <w:rFonts w:ascii="Calibri" w:hAnsi="Calibri" w:eastAsia="Calibri"/>
          <w:color w:val="202428"/>
          <w:sz w:val="18"/>
        </w:rPr>
        <w:t xml:space="preserve"> Apply uniform invitations and editorial independence; obtain entity-specific PDC/FEC advice.</w:t>
      </w:r>
    </w:p>
    <w:p>
      <w:pPr>
        <w:pStyle w:val="LedgerClaim"/>
        <w:keepNext/>
        <w:widowControl/>
      </w:pPr>
      <w:r>
        <w:rPr>
          <w:rFonts w:ascii="Calibri" w:hAnsi="Calibri" w:eastAsia="Calibri"/>
          <w:b/>
          <w:color w:val="FFFFFF"/>
          <w:sz w:val="18"/>
          <w:shd w:fill="2E74B5"/>
        </w:rPr>
        <w:t xml:space="preserve">TAX-01  </w:t>
      </w:r>
      <w:r>
        <w:rPr>
          <w:rFonts w:ascii="Calibri" w:hAnsi="Calibri" w:eastAsia="Calibri"/>
          <w:color w:val="18324A"/>
          <w:sz w:val="20"/>
        </w:rPr>
        <w:t>A § 501(c)(4) organization may engage in political campaign activity only so long as political intervention is not its primary activity; political expenditures may trigger § 527(f) tax.</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IRS, “Social welfare organizations,” </w:t>
      </w:r>
      <w:hyperlink r:id="rId58">
        <w:r>
          <w:rPr>
            <w:color w:val="0563C1"/>
            <w:u w:val="single"/>
            <w:rFonts w:ascii="Calibri" w:hAnsi="Calibri"/>
            <w:sz w:val="18"/>
          </w:rPr>
          <w:t>irs.gov/charities-non-profits/other-non-pr…</w:t>
        </w:r>
      </w:hyperlink>
      <w:r>
        <w:rPr>
          <w:rFonts w:ascii="Calibri" w:hAnsi="Calibri" w:eastAsia="Calibri"/>
          <w:color w:val="202428"/>
          <w:sz w:val="18"/>
        </w:rPr>
        <w:t xml:space="preserve">; IRS, “Political activity and social welfare,” </w:t>
      </w:r>
      <w:hyperlink r:id="rId59">
        <w:r>
          <w:rPr>
            <w:color w:val="0563C1"/>
            <w:u w:val="single"/>
            <w:rFonts w:ascii="Calibri" w:hAnsi="Calibri"/>
            <w:sz w:val="18"/>
          </w:rPr>
          <w:t>irs.gov/charities-non-profits/other-non-pr…</w:t>
        </w:r>
      </w:hyperlink>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w:t>
      </w:r>
      <w:r>
        <w:rPr>
          <w:rFonts w:ascii="Calibri" w:hAnsi="Calibri" w:eastAsia="Calibri"/>
          <w:color w:val="202428"/>
          <w:sz w:val="18"/>
        </w:rPr>
        <w:t xml:space="preserve"> DGG’s website self-description is not independent verification of its entity/EIN/status; confirm before launch.</w:t>
      </w:r>
    </w:p>
    <w:p>
      <w:pPr>
        <w:pStyle w:val="LedgerClaim"/>
        <w:keepNext/>
        <w:widowControl/>
      </w:pPr>
      <w:r>
        <w:rPr>
          <w:rFonts w:ascii="Calibri" w:hAnsi="Calibri" w:eastAsia="Calibri"/>
          <w:b/>
          <w:color w:val="FFFFFF"/>
          <w:sz w:val="18"/>
          <w:shd w:fill="2E74B5"/>
        </w:rPr>
        <w:t xml:space="preserve">FA-01  </w:t>
      </w:r>
      <w:r>
        <w:rPr>
          <w:rFonts w:ascii="Calibri" w:hAnsi="Calibri" w:eastAsia="Calibri"/>
          <w:color w:val="18324A"/>
          <w:sz w:val="20"/>
        </w:rPr>
        <w:t>The First Amendment generally constrains government, not a private media organization’s voluntary editorial format.</w:t>
      </w:r>
    </w:p>
    <w:p>
      <w:pPr>
        <w:pStyle w:val="LedgerDetail"/>
        <w:keepNext/>
        <w:widowControl/>
      </w:pPr>
      <w:r>
        <w:rPr>
          <w:rFonts w:ascii="Calibri" w:hAnsi="Calibri" w:eastAsia="Calibri"/>
          <w:b/>
          <w:color w:val="1F4D78"/>
          <w:sz w:val="18"/>
        </w:rPr>
        <w:t xml:space="preserve">Authority: </w:t>
      </w:r>
      <w:r>
        <w:rPr>
          <w:rFonts w:ascii="Calibri" w:hAnsi="Calibri" w:eastAsia="Calibri"/>
          <w:i/>
          <w:color w:val="202428"/>
          <w:sz w:val="18"/>
        </w:rPr>
        <w:t>Manhattan Community Access Corp. v. Halleck</w:t>
      </w:r>
      <w:r>
        <w:rPr>
          <w:rFonts w:ascii="Calibri" w:hAnsi="Calibri" w:eastAsia="Calibri"/>
          <w:color w:val="202428"/>
          <w:sz w:val="18"/>
        </w:rPr>
        <w:t xml:space="preserve">, 587 U.S. 802, 808–12 (2019), </w:t>
      </w:r>
      <w:hyperlink r:id="rId60">
        <w:r>
          <w:rPr>
            <w:color w:val="0563C1"/>
            <w:u w:val="single"/>
            <w:rFonts w:ascii="Calibri" w:hAnsi="Calibri"/>
            <w:sz w:val="18"/>
          </w:rPr>
          <w:t>supreme.justia.com/cases/federal/us/587/17-1702</w:t>
        </w:r>
      </w:hyperlink>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 generally.</w:t>
      </w:r>
      <w:r>
        <w:rPr>
          <w:rFonts w:ascii="Calibri" w:hAnsi="Calibri" w:eastAsia="Calibri"/>
          <w:color w:val="202428"/>
          <w:sz w:val="18"/>
        </w:rPr>
        <w:t xml:space="preserve"> Government adoption, ballot access conditions, or entanglement would materially change the analysis.</w:t>
      </w:r>
    </w:p>
    <w:p>
      <w:pPr>
        <w:pStyle w:val="LedgerClaim"/>
        <w:keepNext/>
        <w:widowControl/>
      </w:pPr>
      <w:r>
        <w:rPr>
          <w:rFonts w:ascii="Calibri" w:hAnsi="Calibri" w:eastAsia="Calibri"/>
          <w:b/>
          <w:color w:val="FFFFFF"/>
          <w:sz w:val="18"/>
          <w:shd w:fill="2E74B5"/>
        </w:rPr>
        <w:t xml:space="preserve">EMP-01  </w:t>
      </w:r>
      <w:r>
        <w:rPr>
          <w:rFonts w:ascii="Calibri" w:hAnsi="Calibri" w:eastAsia="Calibri"/>
          <w:color w:val="18324A"/>
          <w:sz w:val="20"/>
        </w:rPr>
        <w:t>Laboratory studies offer limited evidence that honesty oaths can reduce dishonest behavior in some contexts, with effects dependent on context and competing commitments.</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Jacquemet et al., “Truth Telling Under Oath,” 65 </w:t>
      </w:r>
      <w:r>
        <w:rPr>
          <w:rFonts w:ascii="Calibri" w:hAnsi="Calibri" w:eastAsia="Calibri"/>
          <w:i/>
          <w:color w:val="202428"/>
          <w:sz w:val="18"/>
        </w:rPr>
        <w:t>Management Science</w:t>
      </w:r>
      <w:r>
        <w:rPr>
          <w:rFonts w:ascii="Calibri" w:hAnsi="Calibri" w:eastAsia="Calibri"/>
          <w:color w:val="202428"/>
          <w:sz w:val="18"/>
        </w:rPr>
        <w:t xml:space="preserve"> 426 (2019), doi:10.1287/mnsc.2017.2892; Zickfeld et al., “Commitment to honesty oaths decreases dishonesty,” </w:t>
      </w:r>
      <w:r>
        <w:rPr>
          <w:rFonts w:ascii="Calibri" w:hAnsi="Calibri" w:eastAsia="Calibri"/>
          <w:i/>
          <w:color w:val="202428"/>
          <w:sz w:val="18"/>
        </w:rPr>
        <w:t>Sci. Rep.</w:t>
      </w:r>
      <w:r>
        <w:rPr>
          <w:rFonts w:ascii="Calibri" w:hAnsi="Calibri" w:eastAsia="Calibri"/>
          <w:color w:val="202428"/>
          <w:sz w:val="18"/>
        </w:rPr>
        <w:t xml:space="preserve"> (2024), </w:t>
      </w:r>
      <w:hyperlink r:id="rId99">
        <w:r>
          <w:rPr>
            <w:color w:val="0563C1"/>
            <w:u w:val="single"/>
            <w:rFonts w:ascii="Calibri" w:hAnsi="Calibri"/>
            <w:sz w:val="18"/>
          </w:rPr>
          <w:t>pmc.ncbi.nlm.nih.gov/articles/PMC11332245</w:t>
        </w:r>
      </w:hyperlink>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 only as hypothesis-generating evidence.</w:t>
      </w:r>
      <w:r>
        <w:rPr>
          <w:rFonts w:ascii="Calibri" w:hAnsi="Calibri" w:eastAsia="Calibri"/>
          <w:color w:val="202428"/>
          <w:sz w:val="18"/>
        </w:rPr>
        <w:t xml:space="preserve"> Not evidence that a political guest is truthful or that the protocol works outside a pilot.</w:t>
      </w:r>
    </w:p>
    <w:p>
      <w:pPr>
        <w:pStyle w:val="LedgerClaim"/>
        <w:keepNext/>
        <w:widowControl/>
      </w:pPr>
      <w:r>
        <w:rPr>
          <w:rFonts w:ascii="Calibri" w:hAnsi="Calibri" w:eastAsia="Calibri"/>
          <w:b/>
          <w:color w:val="FFFFFF"/>
          <w:sz w:val="18"/>
          <w:shd w:fill="2E74B5"/>
        </w:rPr>
        <w:t xml:space="preserve">EMP-02  </w:t>
      </w:r>
      <w:r>
        <w:rPr>
          <w:rFonts w:ascii="Calibri" w:hAnsi="Calibri" w:eastAsia="Calibri"/>
          <w:color w:val="18324A"/>
          <w:sz w:val="20"/>
        </w:rPr>
        <w:t>Accuracy prompts can modestly improve discernment in social-media sharing experiments.</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Pennycook et al., “Shifting attention to accuracy can reduce misinformation online,” </w:t>
      </w:r>
      <w:r>
        <w:rPr>
          <w:rFonts w:ascii="Calibri" w:hAnsi="Calibri" w:eastAsia="Calibri"/>
          <w:i/>
          <w:color w:val="202428"/>
          <w:sz w:val="18"/>
        </w:rPr>
        <w:t>Nature Communications</w:t>
      </w:r>
      <w:r>
        <w:rPr>
          <w:rFonts w:ascii="Calibri" w:hAnsi="Calibri" w:eastAsia="Calibri"/>
          <w:color w:val="202428"/>
          <w:sz w:val="18"/>
        </w:rPr>
        <w:t xml:space="preserve"> (2021/2022), </w:t>
      </w:r>
      <w:hyperlink r:id="rId100">
        <w:r>
          <w:rPr>
            <w:color w:val="0563C1"/>
            <w:u w:val="single"/>
            <w:rFonts w:ascii="Calibri" w:hAnsi="Calibri"/>
            <w:sz w:val="18"/>
          </w:rPr>
          <w:t>nature.com/articles/s41467-022-30073-5</w:t>
        </w:r>
      </w:hyperlink>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 for that context only.</w:t>
      </w:r>
      <w:r>
        <w:rPr>
          <w:rFonts w:ascii="Calibri" w:hAnsi="Calibri" w:eastAsia="Calibri"/>
          <w:color w:val="202428"/>
          <w:sz w:val="18"/>
        </w:rPr>
        <w:t xml:space="preserve"> Do not conflate an accuracy prompt with an oath or with factual adjudication.</w:t>
      </w:r>
    </w:p>
    <w:p>
      <w:pPr>
        <w:pStyle w:val="LedgerClaim"/>
        <w:keepNext/>
        <w:widowControl/>
      </w:pPr>
      <w:r>
        <w:rPr>
          <w:rFonts w:ascii="Calibri" w:hAnsi="Calibri" w:eastAsia="Calibri"/>
          <w:b/>
          <w:color w:val="FFFFFF"/>
          <w:sz w:val="18"/>
          <w:shd w:fill="2E74B5"/>
        </w:rPr>
        <w:t xml:space="preserve">EMP-03  </w:t>
      </w:r>
      <w:r>
        <w:rPr>
          <w:rFonts w:ascii="Calibri" w:hAnsi="Calibri" w:eastAsia="Calibri"/>
          <w:color w:val="18324A"/>
          <w:sz w:val="20"/>
        </w:rPr>
        <w:t>The “signing first promotes honesty” study is not a reliable foundation because the paper was retracted and later work failed to replicate the central effect.</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PNAS retraction, </w:t>
      </w:r>
      <w:hyperlink r:id="rId101">
        <w:r>
          <w:rPr>
            <w:color w:val="0563C1"/>
            <w:u w:val="single"/>
            <w:rFonts w:ascii="Calibri" w:hAnsi="Calibri"/>
            <w:sz w:val="18"/>
          </w:rPr>
          <w:t>pnas.org/doi/10.1073/pnas.2115397118</w:t>
        </w:r>
      </w:hyperlink>
      <w:r>
        <w:rPr>
          <w:rFonts w:ascii="Calibri" w:hAnsi="Calibri" w:eastAsia="Calibri"/>
          <w:color w:val="202428"/>
          <w:sz w:val="18"/>
        </w:rPr>
        <w:t xml:space="preserve">; failed update, </w:t>
      </w:r>
      <w:hyperlink r:id="rId102">
        <w:r>
          <w:rPr>
            <w:color w:val="0563C1"/>
            <w:u w:val="single"/>
            <w:rFonts w:ascii="Calibri" w:hAnsi="Calibri"/>
            <w:sz w:val="18"/>
          </w:rPr>
          <w:t>pnas.org/doi/10.1073/pnas.1911695117</w:t>
        </w:r>
      </w:hyperlink>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Supported exclusion.</w:t>
      </w:r>
      <w:r>
        <w:rPr>
          <w:rFonts w:ascii="Calibri" w:hAnsi="Calibri" w:eastAsia="Calibri"/>
          <w:color w:val="202428"/>
          <w:sz w:val="18"/>
        </w:rPr>
        <w:t xml:space="preserve"> The report affirmatively excludes the retracted finding.</w:t>
      </w:r>
    </w:p>
    <w:p>
      <w:pPr>
        <w:pStyle w:val="LedgerClaim"/>
        <w:keepNext/>
        <w:widowControl/>
      </w:pPr>
      <w:r>
        <w:rPr>
          <w:rFonts w:ascii="Calibri" w:hAnsi="Calibri" w:eastAsia="Calibri"/>
          <w:b/>
          <w:color w:val="FFFFFF"/>
          <w:sz w:val="18"/>
          <w:shd w:fill="2E74B5"/>
        </w:rPr>
        <w:t xml:space="preserve">NOV-01  </w:t>
      </w:r>
      <w:r>
        <w:rPr>
          <w:rFonts w:ascii="Calibri" w:hAnsi="Calibri" w:eastAsia="Calibri"/>
          <w:color w:val="18324A"/>
          <w:sz w:val="20"/>
        </w:rPr>
        <w:t>No exact public analogue was identified in the scoped search for a private candidate/media interview that uses a notarial jurat, a frozen answer record, and separate sworn/unsworn lanes.</w:t>
      </w:r>
    </w:p>
    <w:p>
      <w:pPr>
        <w:pStyle w:val="LedgerDetail"/>
        <w:keepNext/>
        <w:widowControl/>
      </w:pPr>
      <w:r>
        <w:rPr>
          <w:rFonts w:ascii="Calibri" w:hAnsi="Calibri" w:eastAsia="Calibri"/>
          <w:b/>
          <w:color w:val="1F4D78"/>
          <w:sz w:val="18"/>
        </w:rPr>
        <w:t xml:space="preserve">Authority: </w:t>
      </w:r>
      <w:r>
        <w:rPr>
          <w:rFonts w:ascii="Calibri" w:hAnsi="Calibri" w:eastAsia="Calibri"/>
          <w:color w:val="202428"/>
          <w:sz w:val="18"/>
        </w:rPr>
        <w:t xml:space="preserve">Scoped searches; comparators include FactCheck.org process and Pro-Truth Pledge, </w:t>
      </w:r>
      <w:hyperlink r:id="rId103">
        <w:r>
          <w:rPr>
            <w:color w:val="0563C1"/>
            <w:u w:val="single"/>
            <w:rFonts w:ascii="Calibri" w:hAnsi="Calibri"/>
            <w:sz w:val="18"/>
          </w:rPr>
          <w:t>factcheck.org/our-process</w:t>
        </w:r>
      </w:hyperlink>
      <w:r>
        <w:rPr>
          <w:rFonts w:ascii="Calibri" w:hAnsi="Calibri" w:eastAsia="Calibri"/>
          <w:color w:val="202428"/>
          <w:sz w:val="18"/>
        </w:rPr>
        <w:t xml:space="preserve">, </w:t>
      </w:r>
      <w:hyperlink r:id="rId104">
        <w:r>
          <w:rPr>
            <w:color w:val="0563C1"/>
            <w:u w:val="single"/>
            <w:rFonts w:ascii="Calibri" w:hAnsi="Calibri"/>
            <w:sz w:val="18"/>
          </w:rPr>
          <w:t>protruthpledge.org</w:t>
        </w:r>
      </w:hyperlink>
    </w:p>
    <w:p>
      <w:pPr>
        <w:pStyle w:val="LedgerDetail"/>
        <w:spacing w:after="140"/>
        <w:widowControl/>
        <w:pBdr>
          <w:bottom w:val="single" w:sz="4" w:space="4" w:color="D7DEE6"/>
        </w:pBdr>
      </w:pPr>
      <w:r>
        <w:rPr>
          <w:rFonts w:ascii="Calibri" w:hAnsi="Calibri" w:eastAsia="Calibri"/>
          <w:b/>
          <w:color w:val="1F4D78"/>
          <w:sz w:val="18"/>
        </w:rPr>
        <w:t xml:space="preserve">Assessment: </w:t>
      </w:r>
      <w:r>
        <w:rPr>
          <w:rFonts w:ascii="Calibri" w:hAnsi="Calibri" w:eastAsia="Calibri"/>
          <w:b/>
          <w:color w:val="202428"/>
          <w:sz w:val="18"/>
        </w:rPr>
        <w:t>Unproven absence.</w:t>
      </w:r>
      <w:r>
        <w:rPr>
          <w:rFonts w:ascii="Calibri" w:hAnsi="Calibri" w:eastAsia="Calibri"/>
          <w:color w:val="202428"/>
          <w:sz w:val="18"/>
        </w:rPr>
        <w:t xml:space="preserve"> Say “no exact analogue identified,” never “this has never been done.”</w:t>
      </w:r>
    </w:p>
    <w:p>
      <w:pPr>
        <w:pStyle w:val="Heading2"/>
        <w:keepNext/>
        <w:widowControl/>
      </w:pPr>
      <w:r>
        <w:rPr>
          <w:rFonts w:ascii="Calibri" w:hAnsi="Calibri" w:eastAsia="Calibri"/>
          <w:color w:val="2E74B5"/>
          <w:sz w:val="26"/>
        </w:rPr>
        <w:t>D.1 Source-document audit flags</w:t>
      </w:r>
    </w:p>
    <w:p>
      <w:pPr>
        <w:spacing w:after="100"/>
        <w:ind w:left="720" w:hanging="360"/>
        <w:widowControl/>
        <w:numPr>
          <w:ilvl w:val="0"/>
          <w:numId w:val="43"/>
        </w:numPr>
      </w:pPr>
      <w:r>
        <w:rPr>
          <w:rFonts w:ascii="Consolas" w:hAnsi="Consolas" w:eastAsia="Consolas"/>
          <w:color w:val="1F4D78"/>
          <w:sz w:val="21"/>
        </w:rPr>
        <w:t>washington_sworn_format_pilot_packet_v2.md</w:t>
      </w:r>
      <w:r>
        <w:rPr>
          <w:rFonts w:ascii="Calibri" w:hAnsi="Calibri" w:eastAsia="Calibri"/>
          <w:color w:val="202428"/>
          <w:sz w:val="22"/>
        </w:rPr>
        <w:t xml:space="preserve"> and </w:t>
      </w:r>
      <w:r>
        <w:rPr>
          <w:rFonts w:ascii="Consolas" w:hAnsi="Consolas" w:eastAsia="Consolas"/>
          <w:color w:val="1F4D78"/>
          <w:sz w:val="21"/>
        </w:rPr>
        <w:t>washington_sworn_format_concept_paper_v3.md</w:t>
      </w:r>
      <w:r>
        <w:rPr>
          <w:rFonts w:ascii="Calibri" w:hAnsi="Calibri" w:eastAsia="Calibri"/>
          <w:color w:val="202428"/>
          <w:sz w:val="22"/>
        </w:rPr>
        <w:t xml:space="preserve"> are provenance records, not legal authority.</w:t>
      </w:r>
    </w:p>
    <w:p>
      <w:pPr>
        <w:spacing w:after="100"/>
        <w:ind w:left="720" w:hanging="360"/>
        <w:widowControl/>
        <w:numPr>
          <w:ilvl w:val="0"/>
          <w:numId w:val="43"/>
        </w:numPr>
      </w:pPr>
      <w:r>
        <w:rPr>
          <w:rFonts w:ascii="Calibri" w:hAnsi="Calibri" w:eastAsia="Calibri"/>
          <w:color w:val="202428"/>
          <w:sz w:val="22"/>
        </w:rPr>
        <w:t xml:space="preserve">Correct </w:t>
      </w:r>
      <w:r>
        <w:rPr>
          <w:rFonts w:ascii="Calibri" w:hAnsi="Calibri" w:eastAsia="Calibri"/>
          <w:i/>
          <w:color w:val="202428"/>
          <w:sz w:val="22"/>
        </w:rPr>
        <w:t>State v. Lewis</w:t>
      </w:r>
      <w:r>
        <w:rPr>
          <w:rFonts w:ascii="Calibri" w:hAnsi="Calibri" w:eastAsia="Calibri"/>
          <w:color w:val="202428"/>
          <w:sz w:val="22"/>
        </w:rPr>
        <w:t xml:space="preserve"> to </w:t>
      </w:r>
      <w:r>
        <w:rPr>
          <w:rFonts w:ascii="Calibri" w:hAnsi="Calibri" w:eastAsia="Calibri"/>
          <w:b/>
          <w:color w:val="202428"/>
          <w:sz w:val="22"/>
        </w:rPr>
        <w:t>85 Wn.2d 769, 539 P.2d 677 (1975)</w:t>
      </w:r>
      <w:r>
        <w:rPr>
          <w:rFonts w:ascii="Calibri" w:hAnsi="Calibri" w:eastAsia="Calibri"/>
          <w:color w:val="202428"/>
          <w:sz w:val="22"/>
        </w:rPr>
        <w:t>; the v2 pilot packet’s “72 Wn.2d 427 (1975)” citation is incorrect. The v3 concept paper corrected the reporter citation.</w:t>
      </w:r>
    </w:p>
    <w:p>
      <w:pPr>
        <w:spacing w:after="100"/>
        <w:ind w:left="720" w:hanging="360"/>
        <w:widowControl/>
        <w:numPr>
          <w:ilvl w:val="0"/>
          <w:numId w:val="43"/>
        </w:numPr>
      </w:pPr>
      <w:r>
        <w:rPr>
          <w:rFonts w:ascii="Calibri" w:hAnsi="Calibri" w:eastAsia="Calibri"/>
          <w:color w:val="202428"/>
          <w:sz w:val="22"/>
        </w:rPr>
        <w:t>Replace “DDG” with “DGG.”</w:t>
      </w:r>
    </w:p>
    <w:p>
      <w:pPr>
        <w:spacing w:after="100"/>
        <w:ind w:left="720" w:hanging="360"/>
        <w:widowControl/>
        <w:numPr>
          <w:ilvl w:val="0"/>
          <w:numId w:val="43"/>
        </w:numPr>
      </w:pPr>
      <w:r>
        <w:rPr>
          <w:rFonts w:ascii="Calibri" w:hAnsi="Calibri" w:eastAsia="Calibri"/>
          <w:color w:val="202428"/>
          <w:sz w:val="22"/>
        </w:rPr>
        <w:t>Remove or narrow claims that a remote Washington notarial act automatically creates Washington criminal jurisdiction.</w:t>
      </w:r>
    </w:p>
    <w:p>
      <w:pPr>
        <w:spacing w:after="100"/>
        <w:ind w:left="720" w:hanging="360"/>
        <w:widowControl/>
        <w:numPr>
          <w:ilvl w:val="0"/>
          <w:numId w:val="43"/>
        </w:numPr>
      </w:pPr>
      <w:r>
        <w:rPr>
          <w:rFonts w:ascii="Calibri" w:hAnsi="Calibri" w:eastAsia="Calibri"/>
          <w:color w:val="202428"/>
          <w:sz w:val="22"/>
        </w:rPr>
        <w:t>Remove any implication that interstate extradition is automatic or likely. For a never-present signer, RCW 10.88.250 is discretionary.</w:t>
      </w:r>
    </w:p>
    <w:p>
      <w:pPr>
        <w:spacing w:after="100"/>
        <w:ind w:left="720" w:hanging="360"/>
        <w:widowControl/>
        <w:numPr>
          <w:ilvl w:val="0"/>
          <w:numId w:val="43"/>
        </w:numPr>
      </w:pPr>
      <w:r>
        <w:rPr>
          <w:rFonts w:ascii="Calibri" w:hAnsi="Calibri" w:eastAsia="Calibri"/>
          <w:color w:val="202428"/>
          <w:sz w:val="22"/>
        </w:rPr>
        <w:t>Treat first-degree perjury as an unresolved textual argument, not an established consequence of a private interview.</w:t>
      </w:r>
    </w:p>
    <w:p>
      <w:pPr>
        <w:spacing w:after="100"/>
        <w:ind w:left="720" w:hanging="360"/>
        <w:widowControl/>
        <w:numPr>
          <w:ilvl w:val="0"/>
          <w:numId w:val="43"/>
        </w:numPr>
      </w:pPr>
      <w:r>
        <w:rPr>
          <w:rFonts w:ascii="Calibri" w:hAnsi="Calibri" w:eastAsia="Calibri"/>
          <w:color w:val="202428"/>
          <w:sz w:val="22"/>
        </w:rPr>
        <w:t>Add separate recording, publication, editing, campaign-finance, tax-status, notary-independence, UPL, data-retention, and incident-response gates.</w:t>
      </w:r>
    </w:p>
    <w:p>
      <w:pPr>
        <w:spacing w:after="100"/>
        <w:ind w:left="720" w:hanging="360"/>
        <w:widowControl/>
        <w:numPr>
          <w:ilvl w:val="0"/>
          <w:numId w:val="43"/>
        </w:numPr>
      </w:pPr>
      <w:r>
        <w:rPr>
          <w:rFonts w:ascii="Calibri" w:hAnsi="Calibri" w:eastAsia="Calibri"/>
          <w:color w:val="202428"/>
          <w:sz w:val="22"/>
        </w:rPr>
        <w:t>Track both versions of RCW 42.45.280: current through Dec. 31, 2026 and amended text effective Jan. 1, 2027.</w:t>
      </w:r>
    </w:p>
    <w:p>
      <w:pPr>
        <w:widowControl/>
      </w:pPr>
      <w:r>
        <w:br w:type="page"/>
      </w:r>
    </w:p>
    <w:p>
      <w:pPr>
        <w:pStyle w:val="Heading1"/>
        <w:keepNext/>
        <w:widowControl/>
      </w:pPr>
      <w:r>
        <w:rPr>
          <w:rFonts w:ascii="Calibri" w:hAnsi="Calibri" w:eastAsia="Calibri"/>
          <w:color w:val="2E74B5"/>
          <w:sz w:val="32"/>
        </w:rPr>
        <w:t>Appendix E. Glossary</w:t>
      </w:r>
    </w:p>
    <w:p>
      <w:pPr>
        <w:widowControl/>
      </w:pPr>
      <w:r>
        <w:rPr>
          <w:rFonts w:ascii="Calibri" w:hAnsi="Calibri" w:eastAsia="Calibri"/>
          <w:b/>
          <w:color w:val="202428"/>
          <w:sz w:val="22"/>
        </w:rPr>
        <w:t>Acknowledgment.</w:t>
      </w:r>
      <w:r>
        <w:rPr>
          <w:rFonts w:ascii="Calibri" w:hAnsi="Calibri" w:eastAsia="Calibri"/>
          <w:color w:val="202428"/>
          <w:sz w:val="22"/>
        </w:rPr>
        <w:t xml:space="preserve"> A notarial act confirming that a signer voluntarily signed a record for its stated purpose. It does not place the record’s facts under oath.</w:t>
      </w:r>
    </w:p>
    <w:p>
      <w:pPr>
        <w:widowControl/>
      </w:pPr>
      <w:r>
        <w:rPr>
          <w:rFonts w:ascii="Calibri" w:hAnsi="Calibri" w:eastAsia="Calibri"/>
          <w:b/>
          <w:color w:val="202428"/>
          <w:sz w:val="22"/>
        </w:rPr>
        <w:t>Actual malice.</w:t>
      </w:r>
      <w:r>
        <w:rPr>
          <w:rFonts w:ascii="Calibri" w:hAnsi="Calibri" w:eastAsia="Calibri"/>
          <w:color w:val="202428"/>
          <w:sz w:val="22"/>
        </w:rPr>
        <w:t xml:space="preserve"> In defamation law, knowledge that a statement is false or reckless disregard for whether it is false; not merely hostility or bad motive.</w:t>
      </w:r>
    </w:p>
    <w:p>
      <w:pPr>
        <w:widowControl/>
      </w:pPr>
      <w:r>
        <w:rPr>
          <w:rFonts w:ascii="Calibri" w:hAnsi="Calibri" w:eastAsia="Calibri"/>
          <w:b/>
          <w:color w:val="202428"/>
          <w:sz w:val="22"/>
        </w:rPr>
        <w:t>Canonical Sworn Record (CSR).</w:t>
      </w:r>
      <w:r>
        <w:rPr>
          <w:rFonts w:ascii="Calibri" w:hAnsi="Calibri" w:eastAsia="Calibri"/>
          <w:color w:val="202428"/>
          <w:sz w:val="22"/>
        </w:rPr>
        <w:t xml:space="preserve"> The exact, participant-reviewed, signed record to which the verification/jurat attaches.</w:t>
      </w:r>
    </w:p>
    <w:p>
      <w:pPr>
        <w:widowControl/>
      </w:pPr>
      <w:r>
        <w:rPr>
          <w:rFonts w:ascii="Calibri" w:hAnsi="Calibri" w:eastAsia="Calibri"/>
          <w:b/>
          <w:color w:val="202428"/>
          <w:sz w:val="22"/>
        </w:rPr>
        <w:t>Coordination.</w:t>
      </w:r>
      <w:r>
        <w:rPr>
          <w:rFonts w:ascii="Calibri" w:hAnsi="Calibri" w:eastAsia="Calibri"/>
          <w:color w:val="202428"/>
          <w:sz w:val="22"/>
        </w:rPr>
        <w:t xml:space="preserve"> Campaign-finance concept involving specified paid-for content and conduct contacts with a candidate, committee, party, or agents; it can convert spending into an in-kind contribution.</w:t>
      </w:r>
    </w:p>
    <w:p>
      <w:pPr>
        <w:widowControl/>
      </w:pPr>
      <w:r>
        <w:rPr>
          <w:rFonts w:ascii="Calibri" w:hAnsi="Calibri" w:eastAsia="Calibri"/>
          <w:b/>
          <w:color w:val="202428"/>
          <w:sz w:val="22"/>
        </w:rPr>
        <w:t>Criminal jurisdiction.</w:t>
      </w:r>
      <w:r>
        <w:rPr>
          <w:rFonts w:ascii="Calibri" w:hAnsi="Calibri" w:eastAsia="Calibri"/>
          <w:color w:val="202428"/>
          <w:sz w:val="22"/>
        </w:rPr>
        <w:t xml:space="preserve"> A sovereign’s authority to prescribe and prosecute an offense. It is different from notarial venue and recognition of a certificate.</w:t>
      </w:r>
    </w:p>
    <w:p>
      <w:pPr>
        <w:widowControl/>
      </w:pPr>
      <w:r>
        <w:rPr>
          <w:rFonts w:ascii="Calibri" w:hAnsi="Calibri" w:eastAsia="Calibri"/>
          <w:b/>
          <w:color w:val="202428"/>
          <w:sz w:val="22"/>
        </w:rPr>
        <w:t>False swearing.</w:t>
      </w:r>
      <w:r>
        <w:rPr>
          <w:rFonts w:ascii="Calibri" w:hAnsi="Calibri" w:eastAsia="Calibri"/>
          <w:color w:val="202428"/>
          <w:sz w:val="22"/>
        </w:rPr>
        <w:t xml:space="preserve"> Washington offense requiring a knowingly false statement under an oath required or authorized by law; unlike first-degree perjury, it does not require materiality or an official proceeding.</w:t>
      </w:r>
    </w:p>
    <w:p>
      <w:pPr>
        <w:widowControl/>
      </w:pPr>
      <w:r>
        <w:rPr>
          <w:rFonts w:ascii="Calibri" w:hAnsi="Calibri" w:eastAsia="Calibri"/>
          <w:b/>
          <w:color w:val="202428"/>
          <w:sz w:val="22"/>
        </w:rPr>
        <w:t>Hash/digest.</w:t>
      </w:r>
      <w:r>
        <w:rPr>
          <w:rFonts w:ascii="Calibri" w:hAnsi="Calibri" w:eastAsia="Calibri"/>
          <w:color w:val="202428"/>
          <w:sz w:val="22"/>
        </w:rPr>
        <w:t xml:space="preserve"> A reproducible digital fingerprint used to detect file changes. It proves file identity, not substantive truth.</w:t>
      </w:r>
    </w:p>
    <w:p>
      <w:pPr>
        <w:widowControl/>
      </w:pPr>
      <w:r>
        <w:rPr>
          <w:rFonts w:ascii="Calibri" w:hAnsi="Calibri" w:eastAsia="Calibri"/>
          <w:b/>
          <w:color w:val="202428"/>
          <w:sz w:val="22"/>
        </w:rPr>
        <w:t>Jurat.</w:t>
      </w:r>
      <w:r>
        <w:rPr>
          <w:rFonts w:ascii="Calibri" w:hAnsi="Calibri" w:eastAsia="Calibri"/>
          <w:color w:val="202428"/>
          <w:sz w:val="22"/>
        </w:rPr>
        <w:t xml:space="preserve"> The notarial officer’s signed certificate showing that a person signed and swore or affirmed before the officer.</w:t>
      </w:r>
    </w:p>
    <w:p>
      <w:pPr>
        <w:widowControl/>
      </w:pPr>
      <w:r>
        <w:rPr>
          <w:rFonts w:ascii="Calibri" w:hAnsi="Calibri" w:eastAsia="Calibri"/>
          <w:b/>
          <w:color w:val="202428"/>
          <w:sz w:val="22"/>
        </w:rPr>
        <w:t>Materiality.</w:t>
      </w:r>
      <w:r>
        <w:rPr>
          <w:rFonts w:ascii="Calibri" w:hAnsi="Calibri" w:eastAsia="Calibri"/>
          <w:color w:val="202428"/>
          <w:sz w:val="22"/>
        </w:rPr>
        <w:t xml:space="preserve"> Under Washington perjury law, whether a false statement could have affected the course or outcome of the proceeding.</w:t>
      </w:r>
    </w:p>
    <w:p>
      <w:pPr>
        <w:widowControl/>
      </w:pPr>
      <w:r>
        <w:rPr>
          <w:rFonts w:ascii="Calibri" w:hAnsi="Calibri" w:eastAsia="Calibri"/>
          <w:b/>
          <w:color w:val="202428"/>
          <w:sz w:val="22"/>
        </w:rPr>
        <w:t>Notarial venue.</w:t>
      </w:r>
      <w:r>
        <w:rPr>
          <w:rFonts w:ascii="Calibri" w:hAnsi="Calibri" w:eastAsia="Calibri"/>
          <w:color w:val="202428"/>
          <w:sz w:val="22"/>
        </w:rPr>
        <w:t xml:space="preserve"> The state and county where the notary performs the act; for Washington RON, the notary’s physical Washington location.</w:t>
      </w:r>
    </w:p>
    <w:p>
      <w:pPr>
        <w:widowControl/>
      </w:pPr>
      <w:r>
        <w:rPr>
          <w:rFonts w:ascii="Calibri" w:hAnsi="Calibri" w:eastAsia="Calibri"/>
          <w:b/>
          <w:color w:val="202428"/>
          <w:sz w:val="22"/>
        </w:rPr>
        <w:t>Official proceeding.</w:t>
      </w:r>
      <w:r>
        <w:rPr>
          <w:rFonts w:ascii="Calibri" w:hAnsi="Calibri" w:eastAsia="Calibri"/>
          <w:color w:val="202428"/>
          <w:sz w:val="22"/>
        </w:rPr>
        <w:t xml:space="preserve"> A defined element in Washington perjury law. The statute includes specified government bodies/officials and a notary or person taking testimony; its application to this private media format is unresolved.</w:t>
      </w:r>
    </w:p>
    <w:p>
      <w:pPr>
        <w:widowControl/>
      </w:pPr>
      <w:r>
        <w:rPr>
          <w:rFonts w:ascii="Calibri" w:hAnsi="Calibri" w:eastAsia="Calibri"/>
          <w:b/>
          <w:color w:val="202428"/>
          <w:sz w:val="22"/>
        </w:rPr>
        <w:t>Press/media exemption.</w:t>
      </w:r>
      <w:r>
        <w:rPr>
          <w:rFonts w:ascii="Calibri" w:hAnsi="Calibri" w:eastAsia="Calibri"/>
          <w:color w:val="202428"/>
          <w:sz w:val="22"/>
        </w:rPr>
        <w:t xml:space="preserve"> Campaign-finance exclusion for qualifying bona fide press activity under specified facts; not a blanket exemption for any organization that publishes content.</w:t>
      </w:r>
    </w:p>
    <w:p>
      <w:pPr>
        <w:widowControl/>
      </w:pPr>
      <w:r>
        <w:rPr>
          <w:rFonts w:ascii="Calibri" w:hAnsi="Calibri" w:eastAsia="Calibri"/>
          <w:b/>
          <w:color w:val="202428"/>
          <w:sz w:val="22"/>
        </w:rPr>
        <w:t>Public Media Record (PMR).</w:t>
      </w:r>
      <w:r>
        <w:rPr>
          <w:rFonts w:ascii="Calibri" w:hAnsi="Calibri" w:eastAsia="Calibri"/>
          <w:color w:val="202428"/>
          <w:sz w:val="22"/>
        </w:rPr>
        <w:t xml:space="preserve"> DGG’s consented audio/video record and derivatives, kept legally and technically separate from the CSR and official RON recording.</w:t>
      </w:r>
    </w:p>
    <w:p>
      <w:pPr>
        <w:widowControl/>
      </w:pPr>
      <w:r>
        <w:rPr>
          <w:rFonts w:ascii="Calibri" w:hAnsi="Calibri" w:eastAsia="Calibri"/>
          <w:b/>
          <w:color w:val="202428"/>
          <w:sz w:val="22"/>
        </w:rPr>
        <w:t>Remote online notarization (RON).</w:t>
      </w:r>
      <w:r>
        <w:rPr>
          <w:rFonts w:ascii="Calibri" w:hAnsi="Calibri" w:eastAsia="Calibri"/>
          <w:color w:val="202428"/>
          <w:sz w:val="22"/>
        </w:rPr>
        <w:t xml:space="preserve"> A notarial act for a remotely located individual using compliant communication technology, identity processes, same-record confirmation, certificate language, recording, and retention.</w:t>
      </w:r>
    </w:p>
    <w:p>
      <w:pPr>
        <w:widowControl/>
      </w:pPr>
      <w:r>
        <w:rPr>
          <w:rFonts w:ascii="Calibri" w:hAnsi="Calibri" w:eastAsia="Calibri"/>
          <w:b/>
          <w:color w:val="202428"/>
          <w:sz w:val="22"/>
        </w:rPr>
        <w:t>Sworn airlock.</w:t>
      </w:r>
      <w:r>
        <w:rPr>
          <w:rFonts w:ascii="Calibri" w:hAnsi="Calibri" w:eastAsia="Calibri"/>
          <w:color w:val="202428"/>
          <w:sz w:val="22"/>
        </w:rPr>
        <w:t xml:space="preserve"> This report’s nonstatutory name for the explicit transition into and out of the narrow notarial act.</w:t>
      </w:r>
    </w:p>
    <w:p>
      <w:pPr>
        <w:widowControl/>
      </w:pPr>
      <w:r>
        <w:rPr>
          <w:rFonts w:ascii="Calibri" w:hAnsi="Calibri" w:eastAsia="Calibri"/>
          <w:b/>
          <w:color w:val="202428"/>
          <w:sz w:val="22"/>
        </w:rPr>
        <w:t>Verification on oath or affirmation.</w:t>
      </w:r>
      <w:r>
        <w:rPr>
          <w:rFonts w:ascii="Calibri" w:hAnsi="Calibri" w:eastAsia="Calibri"/>
          <w:color w:val="202428"/>
          <w:sz w:val="22"/>
        </w:rPr>
        <w:t xml:space="preserve"> A declaration before a notarial officer that a statement in a record is true. RCW 42.45.010(18).</w:t>
      </w:r>
    </w:p>
    <w:p>
      <w:pPr>
        <w:pStyle w:val="Heading1"/>
        <w:keepNext/>
        <w:widowControl/>
      </w:pPr>
      <w:r>
        <w:rPr>
          <w:rFonts w:ascii="Calibri" w:hAnsi="Calibri" w:eastAsia="Calibri"/>
          <w:color w:val="2E74B5"/>
          <w:sz w:val="32"/>
        </w:rPr>
        <w:t>Appendix F. Source-evolution audit</w:t>
      </w:r>
    </w:p>
    <w:p>
      <w:pPr>
        <w:widowControl/>
      </w:pPr>
      <w:r>
        <w:rPr>
          <w:rFonts w:ascii="Calibri" w:hAnsi="Calibri" w:eastAsia="Calibri"/>
          <w:b/>
          <w:color w:val="202428"/>
          <w:sz w:val="22"/>
        </w:rPr>
        <w:t>Originating screenshot.</w:t>
      </w:r>
      <w:r>
        <w:rPr>
          <w:rFonts w:ascii="Calibri" w:hAnsi="Calibri" w:eastAsia="Calibri"/>
          <w:color w:val="202428"/>
          <w:sz w:val="22"/>
        </w:rPr>
        <w:t xml:space="preserve"> Preserved the project’s initial framing/title but did not contain enough text to serve as authority.</w:t>
      </w:r>
    </w:p>
    <w:p>
      <w:pPr>
        <w:widowControl/>
      </w:pPr>
      <w:r>
        <w:rPr>
          <w:rFonts w:ascii="Calibri" w:hAnsi="Calibri" w:eastAsia="Calibri"/>
          <w:b/>
          <w:color w:val="202428"/>
          <w:sz w:val="22"/>
        </w:rPr>
        <w:t>Pilot packet v2.</w:t>
      </w:r>
      <w:r>
        <w:rPr>
          <w:rFonts w:ascii="Calibri" w:hAnsi="Calibri" w:eastAsia="Calibri"/>
          <w:color w:val="202428"/>
          <w:sz w:val="22"/>
        </w:rPr>
        <w:t xml:space="preserve"> Established the three-lane idea and operating detail. It miscited </w:t>
      </w:r>
      <w:r>
        <w:rPr>
          <w:rFonts w:ascii="Calibri" w:hAnsi="Calibri" w:eastAsia="Calibri"/>
          <w:i/>
          <w:color w:val="202428"/>
          <w:sz w:val="22"/>
        </w:rPr>
        <w:t>Lewis</w:t>
      </w:r>
      <w:r>
        <w:rPr>
          <w:rFonts w:ascii="Calibri" w:hAnsi="Calibri" w:eastAsia="Calibri"/>
          <w:color w:val="202428"/>
          <w:sz w:val="22"/>
        </w:rPr>
        <w:t>, used “DDG,” overstated some interstate/extradition points, and omitted major publication/campaign/recording controls.</w:t>
      </w:r>
    </w:p>
    <w:p>
      <w:pPr>
        <w:widowControl/>
      </w:pPr>
      <w:r>
        <w:rPr>
          <w:rFonts w:ascii="Calibri" w:hAnsi="Calibri" w:eastAsia="Calibri"/>
          <w:b/>
          <w:color w:val="202428"/>
          <w:sz w:val="22"/>
        </w:rPr>
        <w:t>Concept paper v3.</w:t>
      </w:r>
      <w:r>
        <w:rPr>
          <w:rFonts w:ascii="Calibri" w:hAnsi="Calibri" w:eastAsia="Calibri"/>
          <w:color w:val="202428"/>
          <w:sz w:val="22"/>
        </w:rPr>
        <w:t xml:space="preserve"> Corrected the </w:t>
      </w:r>
      <w:r>
        <w:rPr>
          <w:rFonts w:ascii="Calibri" w:hAnsi="Calibri" w:eastAsia="Calibri"/>
          <w:i/>
          <w:color w:val="202428"/>
          <w:sz w:val="22"/>
        </w:rPr>
        <w:t>Lewis</w:t>
      </w:r>
      <w:r>
        <w:rPr>
          <w:rFonts w:ascii="Calibri" w:hAnsi="Calibri" w:eastAsia="Calibri"/>
          <w:color w:val="202428"/>
          <w:sz w:val="22"/>
        </w:rPr>
        <w:t xml:space="preserve"> reporter citation and became more cautious about perjury, correction, and enforcement. It still described nonparticipation as a credibility signal, used an incorrect </w:t>
      </w:r>
      <w:r>
        <w:rPr>
          <w:rFonts w:ascii="Calibri" w:hAnsi="Calibri" w:eastAsia="Calibri"/>
          <w:i/>
          <w:color w:val="202428"/>
          <w:sz w:val="22"/>
        </w:rPr>
        <w:t>Otton</w:t>
      </w:r>
      <w:r>
        <w:rPr>
          <w:rFonts w:ascii="Calibri" w:hAnsi="Calibri" w:eastAsia="Calibri"/>
          <w:color w:val="202428"/>
          <w:sz w:val="22"/>
        </w:rPr>
        <w:t xml:space="preserve"> case style in the bibliography, cited RCW 42.45.020 rather than .090 for interstate effect, and did not resolve the 2026/2027 RON distinction or the full red-team risks.</w:t>
      </w:r>
    </w:p>
    <w:p>
      <w:pPr>
        <w:widowControl/>
      </w:pPr>
      <w:r>
        <w:rPr>
          <w:rFonts w:ascii="Calibri" w:hAnsi="Calibri" w:eastAsia="Calibri"/>
          <w:b/>
          <w:color w:val="202428"/>
          <w:sz w:val="22"/>
        </w:rPr>
        <w:t>This report.</w:t>
      </w:r>
      <w:r>
        <w:rPr>
          <w:rFonts w:ascii="Calibri" w:hAnsi="Calibri" w:eastAsia="Calibri"/>
          <w:color w:val="202428"/>
          <w:sz w:val="22"/>
        </w:rPr>
        <w:t xml:space="preserve"> Retains voluntariness, narrow factual questions, separation of fact/opinion, correction, and auditability; rejects adverse refusal signaling and prosecution marketing; adds the CSR/PMR split, sworn airlock, counsel gates, campaign/tax/recording/defamation controls, empirical falsification, and current/future-law tracking.</w:t>
      </w:r>
    </w:p>
    <w:p>
      <w:pPr>
        <w:pStyle w:val="Heading1"/>
        <w:keepNext/>
        <w:widowControl/>
      </w:pPr>
      <w:r>
        <w:rPr>
          <w:rFonts w:ascii="Calibri" w:hAnsi="Calibri" w:eastAsia="Calibri"/>
          <w:color w:val="2E74B5"/>
          <w:sz w:val="32"/>
        </w:rPr>
        <w:t>Appendix G. Zotero-ready citation notes</w:t>
      </w:r>
    </w:p>
    <w:p>
      <w:pPr>
        <w:widowControl/>
      </w:pPr>
      <w:r>
        <w:rPr>
          <w:rFonts w:ascii="Calibri" w:hAnsi="Calibri" w:eastAsia="Calibri"/>
          <w:color w:val="202428"/>
          <w:sz w:val="22"/>
        </w:rPr>
        <w:t xml:space="preserve">The bibliography above supplies stable titles, reporter citations, statute numbers, agency publishers, URLs, and DOI where available. For Zotero import, prefer the case reporter citation plus court/year, use the Washington Legislature or relevant legislature as author for statutes, record an access date of August 30, 2026 for dynamic code/agency pages, and attach the official PDF where available. Suggested tags: </w:t>
      </w:r>
      <w:r>
        <w:rPr>
          <w:rFonts w:ascii="Consolas" w:hAnsi="Consolas" w:eastAsia="Consolas"/>
          <w:color w:val="1F4D78"/>
          <w:sz w:val="21"/>
        </w:rPr>
        <w:t>DGG</w:t>
      </w:r>
      <w:r>
        <w:rPr>
          <w:rFonts w:ascii="Calibri" w:hAnsi="Calibri" w:eastAsia="Calibri"/>
          <w:color w:val="202428"/>
          <w:sz w:val="22"/>
        </w:rPr>
        <w:t xml:space="preserve">, </w:t>
      </w:r>
      <w:r>
        <w:rPr>
          <w:rFonts w:ascii="Consolas" w:hAnsi="Consolas" w:eastAsia="Consolas"/>
          <w:color w:val="1F4D78"/>
          <w:sz w:val="21"/>
        </w:rPr>
        <w:t>Washington notary</w:t>
      </w:r>
      <w:r>
        <w:rPr>
          <w:rFonts w:ascii="Calibri" w:hAnsi="Calibri" w:eastAsia="Calibri"/>
          <w:color w:val="202428"/>
          <w:sz w:val="22"/>
        </w:rPr>
        <w:t xml:space="preserve">, </w:t>
      </w:r>
      <w:r>
        <w:rPr>
          <w:rFonts w:ascii="Consolas" w:hAnsi="Consolas" w:eastAsia="Consolas"/>
          <w:color w:val="1F4D78"/>
          <w:sz w:val="21"/>
        </w:rPr>
        <w:t>verification on oath</w:t>
      </w:r>
      <w:r>
        <w:rPr>
          <w:rFonts w:ascii="Calibri" w:hAnsi="Calibri" w:eastAsia="Calibri"/>
          <w:color w:val="202428"/>
          <w:sz w:val="22"/>
        </w:rPr>
        <w:t xml:space="preserve">, </w:t>
      </w:r>
      <w:r>
        <w:rPr>
          <w:rFonts w:ascii="Consolas" w:hAnsi="Consolas" w:eastAsia="Consolas"/>
          <w:color w:val="1F4D78"/>
          <w:sz w:val="21"/>
        </w:rPr>
        <w:t>false swearing</w:t>
      </w:r>
      <w:r>
        <w:rPr>
          <w:rFonts w:ascii="Calibri" w:hAnsi="Calibri" w:eastAsia="Calibri"/>
          <w:color w:val="202428"/>
          <w:sz w:val="22"/>
        </w:rPr>
        <w:t xml:space="preserve">, </w:t>
      </w:r>
      <w:r>
        <w:rPr>
          <w:rFonts w:ascii="Consolas" w:hAnsi="Consolas" w:eastAsia="Consolas"/>
          <w:color w:val="1F4D78"/>
          <w:sz w:val="21"/>
        </w:rPr>
        <w:t>perjury</w:t>
      </w:r>
      <w:r>
        <w:rPr>
          <w:rFonts w:ascii="Calibri" w:hAnsi="Calibri" w:eastAsia="Calibri"/>
          <w:color w:val="202428"/>
          <w:sz w:val="22"/>
        </w:rPr>
        <w:t xml:space="preserve">, </w:t>
      </w:r>
      <w:r>
        <w:rPr>
          <w:rFonts w:ascii="Consolas" w:hAnsi="Consolas" w:eastAsia="Consolas"/>
          <w:color w:val="1F4D78"/>
          <w:sz w:val="21"/>
        </w:rPr>
        <w:t>RON</w:t>
      </w:r>
      <w:r>
        <w:rPr>
          <w:rFonts w:ascii="Calibri" w:hAnsi="Calibri" w:eastAsia="Calibri"/>
          <w:color w:val="202428"/>
          <w:sz w:val="22"/>
        </w:rPr>
        <w:t xml:space="preserve">, </w:t>
      </w:r>
      <w:r>
        <w:rPr>
          <w:rFonts w:ascii="Consolas" w:hAnsi="Consolas" w:eastAsia="Consolas"/>
          <w:color w:val="1F4D78"/>
          <w:sz w:val="21"/>
        </w:rPr>
        <w:t>campaign finance</w:t>
      </w:r>
      <w:r>
        <w:rPr>
          <w:rFonts w:ascii="Calibri" w:hAnsi="Calibri" w:eastAsia="Calibri"/>
          <w:color w:val="202428"/>
          <w:sz w:val="22"/>
        </w:rPr>
        <w:t xml:space="preserve">, </w:t>
      </w:r>
      <w:r>
        <w:rPr>
          <w:rFonts w:ascii="Consolas" w:hAnsi="Consolas" w:eastAsia="Consolas"/>
          <w:color w:val="1F4D78"/>
          <w:sz w:val="21"/>
        </w:rPr>
        <w:t>recording consent</w:t>
      </w:r>
      <w:r>
        <w:rPr>
          <w:rFonts w:ascii="Calibri" w:hAnsi="Calibri" w:eastAsia="Calibri"/>
          <w:color w:val="202428"/>
          <w:sz w:val="22"/>
        </w:rPr>
        <w:t xml:space="preserve">, </w:t>
      </w:r>
      <w:r>
        <w:rPr>
          <w:rFonts w:ascii="Consolas" w:hAnsi="Consolas" w:eastAsia="Consolas"/>
          <w:color w:val="1F4D78"/>
          <w:sz w:val="21"/>
        </w:rPr>
        <w:t>defamation by implication</w:t>
      </w:r>
      <w:r>
        <w:rPr>
          <w:rFonts w:ascii="Calibri" w:hAnsi="Calibri" w:eastAsia="Calibri"/>
          <w:color w:val="202428"/>
          <w:sz w:val="22"/>
        </w:rPr>
        <w:t xml:space="preserve">, </w:t>
      </w:r>
      <w:r>
        <w:rPr>
          <w:rFonts w:ascii="Consolas" w:hAnsi="Consolas" w:eastAsia="Consolas"/>
          <w:color w:val="1F4D78"/>
          <w:sz w:val="21"/>
        </w:rPr>
        <w:t>research protocol</w:t>
      </w:r>
      <w:r>
        <w:rPr>
          <w:rFonts w:ascii="Calibri" w:hAnsi="Calibri" w:eastAsia="Calibri"/>
          <w:color w:val="202428"/>
          <w:sz w:val="22"/>
        </w:rPr>
        <w:t xml:space="preserve">, </w:t>
      </w:r>
      <w:r>
        <w:rPr>
          <w:rFonts w:ascii="Consolas" w:hAnsi="Consolas" w:eastAsia="Consolas"/>
          <w:color w:val="1F4D78"/>
          <w:sz w:val="21"/>
        </w:rPr>
        <w:t>correction provenance</w:t>
      </w:r>
      <w:r>
        <w:rPr>
          <w:rFonts w:ascii="Calibri" w:hAnsi="Calibri" w:eastAsia="Calibri"/>
          <w:color w:val="202428"/>
          <w:sz w:val="22"/>
        </w:rPr>
        <w:t>.</w:t>
      </w:r>
    </w:p>
    <w:sectPr w:rsidR="00FC693F" w:rsidRPr="0006063C" w:rsidSect="00034616">
      <w:headerReference w:type="default" r:id="rId11"/>
      <w:footerReference w:type="default" r:id="rId12"/>
      <w:pgSz w:w="12240" w:h="15840"/>
      <w:pgMar w:top="1224" w:right="1440" w:bottom="1080" w:left="1440" w:header="547" w:footer="576" w:gutter="0"/>
      <w:cols w:space="720"/>
      <w:docGrid w:linePitch="360"/>
      <w:pgNumType w:start="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color w:val="5F6B76"/>
        <w:sz w:val="17"/>
      </w:rPr>
      <w:t>DGG  •  RESEARCH DRAFT  •  30 AUG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Calibri" w:hAnsi="Calibri" w:eastAsia="Calibri"/>
        <w:color w:val="5F6B76"/>
        <w:sz w:val="17"/>
      </w:rPr>
      <w:t>Research cutoff: Aug. 30, 2026  •  Verify before reliance</w:t>
    </w:r>
    <w:r>
      <w:rPr>
        <w:rFonts w:ascii="Calibri" w:hAnsi="Calibri" w:eastAsia="Calibri"/>
        <w:color w:val="5F6B76"/>
        <w:sz w:val="17"/>
      </w:rPr>
      <w:tab/>
    </w:r>
    <w:r>
      <w:rPr>
        <w:rFonts w:ascii="Calibri" w:hAnsi="Calibri" w:eastAsia="Calibri"/>
        <w:color w:val="5F6B76"/>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60"/>
      <w:pBdr>
        <w:bottom w:val="single" w:sz="4" w:space="3" w:color="D7DEE6"/>
      </w:pBdr>
    </w:pPr>
    <w:r>
      <w:rPr>
        <w:rFonts w:ascii="Calibri" w:hAnsi="Calibri" w:eastAsia="Calibri"/>
        <w:b/>
        <w:color w:val="5F6B76"/>
        <w:sz w:val="16"/>
      </w:rPr>
      <w:t>DGG  •  LEGAL FEASIBILITY MEMO</w:t>
    </w:r>
    <w:r>
      <w:rPr>
        <w:rFonts w:ascii="Calibri" w:hAnsi="Calibri" w:eastAsia="Calibri"/>
        <w:b/>
        <w:color w:val="2E74B5"/>
        <w:sz w:val="16"/>
      </w:rPr>
      <w:tab/>
      <w:t>DRAFT FOR COUNSEL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lvlJc w:val="left"/>
      <w:pPr>
        <w:tabs>
          <w:tab w:val="num" w:pos="720"/>
        </w:tabs>
        <w:ind w:left="720" w:hanging="360"/>
      </w:pPr>
    </w:lvl>
  </w:abstractNum>
  <w:num w:numId="10">
    <w:abstractNumId w:val="9"/>
  </w:num>
  <w:abstractNum w:abstractNumId="10">
    <w:multiLevelType w:val="singleLevel"/>
    <w:lvl w:ilvl="0">
      <w:start w:val="1"/>
      <w:numFmt w:val="decimal"/>
      <w:lvlText w:val="%1."/>
      <w:suff w:val="tab"/>
      <w:lvlJc w:val="left"/>
      <w:pPr>
        <w:tabs>
          <w:tab w:val="num" w:pos="720"/>
        </w:tabs>
        <w:ind w:left="720" w:hanging="360"/>
      </w:pPr>
    </w:lvl>
  </w:abstractNum>
  <w:num w:numId="11">
    <w:abstractNumId w:val="10"/>
  </w:num>
  <w:abstractNum w:abstractNumId="11">
    <w:multiLevelType w:val="singleLevel"/>
    <w:lvl w:ilvl="0">
      <w:start w:val="1"/>
      <w:numFmt w:val="bullet"/>
      <w:lvlText w:val="•"/>
      <w:suff w:val="tab"/>
      <w:lvlJc w:val="left"/>
      <w:pPr>
        <w:tabs>
          <w:tab w:val="num" w:pos="720"/>
        </w:tabs>
        <w:ind w:left="720" w:hanging="360"/>
      </w:pPr>
      <w:rPr>
        <w:rFonts w:ascii="Arial" w:hAnsi="Arial"/>
      </w:rPr>
    </w:lvl>
  </w:abstractNum>
  <w:num w:numId="12">
    <w:abstractNumId w:val="11"/>
  </w:num>
  <w:abstractNum w:abstractNumId="12">
    <w:multiLevelType w:val="singleLevel"/>
    <w:lvl w:ilvl="0">
      <w:start w:val="1"/>
      <w:numFmt w:val="bullet"/>
      <w:lvlText w:val="•"/>
      <w:suff w:val="tab"/>
      <w:lvlJc w:val="left"/>
      <w:pPr>
        <w:tabs>
          <w:tab w:val="num" w:pos="720"/>
        </w:tabs>
        <w:ind w:left="720" w:hanging="360"/>
      </w:pPr>
      <w:rPr>
        <w:rFonts w:ascii="Arial" w:hAnsi="Arial"/>
      </w:rPr>
    </w:lvl>
  </w:abstractNum>
  <w:num w:numId="13">
    <w:abstractNumId w:val="12"/>
  </w:num>
  <w:abstractNum w:abstractNumId="13">
    <w:multiLevelType w:val="singleLevel"/>
    <w:lvl w:ilvl="0">
      <w:start w:val="1"/>
      <w:numFmt w:val="decimal"/>
      <w:lvlText w:val="%1."/>
      <w:suff w:val="tab"/>
      <w:lvlJc w:val="left"/>
      <w:pPr>
        <w:tabs>
          <w:tab w:val="num" w:pos="720"/>
        </w:tabs>
        <w:ind w:left="720" w:hanging="360"/>
      </w:pPr>
    </w:lvl>
  </w:abstractNum>
  <w:num w:numId="14">
    <w:abstractNumId w:val="13"/>
  </w:num>
  <w:abstractNum w:abstractNumId="14">
    <w:multiLevelType w:val="singleLevel"/>
    <w:lvl w:ilvl="0">
      <w:start w:val="1"/>
      <w:numFmt w:val="bullet"/>
      <w:lvlText w:val="•"/>
      <w:suff w:val="tab"/>
      <w:lvlJc w:val="left"/>
      <w:pPr>
        <w:tabs>
          <w:tab w:val="num" w:pos="720"/>
        </w:tabs>
        <w:ind w:left="720" w:hanging="360"/>
      </w:pPr>
      <w:rPr>
        <w:rFonts w:ascii="Arial" w:hAnsi="Arial"/>
      </w:rPr>
    </w:lvl>
  </w:abstractNum>
  <w:num w:numId="15">
    <w:abstractNumId w:val="14"/>
  </w:num>
  <w:abstractNum w:abstractNumId="15">
    <w:multiLevelType w:val="singleLevel"/>
    <w:lvl w:ilvl="0">
      <w:start w:val="1"/>
      <w:numFmt w:val="bullet"/>
      <w:lvlText w:val="•"/>
      <w:suff w:val="tab"/>
      <w:lvlJc w:val="left"/>
      <w:pPr>
        <w:tabs>
          <w:tab w:val="num" w:pos="720"/>
        </w:tabs>
        <w:ind w:left="720" w:hanging="360"/>
      </w:pPr>
      <w:rPr>
        <w:rFonts w:ascii="Arial" w:hAnsi="Arial"/>
      </w:rPr>
    </w:lvl>
  </w:abstractNum>
  <w:num w:numId="16">
    <w:abstractNumId w:val="15"/>
  </w:num>
  <w:abstractNum w:abstractNumId="16">
    <w:multiLevelType w:val="singleLevel"/>
    <w:lvl w:ilvl="0">
      <w:start w:val="1"/>
      <w:numFmt w:val="bullet"/>
      <w:lvlText w:val="•"/>
      <w:suff w:val="tab"/>
      <w:lvlJc w:val="left"/>
      <w:pPr>
        <w:tabs>
          <w:tab w:val="num" w:pos="720"/>
        </w:tabs>
        <w:ind w:left="720" w:hanging="360"/>
      </w:pPr>
      <w:rPr>
        <w:rFonts w:ascii="Arial" w:hAnsi="Arial"/>
      </w:rPr>
    </w:lvl>
  </w:abstractNum>
  <w:num w:numId="17">
    <w:abstractNumId w:val="16"/>
  </w:num>
  <w:abstractNum w:abstractNumId="17">
    <w:multiLevelType w:val="singleLevel"/>
    <w:lvl w:ilvl="0">
      <w:start w:val="1"/>
      <w:numFmt w:val="bullet"/>
      <w:lvlText w:val="•"/>
      <w:suff w:val="tab"/>
      <w:lvlJc w:val="left"/>
      <w:pPr>
        <w:tabs>
          <w:tab w:val="num" w:pos="720"/>
        </w:tabs>
        <w:ind w:left="720" w:hanging="360"/>
      </w:pPr>
      <w:rPr>
        <w:rFonts w:ascii="Arial" w:hAnsi="Arial"/>
      </w:rPr>
    </w:lvl>
  </w:abstractNum>
  <w:num w:numId="18">
    <w:abstractNumId w:val="17"/>
  </w:num>
  <w:abstractNum w:abstractNumId="18">
    <w:multiLevelType w:val="singleLevel"/>
    <w:lvl w:ilvl="0">
      <w:start w:val="1"/>
      <w:numFmt w:val="decimal"/>
      <w:lvlText w:val="%1."/>
      <w:suff w:val="tab"/>
      <w:lvlJc w:val="left"/>
      <w:pPr>
        <w:tabs>
          <w:tab w:val="num" w:pos="720"/>
        </w:tabs>
        <w:ind w:left="720" w:hanging="360"/>
      </w:pPr>
    </w:lvl>
  </w:abstractNum>
  <w:num w:numId="19">
    <w:abstractNumId w:val="18"/>
  </w:num>
  <w:abstractNum w:abstractNumId="19">
    <w:multiLevelType w:val="singleLevel"/>
    <w:lvl w:ilvl="0">
      <w:start w:val="1"/>
      <w:numFmt w:val="decimal"/>
      <w:lvlText w:val="%1."/>
      <w:suff w:val="tab"/>
      <w:lvlJc w:val="left"/>
      <w:pPr>
        <w:tabs>
          <w:tab w:val="num" w:pos="720"/>
        </w:tabs>
        <w:ind w:left="720" w:hanging="360"/>
      </w:pPr>
    </w:lvl>
  </w:abstractNum>
  <w:num w:numId="20">
    <w:abstractNumId w:val="19"/>
  </w:num>
  <w:abstractNum w:abstractNumId="20">
    <w:multiLevelType w:val="singleLevel"/>
    <w:lvl w:ilvl="0">
      <w:start w:val="1"/>
      <w:numFmt w:val="bullet"/>
      <w:lvlText w:val="•"/>
      <w:suff w:val="tab"/>
      <w:lvlJc w:val="left"/>
      <w:pPr>
        <w:tabs>
          <w:tab w:val="num" w:pos="720"/>
        </w:tabs>
        <w:ind w:left="720" w:hanging="360"/>
      </w:pPr>
      <w:rPr>
        <w:rFonts w:ascii="Arial" w:hAnsi="Arial"/>
      </w:rPr>
    </w:lvl>
  </w:abstractNum>
  <w:num w:numId="21">
    <w:abstractNumId w:val="20"/>
  </w:num>
  <w:abstractNum w:abstractNumId="21">
    <w:multiLevelType w:val="singleLevel"/>
    <w:lvl w:ilvl="0">
      <w:start w:val="1"/>
      <w:numFmt w:val="bullet"/>
      <w:lvlText w:val="•"/>
      <w:suff w:val="tab"/>
      <w:lvlJc w:val="left"/>
      <w:pPr>
        <w:tabs>
          <w:tab w:val="num" w:pos="720"/>
        </w:tabs>
        <w:ind w:left="720" w:hanging="360"/>
      </w:pPr>
      <w:rPr>
        <w:rFonts w:ascii="Arial" w:hAnsi="Arial"/>
      </w:rPr>
    </w:lvl>
  </w:abstractNum>
  <w:num w:numId="22">
    <w:abstractNumId w:val="21"/>
  </w:num>
  <w:abstractNum w:abstractNumId="22">
    <w:multiLevelType w:val="singleLevel"/>
    <w:lvl w:ilvl="0">
      <w:start w:val="1"/>
      <w:numFmt w:val="bullet"/>
      <w:lvlText w:val="•"/>
      <w:suff w:val="tab"/>
      <w:lvlJc w:val="left"/>
      <w:pPr>
        <w:tabs>
          <w:tab w:val="num" w:pos="720"/>
        </w:tabs>
        <w:ind w:left="720" w:hanging="360"/>
      </w:pPr>
      <w:rPr>
        <w:rFonts w:ascii="Arial" w:hAnsi="Arial"/>
      </w:rPr>
    </w:lvl>
  </w:abstractNum>
  <w:num w:numId="23">
    <w:abstractNumId w:val="22"/>
  </w:num>
  <w:abstractNum w:abstractNumId="23">
    <w:multiLevelType w:val="singleLevel"/>
    <w:lvl w:ilvl="0">
      <w:start w:val="1"/>
      <w:numFmt w:val="bullet"/>
      <w:lvlText w:val="•"/>
      <w:suff w:val="tab"/>
      <w:lvlJc w:val="left"/>
      <w:pPr>
        <w:tabs>
          <w:tab w:val="num" w:pos="720"/>
        </w:tabs>
        <w:ind w:left="720" w:hanging="360"/>
      </w:pPr>
      <w:rPr>
        <w:rFonts w:ascii="Arial" w:hAnsi="Arial"/>
      </w:rPr>
    </w:lvl>
  </w:abstractNum>
  <w:num w:numId="24">
    <w:abstractNumId w:val="23"/>
  </w:num>
  <w:abstractNum w:abstractNumId="24">
    <w:multiLevelType w:val="singleLevel"/>
    <w:lvl w:ilvl="0">
      <w:start w:val="1"/>
      <w:numFmt w:val="decimal"/>
      <w:lvlText w:val="%1."/>
      <w:suff w:val="tab"/>
      <w:lvlJc w:val="left"/>
      <w:pPr>
        <w:tabs>
          <w:tab w:val="num" w:pos="720"/>
        </w:tabs>
        <w:ind w:left="720" w:hanging="360"/>
      </w:pPr>
    </w:lvl>
  </w:abstractNum>
  <w:num w:numId="25">
    <w:abstractNumId w:val="24"/>
  </w:num>
  <w:abstractNum w:abstractNumId="25">
    <w:multiLevelType w:val="singleLevel"/>
    <w:lvl w:ilvl="0">
      <w:start w:val="1"/>
      <w:numFmt w:val="decimal"/>
      <w:lvlText w:val="%1."/>
      <w:suff w:val="tab"/>
      <w:lvlJc w:val="left"/>
      <w:pPr>
        <w:tabs>
          <w:tab w:val="num" w:pos="720"/>
        </w:tabs>
        <w:ind w:left="720" w:hanging="360"/>
      </w:pPr>
    </w:lvl>
  </w:abstractNum>
  <w:num w:numId="26">
    <w:abstractNumId w:val="25"/>
  </w:num>
  <w:abstractNum w:abstractNumId="26">
    <w:multiLevelType w:val="singleLevel"/>
    <w:lvl w:ilvl="0">
      <w:start w:val="1"/>
      <w:numFmt w:val="bullet"/>
      <w:lvlText w:val="•"/>
      <w:suff w:val="tab"/>
      <w:lvlJc w:val="left"/>
      <w:pPr>
        <w:tabs>
          <w:tab w:val="num" w:pos="720"/>
        </w:tabs>
        <w:ind w:left="720" w:hanging="360"/>
      </w:pPr>
      <w:rPr>
        <w:rFonts w:ascii="Arial" w:hAnsi="Arial"/>
      </w:rPr>
    </w:lvl>
  </w:abstractNum>
  <w:num w:numId="27">
    <w:abstractNumId w:val="26"/>
  </w:num>
  <w:abstractNum w:abstractNumId="27">
    <w:multiLevelType w:val="singleLevel"/>
    <w:lvl w:ilvl="0">
      <w:start w:val="1"/>
      <w:numFmt w:val="bullet"/>
      <w:lvlText w:val="•"/>
      <w:suff w:val="tab"/>
      <w:lvlJc w:val="left"/>
      <w:pPr>
        <w:tabs>
          <w:tab w:val="num" w:pos="720"/>
        </w:tabs>
        <w:ind w:left="720" w:hanging="360"/>
      </w:pPr>
      <w:rPr>
        <w:rFonts w:ascii="Arial" w:hAnsi="Arial"/>
      </w:rPr>
    </w:lvl>
  </w:abstractNum>
  <w:num w:numId="28">
    <w:abstractNumId w:val="27"/>
  </w:num>
  <w:abstractNum w:abstractNumId="28">
    <w:multiLevelType w:val="singleLevel"/>
    <w:lvl w:ilvl="0">
      <w:start w:val="1"/>
      <w:numFmt w:val="bullet"/>
      <w:lvlText w:val="•"/>
      <w:suff w:val="tab"/>
      <w:lvlJc w:val="left"/>
      <w:pPr>
        <w:tabs>
          <w:tab w:val="num" w:pos="720"/>
        </w:tabs>
        <w:ind w:left="720" w:hanging="360"/>
      </w:pPr>
      <w:rPr>
        <w:rFonts w:ascii="Arial" w:hAnsi="Arial"/>
      </w:rPr>
    </w:lvl>
  </w:abstractNum>
  <w:num w:numId="29">
    <w:abstractNumId w:val="28"/>
  </w:num>
  <w:abstractNum w:abstractNumId="29">
    <w:multiLevelType w:val="singleLevel"/>
    <w:lvl w:ilvl="0">
      <w:start w:val="1"/>
      <w:numFmt w:val="bullet"/>
      <w:lvlText w:val="•"/>
      <w:suff w:val="tab"/>
      <w:lvlJc w:val="left"/>
      <w:pPr>
        <w:tabs>
          <w:tab w:val="num" w:pos="720"/>
        </w:tabs>
        <w:ind w:left="720" w:hanging="360"/>
      </w:pPr>
      <w:rPr>
        <w:rFonts w:ascii="Arial" w:hAnsi="Arial"/>
      </w:rPr>
    </w:lvl>
  </w:abstractNum>
  <w:num w:numId="30">
    <w:abstractNumId w:val="29"/>
  </w:num>
  <w:abstractNum w:abstractNumId="30">
    <w:multiLevelType w:val="singleLevel"/>
    <w:lvl w:ilvl="0">
      <w:start w:val="1"/>
      <w:numFmt w:val="decimal"/>
      <w:lvlText w:val="%1."/>
      <w:suff w:val="tab"/>
      <w:lvlJc w:val="left"/>
      <w:pPr>
        <w:tabs>
          <w:tab w:val="num" w:pos="720"/>
        </w:tabs>
        <w:ind w:left="720" w:hanging="360"/>
      </w:pPr>
    </w:lvl>
  </w:abstractNum>
  <w:num w:numId="31">
    <w:abstractNumId w:val="30"/>
  </w:num>
  <w:abstractNum w:abstractNumId="31">
    <w:multiLevelType w:val="singleLevel"/>
    <w:lvl w:ilvl="0">
      <w:start w:val="1"/>
      <w:numFmt w:val="bullet"/>
      <w:lvlText w:val="•"/>
      <w:suff w:val="tab"/>
      <w:lvlJc w:val="left"/>
      <w:pPr>
        <w:tabs>
          <w:tab w:val="num" w:pos="720"/>
        </w:tabs>
        <w:ind w:left="720" w:hanging="360"/>
      </w:pPr>
      <w:rPr>
        <w:rFonts w:ascii="Arial" w:hAnsi="Arial"/>
      </w:rPr>
    </w:lvl>
  </w:abstractNum>
  <w:num w:numId="32">
    <w:abstractNumId w:val="31"/>
  </w:num>
  <w:abstractNum w:abstractNumId="32">
    <w:multiLevelType w:val="singleLevel"/>
    <w:lvl w:ilvl="0">
      <w:start w:val="1"/>
      <w:numFmt w:val="decimal"/>
      <w:lvlText w:val="%1."/>
      <w:suff w:val="tab"/>
      <w:lvlJc w:val="left"/>
      <w:pPr>
        <w:tabs>
          <w:tab w:val="num" w:pos="720"/>
        </w:tabs>
        <w:ind w:left="720" w:hanging="360"/>
      </w:pPr>
    </w:lvl>
  </w:abstractNum>
  <w:num w:numId="33">
    <w:abstractNumId w:val="32"/>
  </w:num>
  <w:abstractNum w:abstractNumId="33">
    <w:multiLevelType w:val="singleLevel"/>
    <w:lvl w:ilvl="0">
      <w:start w:val="6"/>
      <w:numFmt w:val="decimal"/>
      <w:lvlText w:val="%1."/>
      <w:suff w:val="tab"/>
      <w:lvlJc w:val="left"/>
      <w:pPr>
        <w:tabs>
          <w:tab w:val="num" w:pos="720"/>
        </w:tabs>
        <w:ind w:left="720" w:hanging="360"/>
      </w:pPr>
    </w:lvl>
  </w:abstractNum>
  <w:num w:numId="34">
    <w:abstractNumId w:val="33"/>
  </w:num>
  <w:abstractNum w:abstractNumId="34">
    <w:multiLevelType w:val="singleLevel"/>
    <w:lvl w:ilvl="0">
      <w:start w:val="9"/>
      <w:numFmt w:val="decimal"/>
      <w:lvlText w:val="%1."/>
      <w:suff w:val="tab"/>
      <w:lvlJc w:val="left"/>
      <w:pPr>
        <w:tabs>
          <w:tab w:val="num" w:pos="720"/>
        </w:tabs>
        <w:ind w:left="720" w:hanging="360"/>
      </w:pPr>
    </w:lvl>
  </w:abstractNum>
  <w:num w:numId="35">
    <w:abstractNumId w:val="34"/>
  </w:num>
  <w:abstractNum w:abstractNumId="35">
    <w:multiLevelType w:val="singleLevel"/>
    <w:lvl w:ilvl="0">
      <w:start w:val="12"/>
      <w:numFmt w:val="decimal"/>
      <w:lvlText w:val="%1."/>
      <w:suff w:val="tab"/>
      <w:lvlJc w:val="left"/>
      <w:pPr>
        <w:tabs>
          <w:tab w:val="num" w:pos="720"/>
        </w:tabs>
        <w:ind w:left="720" w:hanging="360"/>
      </w:pPr>
    </w:lvl>
  </w:abstractNum>
  <w:num w:numId="36">
    <w:abstractNumId w:val="35"/>
  </w:num>
  <w:abstractNum w:abstractNumId="36">
    <w:multiLevelType w:val="singleLevel"/>
    <w:lvl w:ilvl="0">
      <w:start w:val="15"/>
      <w:numFmt w:val="decimal"/>
      <w:lvlText w:val="%1."/>
      <w:suff w:val="tab"/>
      <w:lvlJc w:val="left"/>
      <w:pPr>
        <w:tabs>
          <w:tab w:val="num" w:pos="720"/>
        </w:tabs>
        <w:ind w:left="720" w:hanging="360"/>
      </w:pPr>
    </w:lvl>
  </w:abstractNum>
  <w:num w:numId="37">
    <w:abstractNumId w:val="36"/>
  </w:num>
  <w:abstractNum w:abstractNumId="37">
    <w:multiLevelType w:val="singleLevel"/>
    <w:lvl w:ilvl="0">
      <w:start w:val="1"/>
      <w:numFmt w:val="bullet"/>
      <w:lvlText w:val="•"/>
      <w:suff w:val="tab"/>
      <w:lvlJc w:val="left"/>
      <w:pPr>
        <w:tabs>
          <w:tab w:val="num" w:pos="720"/>
        </w:tabs>
        <w:ind w:left="720" w:hanging="360"/>
      </w:pPr>
      <w:rPr>
        <w:rFonts w:ascii="Arial" w:hAnsi="Arial"/>
      </w:rPr>
    </w:lvl>
  </w:abstractNum>
  <w:num w:numId="38">
    <w:abstractNumId w:val="37"/>
  </w:num>
  <w:abstractNum w:abstractNumId="38">
    <w:multiLevelType w:val="singleLevel"/>
    <w:lvl w:ilvl="0">
      <w:start w:val="1"/>
      <w:numFmt w:val="decimal"/>
      <w:lvlText w:val="%1."/>
      <w:suff w:val="tab"/>
      <w:lvlJc w:val="left"/>
      <w:pPr>
        <w:tabs>
          <w:tab w:val="num" w:pos="720"/>
        </w:tabs>
        <w:ind w:left="720" w:hanging="360"/>
      </w:pPr>
    </w:lvl>
  </w:abstractNum>
  <w:num w:numId="39">
    <w:abstractNumId w:val="38"/>
  </w:num>
  <w:abstractNum w:abstractNumId="39">
    <w:multiLevelType w:val="singleLevel"/>
    <w:lvl w:ilvl="0">
      <w:start w:val="25"/>
      <w:numFmt w:val="decimal"/>
      <w:lvlText w:val="%1."/>
      <w:suff w:val="tab"/>
      <w:lvlJc w:val="left"/>
      <w:pPr>
        <w:tabs>
          <w:tab w:val="num" w:pos="720"/>
        </w:tabs>
        <w:ind w:left="720" w:hanging="360"/>
      </w:pPr>
    </w:lvl>
  </w:abstractNum>
  <w:num w:numId="40">
    <w:abstractNumId w:val="39"/>
  </w:num>
  <w:abstractNum w:abstractNumId="40">
    <w:multiLevelType w:val="singleLevel"/>
    <w:lvl w:ilvl="0">
      <w:start w:val="39"/>
      <w:numFmt w:val="decimal"/>
      <w:lvlText w:val="%1."/>
      <w:suff w:val="tab"/>
      <w:lvlJc w:val="left"/>
      <w:pPr>
        <w:tabs>
          <w:tab w:val="num" w:pos="720"/>
        </w:tabs>
        <w:ind w:left="720" w:hanging="360"/>
      </w:pPr>
    </w:lvl>
  </w:abstractNum>
  <w:num w:numId="41">
    <w:abstractNumId w:val="40"/>
  </w:num>
  <w:abstractNum w:abstractNumId="41">
    <w:multiLevelType w:val="singleLevel"/>
    <w:lvl w:ilvl="0">
      <w:start w:val="64"/>
      <w:numFmt w:val="decimal"/>
      <w:lvlText w:val="%1."/>
      <w:suff w:val="tab"/>
      <w:lvlJc w:val="left"/>
      <w:pPr>
        <w:tabs>
          <w:tab w:val="num" w:pos="720"/>
        </w:tabs>
        <w:ind w:left="720" w:hanging="360"/>
      </w:pPr>
    </w:lvl>
  </w:abstractNum>
  <w:num w:numId="42">
    <w:abstractNumId w:val="41"/>
  </w:num>
  <w:abstractNum w:abstractNumId="42">
    <w:multiLevelType w:val="singleLevel"/>
    <w:lvl w:ilvl="0">
      <w:start w:val="1"/>
      <w:numFmt w:val="decimal"/>
      <w:lvlText w:val="%1."/>
      <w:suff w:val="tab"/>
      <w:lvlJc w:val="left"/>
      <w:pPr>
        <w:tabs>
          <w:tab w:val="num" w:pos="720"/>
        </w:tabs>
        <w:ind w:left="720" w:hanging="360"/>
      </w:pPr>
    </w:lvl>
  </w:abstract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2024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widowControl/>
      <w:spacing w:before="0" w:after="160" w:line="259" w:lineRule="auto"/>
    </w:pPr>
    <w:rPr>
      <w:rFonts w:ascii="Calibri" w:hAnsi="Calibri"/>
      <w:b/>
      <w:i w:val="0"/>
      <w:color w:val="2E74B5"/>
      <w:sz w:val="18"/>
    </w:rPr>
  </w:style>
  <w:style w:type="paragraph" w:customStyle="1" w:styleId="CoverTitle">
    <w:name w:val="Cover Title"/>
    <w:pPr>
      <w:widowControl/>
      <w:spacing w:before="0" w:after="200" w:line="259" w:lineRule="auto"/>
    </w:pPr>
    <w:rPr>
      <w:rFonts w:ascii="Calibri" w:hAnsi="Calibri"/>
      <w:b/>
      <w:i w:val="0"/>
      <w:color w:val="18324A"/>
      <w:sz w:val="54"/>
    </w:rPr>
  </w:style>
  <w:style w:type="paragraph" w:customStyle="1" w:styleId="CoverSubtitle">
    <w:name w:val="Cover Subtitle"/>
    <w:pPr>
      <w:widowControl/>
      <w:spacing w:before="0" w:after="440" w:line="259" w:lineRule="auto"/>
    </w:pPr>
    <w:rPr>
      <w:rFonts w:ascii="Calibri" w:hAnsi="Calibri"/>
      <w:b w:val="0"/>
      <w:i w:val="0"/>
      <w:color w:val="2E74B5"/>
      <w:sz w:val="30"/>
    </w:rPr>
  </w:style>
  <w:style w:type="paragraph" w:customStyle="1" w:styleId="Metadata">
    <w:name w:val="Metadata"/>
    <w:pPr>
      <w:widowControl/>
      <w:spacing w:before="20" w:after="60" w:line="259" w:lineRule="auto"/>
    </w:pPr>
    <w:rPr>
      <w:rFonts w:ascii="Calibri" w:hAnsi="Calibri"/>
      <w:b w:val="0"/>
      <w:i w:val="0"/>
      <w:color w:val="5F6B76"/>
      <w:sz w:val="19"/>
    </w:rPr>
  </w:style>
  <w:style w:type="paragraph" w:customStyle="1" w:styleId="Callout">
    <w:name w:val="Callout"/>
    <w:pPr>
      <w:widowControl/>
      <w:spacing w:before="80" w:after="80" w:line="259" w:lineRule="auto"/>
    </w:pPr>
    <w:rPr>
      <w:rFonts w:ascii="Calibri" w:hAnsi="Calibri"/>
      <w:b w:val="0"/>
      <w:i w:val="0"/>
      <w:color w:val="18324A"/>
      <w:sz w:val="22"/>
    </w:rPr>
  </w:style>
  <w:style w:type="paragraph" w:customStyle="1" w:styleId="ContentsEntry">
    <w:name w:val="Contents Entry"/>
    <w:pPr>
      <w:widowControl/>
      <w:spacing w:before="20" w:after="60" w:line="259" w:lineRule="auto"/>
    </w:pPr>
    <w:rPr>
      <w:rFonts w:ascii="Calibri" w:hAnsi="Calibri"/>
      <w:b w:val="0"/>
      <w:i w:val="0"/>
      <w:color w:val="1F4D78"/>
      <w:sz w:val="20"/>
    </w:rPr>
  </w:style>
  <w:style w:type="paragraph" w:customStyle="1" w:styleId="CompactSource">
    <w:name w:val="Compact Source"/>
    <w:pPr>
      <w:widowControl/>
      <w:spacing w:before="0" w:after="60" w:line="259" w:lineRule="auto"/>
    </w:pPr>
    <w:rPr>
      <w:rFonts w:ascii="Calibri" w:hAnsi="Calibri"/>
      <w:b w:val="0"/>
      <w:i w:val="0"/>
      <w:color w:val="202428"/>
      <w:sz w:val="18"/>
    </w:rPr>
  </w:style>
  <w:style w:type="paragraph" w:customStyle="1" w:styleId="LedgerClaim">
    <w:name w:val="Ledger Claim"/>
    <w:pPr>
      <w:widowControl/>
      <w:spacing w:before="160" w:after="60" w:line="259" w:lineRule="auto"/>
    </w:pPr>
    <w:rPr>
      <w:rFonts w:ascii="Calibri" w:hAnsi="Calibri"/>
      <w:b/>
      <w:i w:val="0"/>
      <w:color w:val="18324A"/>
      <w:sz w:val="20"/>
    </w:rPr>
  </w:style>
  <w:style w:type="paragraph" w:customStyle="1" w:styleId="LedgerDetail">
    <w:name w:val="Ledger Detail"/>
    <w:pPr>
      <w:widowControl/>
      <w:spacing w:before="0" w:after="60" w:line="259" w:lineRule="auto"/>
    </w:pPr>
    <w:rPr>
      <w:rFonts w:ascii="Calibri" w:hAnsi="Calibri"/>
      <w:b w:val="0"/>
      <w:i w:val="0"/>
      <w:color w:val="202428"/>
      <w:sz w:val="18"/>
    </w:rPr>
  </w:style>
  <w:style w:type="paragraph" w:customStyle="1" w:styleId="Equation">
    <w:name w:val="Equation"/>
    <w:pPr>
      <w:widowControl/>
      <w:spacing w:before="160" w:after="160" w:line="259" w:lineRule="auto"/>
      <w:jc w:val="center"/>
    </w:pPr>
    <w:rPr>
      <w:rFonts w:ascii="Cambria Math" w:hAnsi="Cambria Math"/>
      <w:b w:val="0"/>
      <w:i w:val="0"/>
      <w:color w:val="18324A"/>
      <w:sz w:val="22"/>
    </w:rPr>
  </w:style>
  <w:style w:type="paragraph" w:customStyle="1" w:styleId="FooterText">
    <w:name w:val="Footer Text"/>
    <w:pPr>
      <w:widowControl/>
      <w:spacing w:before="0" w:after="0" w:line="259" w:lineRule="auto"/>
    </w:pPr>
    <w:rPr>
      <w:rFonts w:ascii="Calibri" w:hAnsi="Calibri"/>
      <w:b w:val="0"/>
      <w:i w:val="0"/>
      <w:color w:val="5F6B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app.leg.wa.gov/rcw/default.aspx?cite=42.45&amp;full=true" TargetMode="External"/><Relationship Id="rId14" Type="http://schemas.openxmlformats.org/officeDocument/2006/relationships/hyperlink" Target="https://app.leg.wa.gov/RCW/default.aspx?cite=42.45.010" TargetMode="External"/><Relationship Id="rId15" Type="http://schemas.openxmlformats.org/officeDocument/2006/relationships/hyperlink" Target="https://app.leg.wa.gov/RCW/default.aspx?cite=42.45.020" TargetMode="External"/><Relationship Id="rId16" Type="http://schemas.openxmlformats.org/officeDocument/2006/relationships/hyperlink" Target="https://app.leg.wa.gov/RCW/default.aspx?cite=42.45.090" TargetMode="External"/><Relationship Id="rId17" Type="http://schemas.openxmlformats.org/officeDocument/2006/relationships/hyperlink" Target="https://app.leg.wa.gov/RCW/default.aspx?cite=42.45.130" TargetMode="External"/><Relationship Id="rId18" Type="http://schemas.openxmlformats.org/officeDocument/2006/relationships/hyperlink" Target="https://app.leg.wa.gov/RCW/default.aspx?cite=42.45.140" TargetMode="External"/><Relationship Id="rId19" Type="http://schemas.openxmlformats.org/officeDocument/2006/relationships/hyperlink" Target="https://app.leg.wa.gov/RCW/default.aspx?cite=42.45.180" TargetMode="External"/><Relationship Id="rId20" Type="http://schemas.openxmlformats.org/officeDocument/2006/relationships/hyperlink" Target="https://app.leg.wa.gov/RCW/default.aspx?cite=42.45.230" TargetMode="External"/><Relationship Id="rId21" Type="http://schemas.openxmlformats.org/officeDocument/2006/relationships/hyperlink" Target="https://app.leg.wa.gov/RCW/default.aspx?cite=42.45.240" TargetMode="External"/><Relationship Id="rId22" Type="http://schemas.openxmlformats.org/officeDocument/2006/relationships/hyperlink" Target="https://app.leg.wa.gov/RCW/default.aspx?cite=42.45.280" TargetMode="External"/><Relationship Id="rId23" Type="http://schemas.openxmlformats.org/officeDocument/2006/relationships/hyperlink" Target="https://app.leg.wa.gov/WAC/default.aspx?cite=308-30&amp;full=true" TargetMode="External"/><Relationship Id="rId24" Type="http://schemas.openxmlformats.org/officeDocument/2006/relationships/hyperlink" Target="https://dol.wa.gov/professional-licenses/notaries-public/resources-and-publications-notaries-public" TargetMode="External"/><Relationship Id="rId25" Type="http://schemas.openxmlformats.org/officeDocument/2006/relationships/hyperlink" Target="https://app.leg.wa.gov/RCW/default.aspx?cite=9A.72&amp;full=true" TargetMode="External"/><Relationship Id="rId26" Type="http://schemas.openxmlformats.org/officeDocument/2006/relationships/hyperlink" Target="https://app.leg.wa.gov/RCW/default.aspx?cite=9A.72.010" TargetMode="External"/><Relationship Id="rId27" Type="http://schemas.openxmlformats.org/officeDocument/2006/relationships/hyperlink" Target="https://app.leg.wa.gov/RCW/default.aspx?cite=9A.04.030" TargetMode="External"/><Relationship Id="rId28" Type="http://schemas.openxmlformats.org/officeDocument/2006/relationships/hyperlink" Target="https://app.leg.wa.gov/RCW/default.aspx?cite=5.50&amp;full=true" TargetMode="External"/><Relationship Id="rId29" Type="http://schemas.openxmlformats.org/officeDocument/2006/relationships/hyperlink" Target="https://app.leg.wa.gov/RCW/default.aspx?cite=10.88&amp;full=true" TargetMode="External"/><Relationship Id="rId30" Type="http://schemas.openxmlformats.org/officeDocument/2006/relationships/hyperlink" Target="https://app.leg.wa.gov/RCW/default.aspx?cite=9.73.030" TargetMode="External"/><Relationship Id="rId31" Type="http://schemas.openxmlformats.org/officeDocument/2006/relationships/hyperlink" Target="https://www.courts.wa.gov/court_rules/?fa=court_rules.list&amp;group=ga&amp;set=ER" TargetMode="External"/><Relationship Id="rId32" Type="http://schemas.openxmlformats.org/officeDocument/2006/relationships/hyperlink" Target="https://app.leg.wa.gov/RCW/default.aspx?cite=29B.10&amp;full=true" TargetMode="External"/><Relationship Id="rId33" Type="http://schemas.openxmlformats.org/officeDocument/2006/relationships/hyperlink" Target="https://app.leg.wa.gov/rcw/dispo.aspx?cite=42.17A" TargetMode="External"/><Relationship Id="rId34" Type="http://schemas.openxmlformats.org/officeDocument/2006/relationships/hyperlink" Target="https://app.leg.wa.gov/RCW/default.aspx?cite=29B.25.120" TargetMode="External"/><Relationship Id="rId35" Type="http://schemas.openxmlformats.org/officeDocument/2006/relationships/hyperlink" Target="https://app.leg.wa.gov/RCW/default.aspx?cite=29B.30.050" TargetMode="External"/><Relationship Id="rId36" Type="http://schemas.openxmlformats.org/officeDocument/2006/relationships/hyperlink" Target="https://app.leg.wa.gov/RCW/default.aspx?cite=29B.30.070" TargetMode="External"/><Relationship Id="rId37" Type="http://schemas.openxmlformats.org/officeDocument/2006/relationships/hyperlink" Target="https://www.pdc.wa.gov/rules-enforcement/pdc-relocating-rcw-4217a-rcw-29b" TargetMode="External"/><Relationship Id="rId38" Type="http://schemas.openxmlformats.org/officeDocument/2006/relationships/hyperlink" Target="https://law.justia.com/cases/washington/supreme-court/1975/43613-1.html" TargetMode="External"/><Relationship Id="rId39" Type="http://schemas.openxmlformats.org/officeDocument/2006/relationships/hyperlink" Target="https://law.justia.com/cases/washington/supreme-court/1978/44877-1.html" TargetMode="External"/><Relationship Id="rId40" Type="http://schemas.openxmlformats.org/officeDocument/2006/relationships/hyperlink" Target="https://law.justia.com/cases/washington/court-of-appeals/1980/25-wash-app-795.html" TargetMode="External"/><Relationship Id="rId41" Type="http://schemas.openxmlformats.org/officeDocument/2006/relationships/hyperlink" Target="https://law.justia.com/cases/washington/supreme-court/1982/48378-7-1.html" TargetMode="External"/><Relationship Id="rId42" Type="http://schemas.openxmlformats.org/officeDocument/2006/relationships/hyperlink" Target="https://law.justia.com/cases/washington/court-of-appeals/1982/31-wash-app-655.html" TargetMode="External"/><Relationship Id="rId43" Type="http://schemas.openxmlformats.org/officeDocument/2006/relationships/hyperlink" Target="https://law.justia.com/cases/washington/supreme-court/1989/55690-3-1.html" TargetMode="External"/><Relationship Id="rId44" Type="http://schemas.openxmlformats.org/officeDocument/2006/relationships/hyperlink" Target="https://law.justia.com/cases/washington/court-of-appeals/1994/74-wash-app-715.html" TargetMode="External"/><Relationship Id="rId45" Type="http://schemas.openxmlformats.org/officeDocument/2006/relationships/hyperlink" Target="https://caselaw.findlaw.com/court/wa-supreme-court/1486118.html" TargetMode="External"/><Relationship Id="rId46" Type="http://schemas.openxmlformats.org/officeDocument/2006/relationships/hyperlink" Target="https://law.justia.com/cases/washington/court-of-appeals/2003/115-wash-app-29.html" TargetMode="External"/><Relationship Id="rId47" Type="http://schemas.openxmlformats.org/officeDocument/2006/relationships/hyperlink" Target="https://www.courts.wa.gov/opinions/pdf/916691.pdf" TargetMode="External"/><Relationship Id="rId48" Type="http://schemas.openxmlformats.org/officeDocument/2006/relationships/hyperlink" Target="https://www.courts.wa.gov/opinions/pdf/D2%2044974-9-II%20%20Published%20Opinion.pdf" TargetMode="External"/><Relationship Id="rId49" Type="http://schemas.openxmlformats.org/officeDocument/2006/relationships/hyperlink" Target="https://caselaw.findlaw.com/court/wa-supreme-court/1167616.html" TargetMode="External"/><Relationship Id="rId50" Type="http://schemas.openxmlformats.org/officeDocument/2006/relationships/hyperlink" Target="https://law.justia.com/cases/washington/supreme-court/1986/52387-8-1.html" TargetMode="External"/><Relationship Id="rId51" Type="http://schemas.openxmlformats.org/officeDocument/2006/relationships/hyperlink" Target="https://law.justia.com/cases/washington/supreme-court/2015/90875-3.html" TargetMode="External"/><Relationship Id="rId52" Type="http://schemas.openxmlformats.org/officeDocument/2006/relationships/hyperlink" Target="https://uscode.house.gov/view.xhtml?req=granuleid:USC-prelim-title18-section3182" TargetMode="External"/><Relationship Id="rId53" Type="http://schemas.openxmlformats.org/officeDocument/2006/relationships/hyperlink" Target="https://supreme.justia.com/cases/federal/us/483/219/" TargetMode="External"/><Relationship Id="rId54" Type="http://schemas.openxmlformats.org/officeDocument/2006/relationships/hyperlink" Target="https://www.ecfr.gov/current/title-11/chapter-I/subchapter-A/part-100/subpart-C/section-100.73" TargetMode="External"/><Relationship Id="rId55" Type="http://schemas.openxmlformats.org/officeDocument/2006/relationships/hyperlink" Target="https://www.ecfr.gov/current/title-11/chapter-I/subchapter-A/part-109/subpart-C/section-109.21" TargetMode="External"/><Relationship Id="rId56" Type="http://schemas.openxmlformats.org/officeDocument/2006/relationships/hyperlink" Target="https://www.ecfr.gov/current/title-11/chapter-I/subchapter-A/part-109/subpart-C/section-109.23" TargetMode="External"/><Relationship Id="rId57" Type="http://schemas.openxmlformats.org/officeDocument/2006/relationships/hyperlink" Target="https://www.fec.gov/data/legal/advisory-opinions/2008-14/" TargetMode="External"/><Relationship Id="rId58" Type="http://schemas.openxmlformats.org/officeDocument/2006/relationships/hyperlink" Target="https://www.irs.gov/charities-non-profits/other-non-profits/social-welfare-organizations" TargetMode="External"/><Relationship Id="rId59" Type="http://schemas.openxmlformats.org/officeDocument/2006/relationships/hyperlink" Target="https://www.irs.gov/charities-non-profits/other-non-profits/political-activity-and-social-welfare" TargetMode="External"/><Relationship Id="rId60" Type="http://schemas.openxmlformats.org/officeDocument/2006/relationships/hyperlink" Target="https://supreme.justia.com/cases/federal/us/587/17-1702/" TargetMode="External"/><Relationship Id="rId61" Type="http://schemas.openxmlformats.org/officeDocument/2006/relationships/hyperlink" Target="https://supreme.justia.com/cases/federal/us/501/496/" TargetMode="External"/><Relationship Id="rId62" Type="http://schemas.openxmlformats.org/officeDocument/2006/relationships/hyperlink" Target="https://www.law.cornell.edu/uscode/text/47/230" TargetMode="External"/><Relationship Id="rId63" Type="http://schemas.openxmlformats.org/officeDocument/2006/relationships/hyperlink" Target="https://www.legis.state.pa.us/WU01/LI/LI/CT/HTM/18/00.001.002.000..HTM" TargetMode="External"/><Relationship Id="rId64" Type="http://schemas.openxmlformats.org/officeDocument/2006/relationships/hyperlink" Target="https://www.legis.state.pa.us/WU01/LI/LI/CT/HTM/18/00.045.001.000..HTM" TargetMode="External"/><Relationship Id="rId65" Type="http://schemas.openxmlformats.org/officeDocument/2006/relationships/hyperlink" Target="https://www.legis.state.pa.us/WU01/LI/LI/CT/HTM/18/00.049..HTM" TargetMode="External"/><Relationship Id="rId66" Type="http://schemas.openxmlformats.org/officeDocument/2006/relationships/hyperlink" Target="https://www.legis.state.pa.us/WU01/LI/LI/CT/HTM/18/00.057..HTM" TargetMode="External"/><Relationship Id="rId67" Type="http://schemas.openxmlformats.org/officeDocument/2006/relationships/hyperlink" Target="https://www.palegis.us/statutes/consolidated/view-statute?chpt=3&amp;div=0&amp;sctn=6&amp;subsctn=1&amp;ttl=57&amp;txtType=HTM" TargetMode="External"/><Relationship Id="rId68" Type="http://schemas.openxmlformats.org/officeDocument/2006/relationships/hyperlink" Target="https://www.palegis.us/statutes/consolidated/view-statute?chpt=3&amp;div=0&amp;sctn=11&amp;subsctn=0&amp;ttl=57&amp;txtType=HTM" TargetMode="External"/><Relationship Id="rId69" Type="http://schemas.openxmlformats.org/officeDocument/2006/relationships/hyperlink" Target="https://www.pa.gov/agencies/dos/resources/notaries-resources-and-information/electronic-or-remote-notarization" TargetMode="External"/><Relationship Id="rId70" Type="http://schemas.openxmlformats.org/officeDocument/2006/relationships/hyperlink" Target="https://www.azleg.gov/ars/13/02701.htm" TargetMode="External"/><Relationship Id="rId71" Type="http://schemas.openxmlformats.org/officeDocument/2006/relationships/hyperlink" Target="https://www.azleg.gov/ars/13/02702.htm" TargetMode="External"/><Relationship Id="rId72" Type="http://schemas.openxmlformats.org/officeDocument/2006/relationships/hyperlink" Target="https://www.azleg.gov/ars/13/02703.htm" TargetMode="External"/><Relationship Id="rId73" Type="http://schemas.openxmlformats.org/officeDocument/2006/relationships/hyperlink" Target="https://www.azleg.gov/ars/13/00108.htm" TargetMode="External"/><Relationship Id="rId74" Type="http://schemas.openxmlformats.org/officeDocument/2006/relationships/hyperlink" Target="https://www.azleg.gov/ars/13/03846.htm" TargetMode="External"/><Relationship Id="rId75" Type="http://schemas.openxmlformats.org/officeDocument/2006/relationships/hyperlink" Target="https://www.azleg.gov/ars/41/00259.htm" TargetMode="External"/><Relationship Id="rId76" Type="http://schemas.openxmlformats.org/officeDocument/2006/relationships/hyperlink" Target="https://www.azleg.gov/ars/41/00263.htm" TargetMode="External"/><Relationship Id="rId77" Type="http://schemas.openxmlformats.org/officeDocument/2006/relationships/hyperlink" Target="https://www.azleg.gov/ars/41/00264.htm" TargetMode="External"/><Relationship Id="rId78" Type="http://schemas.openxmlformats.org/officeDocument/2006/relationships/hyperlink" Target="https://www.azleg.gov/ars/41/00265.htm" TargetMode="External"/><Relationship Id="rId79" Type="http://schemas.openxmlformats.org/officeDocument/2006/relationships/hyperlink" Target="https://law.justia.com/cases/arizona/supreme-court/1984/17016-pr-2.html" TargetMode="External"/><Relationship Id="rId80" Type="http://schemas.openxmlformats.org/officeDocument/2006/relationships/hyperlink" Target="https://www.leg.state.fl.us/statutes/index.cfm?App_mode=Display_Statute&amp;URL=0000-0099%2F0092%2FSections%2F0092.50.html" TargetMode="External"/><Relationship Id="rId81" Type="http://schemas.openxmlformats.org/officeDocument/2006/relationships/hyperlink" Target="https://www.leg.state.fl.us/statutes/index.cfm?App_mode=Display_Statute&amp;URL=0100-0199/0117/0117.html" TargetMode="External"/><Relationship Id="rId82" Type="http://schemas.openxmlformats.org/officeDocument/2006/relationships/hyperlink" Target="https://www.leg.state.fl.us/statutes/index.cfm?App_mode=Display_Statute&amp;URL=0800-0899%2F0837%2F0837.html" TargetMode="External"/><Relationship Id="rId83" Type="http://schemas.openxmlformats.org/officeDocument/2006/relationships/hyperlink" Target="https://www.leg.state.fl.us/Statutes/index.cfm?App_mode=Display_Statute&amp;URL=0900-0999%2F0910%2FSections%2F0910.005.html" TargetMode="External"/><Relationship Id="rId84" Type="http://schemas.openxmlformats.org/officeDocument/2006/relationships/hyperlink" Target="https://www.leg.state.fl.us/Statutes/index.cfm?App_mode=Display_Statute&amp;URL=0900-0999%2F0941%2FSections%2F0941.06.html" TargetMode="External"/><Relationship Id="rId85" Type="http://schemas.openxmlformats.org/officeDocument/2006/relationships/hyperlink" Target="https://supreme.justia.com/cases/federal/us/522/222/" TargetMode="External"/><Relationship Id="rId86" Type="http://schemas.openxmlformats.org/officeDocument/2006/relationships/hyperlink" Target="https://supreme.justia.com/cases/federal/us/146/657/" TargetMode="External"/><Relationship Id="rId87" Type="http://schemas.openxmlformats.org/officeDocument/2006/relationships/hyperlink" Target="https://www.govinfo.gov/app/details/USREPORTS-188/USREPORTS-188-691" TargetMode="External"/><Relationship Id="rId88" Type="http://schemas.openxmlformats.org/officeDocument/2006/relationships/hyperlink" Target="https://supreme.justia.com/cases/federal/us/221/280/" TargetMode="External"/><Relationship Id="rId89" Type="http://schemas.openxmlformats.org/officeDocument/2006/relationships/hyperlink" Target="https://www.ecfr.gov/current/title-11/chapter-I/subchapter-A/part-114/section-114.2" TargetMode="External"/><Relationship Id="rId90" Type="http://schemas.openxmlformats.org/officeDocument/2006/relationships/hyperlink" Target="https://app.leg.wa.gov/rcw/default.aspx?cite=63.60&amp;full=true" TargetMode="External"/><Relationship Id="rId91" Type="http://schemas.openxmlformats.org/officeDocument/2006/relationships/hyperlink" Target="https://app.leg.wa.gov/rcw/default.aspx?cite=9.73&amp;full=true" TargetMode="External"/><Relationship Id="rId92" Type="http://schemas.openxmlformats.org/officeDocument/2006/relationships/hyperlink" Target="https://leg.wa.gov/state-laws-and-rules/washington-state-constitution/" TargetMode="External"/><Relationship Id="rId93" Type="http://schemas.openxmlformats.org/officeDocument/2006/relationships/hyperlink" Target="https://law.justia.com/cases/federal/appellate-courts/ca9/04-56916/0456916-2011-02-25.html" TargetMode="External"/><Relationship Id="rId94" Type="http://schemas.openxmlformats.org/officeDocument/2006/relationships/hyperlink" Target="https://digitalgroundgame.org/" TargetMode="External"/><Relationship Id="rId95" Type="http://schemas.openxmlformats.org/officeDocument/2006/relationships/hyperlink" Target="https://digitalgroundgame.org/creator-corner" TargetMode="External"/><Relationship Id="rId96" Type="http://schemas.openxmlformats.org/officeDocument/2006/relationships/hyperlink" Target="https://digitalgroundgame.org/regions/west" TargetMode="External"/><Relationship Id="rId97" Type="http://schemas.openxmlformats.org/officeDocument/2006/relationships/hyperlink" Target="https://digitalgroundgame.org/regions/northeast" TargetMode="External"/><Relationship Id="rId98" Type="http://schemas.openxmlformats.org/officeDocument/2006/relationships/hyperlink" Target="https://pubsonline.informs.org/doi/10.1287/mnsc.2017.2892" TargetMode="External"/><Relationship Id="rId99" Type="http://schemas.openxmlformats.org/officeDocument/2006/relationships/hyperlink" Target="https://pmc.ncbi.nlm.nih.gov/articles/PMC11332245/" TargetMode="External"/><Relationship Id="rId100" Type="http://schemas.openxmlformats.org/officeDocument/2006/relationships/hyperlink" Target="https://www.nature.com/articles/s41467-022-30073-5" TargetMode="External"/><Relationship Id="rId101" Type="http://schemas.openxmlformats.org/officeDocument/2006/relationships/hyperlink" Target="https://www.pnas.org/doi/10.1073/pnas.2115397118" TargetMode="External"/><Relationship Id="rId102" Type="http://schemas.openxmlformats.org/officeDocument/2006/relationships/hyperlink" Target="https://www.pnas.org/doi/10.1073/pnas.1911695117" TargetMode="External"/><Relationship Id="rId103" Type="http://schemas.openxmlformats.org/officeDocument/2006/relationships/hyperlink" Target="https://www.factcheck.org/our-process/" TargetMode="External"/><Relationship Id="rId104" Type="http://schemas.openxmlformats.org/officeDocument/2006/relationships/hyperlink" Target="https://www.protruthpledge.org/" TargetMode="External"/><Relationship Id="rId105" Type="http://schemas.openxmlformats.org/officeDocument/2006/relationships/hyperlink" Target="https://app.leg.wa.gov/WAC/default.aspx?cite=308-30-220" TargetMode="External"/><Relationship Id="rId106" Type="http://schemas.openxmlformats.org/officeDocument/2006/relationships/hyperlink" Target="https://www.legis.state.pa.us/WU01/LI/LI/CT/HTM/18/00.049.002.000..HTM" TargetMode="External"/><Relationship Id="rId107" Type="http://schemas.openxmlformats.org/officeDocument/2006/relationships/hyperlink" Target="https://www.legis.state.pa.us/WU01/LI/LI/CT/HTM/18/00.049.003.000..HTM" TargetMode="External"/><Relationship Id="rId108" Type="http://schemas.openxmlformats.org/officeDocument/2006/relationships/hyperlink" Target="https://www.leg.state.fl.us/statutes/index.cfm?App_mode=Display_Statute&amp;URL=0100-0199/0117/Sections/0117.209.html" TargetMode="External"/><Relationship Id="rId109" Type="http://schemas.openxmlformats.org/officeDocument/2006/relationships/hyperlink" Target="https://www.leg.state.fl.us/statutes/index.cfm?App_mode=Display_Statute&amp;URL=0100-0199/0117/Sections/0117.265.html" TargetMode="External"/><Relationship Id="rId110" Type="http://schemas.openxmlformats.org/officeDocument/2006/relationships/hyperlink" Target="https://www.leg.state.fl.us/Statutes/index.cfm?App_mode=Display_Statute&amp;URL=0800-0899%2F0837%2F0837.html" TargetMode="External"/><Relationship Id="rId111" Type="http://schemas.openxmlformats.org/officeDocument/2006/relationships/hyperlink" Target="https://app.leg.wa.gov/rcw/default.aspx?cite=9.73.030" TargetMode="External"/><Relationship Id="rId112" Type="http://schemas.openxmlformats.org/officeDocument/2006/relationships/hyperlink" Target="https://www.legis.state.pa.us/WU01/LI/LI/CT/HTM/18/00.057.004.000..HTM" TargetMode="External"/><Relationship Id="rId113" Type="http://schemas.openxmlformats.org/officeDocument/2006/relationships/hyperlink" Target="https://app.leg.wa.gov/rcw/default.aspx?cite=9A.72&amp;full=true" TargetMode="External"/><Relationship Id="rId114" Type="http://schemas.openxmlformats.org/officeDocument/2006/relationships/hyperlink" Target="https://app.leg.wa.gov/rcw/default.aspx?cite=29B.10&amp;full=true" TargetMode="External"/><Relationship Id="rId115" Type="http://schemas.openxmlformats.org/officeDocument/2006/relationships/hyperlink" Target="https://app.leg.wa.gov/rcw/default.aspx?cite=29B.30.0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DGG Washington Participant-Sworn Statement Protocol</dc:title>
  <dc:subject>Legal feasibility, adversarial audit, and counsel-ready pilot design</dc:subject>
  <dc:creator>Independent research draft prepared for Digital Ground Game</dc:creator>
  <cp:keywords>Washington notary; sworn statement; false swearing; RON; Digital Ground Game</cp:keywords>
  <dc:description>Research cutoff August 30, 2026; requires licensed-counsel review.</dc:description>
  <cp:lastModifiedBy/>
  <cp:revision>1</cp:revision>
  <dcterms:created xsi:type="dcterms:W3CDTF">2013-12-23T23:15:00Z</dcterms:created>
  <dcterms:modified xsi:type="dcterms:W3CDTF">2013-12-23T23:15:00Z</dcterms:modified>
  <cp:category/>
</cp:coreProperties>
</file>