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/>
      </w:pPr>
      <w:r>
        <w:rPr>
          <w:rFonts w:ascii="Aptos" w:hAnsi="Microsoft YaHei" w:eastAsia="Microsoft YaHei"/>
          <w:b/>
          <w:i w:val="0"/>
          <w:color w:val="B57A32"/>
          <w:sz w:val="20"/>
        </w:rPr>
        <w:t>QWENSCI  /  PRODUCT DESIGN</w:t>
      </w:r>
    </w:p>
    <w:p>
      <w:pPr>
        <w:spacing w:after="280" w:line="240" w:lineRule="auto"/>
        <w:pBdr>
          <w:bottom w:val="single" w:sz="12" w:space="4" w:color="B57A32"/>
        </w:pBdr>
      </w:pPr>
      <w:r>
        <w:rPr>
          <w:rFonts w:ascii="Aptos" w:hAnsi="Microsoft YaHei" w:eastAsia="Microsoft YaHei"/>
          <w:b/>
          <w:i w:val="0"/>
          <w:color w:val="1B1E24"/>
          <w:sz w:val="54"/>
        </w:rPr>
        <w:t>QwenSci × PhAI 风格</w:t>
        <w:br/>
        <w:t>产品化网页设计与实现方案</w:t>
      </w:r>
    </w:p>
    <w:p>
      <w:pPr>
        <w:spacing w:before="240" w:after="880"/>
      </w:pPr>
      <w:r>
        <w:rPr>
          <w:rFonts w:ascii="Aptos" w:hAnsi="Microsoft YaHei" w:eastAsia="Microsoft YaHei"/>
          <w:b w:val="0"/>
          <w:i w:val="0"/>
          <w:color w:val="5C6470"/>
          <w:sz w:val="26"/>
        </w:rPr>
        <w:t>从科研官网、QwenSci 交互式预览，到真实研究工作台的完整设计与代码落地说明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  <w:insideH w:val="single" w:sz="4" w:space="0" w:color="D9DDE5"/>
              <w:insideV w:val="single" w:sz="4" w:space="0" w:color="D9DD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Aptos" w:hAnsi="Microsoft YaHei" w:eastAsia="Microsoft YaHei"/>
                <w:b/>
                <w:i w:val="0"/>
                <w:color w:val="314A9A"/>
                <w:sz w:val="19"/>
              </w:rPr>
              <w:t>版本</w:t>
            </w:r>
          </w:p>
        </w:tc>
        <w:tc>
          <w:tcPr>
            <w:tcW w:type="dxa" w:w="5040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  <w:insideH w:val="single" w:sz="4" w:space="0" w:color="D9DDE5"/>
              <w:insideV w:val="single" w:sz="4" w:space="0" w:color="D9DD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9"/>
              </w:rPr>
              <w:t>v1.0</w:t>
            </w:r>
          </w:p>
        </w:tc>
      </w:tr>
      <w:tr>
        <w:tc>
          <w:tcPr>
            <w:tcW w:type="dxa" w:w="5040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  <w:insideH w:val="single" w:sz="4" w:space="0" w:color="D9DDE5"/>
              <w:insideV w:val="single" w:sz="4" w:space="0" w:color="D9DD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Aptos" w:hAnsi="Microsoft YaHei" w:eastAsia="Microsoft YaHei"/>
                <w:b/>
                <w:i w:val="0"/>
                <w:color w:val="314A9A"/>
                <w:sz w:val="19"/>
              </w:rPr>
              <w:t>日期</w:t>
            </w:r>
          </w:p>
        </w:tc>
        <w:tc>
          <w:tcPr>
            <w:tcW w:type="dxa" w:w="5040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  <w:insideH w:val="single" w:sz="4" w:space="0" w:color="D9DDE5"/>
              <w:insideV w:val="single" w:sz="4" w:space="0" w:color="D9DD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9"/>
              </w:rPr>
              <w:t>2026-10-16</w:t>
            </w:r>
          </w:p>
        </w:tc>
      </w:tr>
      <w:tr>
        <w:tc>
          <w:tcPr>
            <w:tcW w:type="dxa" w:w="5040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  <w:insideH w:val="single" w:sz="4" w:space="0" w:color="D9DDE5"/>
              <w:insideV w:val="single" w:sz="4" w:space="0" w:color="D9DD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Aptos" w:hAnsi="Microsoft YaHei" w:eastAsia="Microsoft YaHei"/>
                <w:b/>
                <w:i w:val="0"/>
                <w:color w:val="314A9A"/>
                <w:sz w:val="19"/>
              </w:rPr>
              <w:t>项目</w:t>
            </w:r>
          </w:p>
        </w:tc>
        <w:tc>
          <w:tcPr>
            <w:tcW w:type="dxa" w:w="5040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  <w:insideH w:val="single" w:sz="4" w:space="0" w:color="D9DDE5"/>
              <w:insideV w:val="single" w:sz="4" w:space="0" w:color="D9DD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9"/>
              </w:rPr>
              <w:t>WebApp-V2 · React + TypeScript + Vite · FastAPI</w:t>
            </w:r>
          </w:p>
        </w:tc>
      </w:tr>
      <w:tr>
        <w:tc>
          <w:tcPr>
            <w:tcW w:type="dxa" w:w="5040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  <w:insideH w:val="single" w:sz="4" w:space="0" w:color="D9DDE5"/>
              <w:insideV w:val="single" w:sz="4" w:space="0" w:color="D9DD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Aptos" w:hAnsi="Microsoft YaHei" w:eastAsia="Microsoft YaHei"/>
                <w:b/>
                <w:i w:val="0"/>
                <w:color w:val="314A9A"/>
                <w:sz w:val="19"/>
              </w:rPr>
              <w:t>交付</w:t>
            </w:r>
          </w:p>
        </w:tc>
        <w:tc>
          <w:tcPr>
            <w:tcW w:type="dxa" w:w="5040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  <w:insideH w:val="single" w:sz="4" w:space="0" w:color="D9DDE5"/>
              <w:insideV w:val="single" w:sz="4" w:space="0" w:color="D9DD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9"/>
              </w:rPr>
              <w:t>Markdown 方案 + DOCX 方案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阅读方式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本文分为两部分。第一部分定义产品叙事、信息架构、视觉系统和交互规则；第二部分把设计拆成文件、组件、接口、任务队列、数据模型和验收项。文中“现有能力”只指仓库中已经存在并有测试或实现支撑的能力；“待新增”指需要代码、数据或运行基础设施补齐的能力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参考方向：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PhAI 首页与产品页：&lt;https://phai-labs.com/&gt;、&lt;https://phai-labs.com/products/&gt;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本仓库现有前端：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WebApp-V2/src/App.tsx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WebApp-V2/src/api.ts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WebApp-V2/app/styles.css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WebApp-V2/src/workspace.css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本仓库现有控制面：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src/webapp/api.py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src/webapp/schemas.py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src/webapp/run_service.py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已加载的本地设计技能：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ui-ux-pro-max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impeccable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frontend-design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design-taste-frontend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extract-design-system</w:t>
      </w:r>
    </w:p>
    <w:p>
      <w:r>
        <w:br w:type="page"/>
      </w:r>
    </w:p>
    <w:p>
      <w:pPr>
        <w:pStyle w:val="Heading1"/>
        <w:keepNext/>
      </w:pPr>
      <w:r>
        <w:t>第一部分：网页设计方案</w:t>
      </w:r>
    </w:p>
    <w:p>
      <w:pPr>
        <w:pStyle w:val="Heading2"/>
        <w:keepNext/>
      </w:pPr>
      <w:r>
        <w:t>1. 产品定位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QwenSci 应被呈现为“有证据边界的科研操作系统”，而不是泛化的聊天机器人或单一写作工具。官网负责解释研究闭环，产品页负责让访客看到真实工作台，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/app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负责进入可恢复、可审计、可授权的研究运行。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核心承诺是：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/>
          <w:color w:val="5C6470"/>
          <w:sz w:val="21"/>
        </w:rPr>
        <w:t>从科学问题开始，沿着证据、模型、实验和写作走到可交付成果；每一步都能追溯、暂停、审阅和恢复。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主要受众分为三类：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受众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进入动机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首屏需要看到的证据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研究者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把一个课题推进到综述、实验设计或论文草稿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阶段状态、材料边界、成果索引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课题组/实验室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统一研究流程、降低重复整理和交接成本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可恢复运行、日志、权限、可审计动作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方法与平台负责人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把模型调用放进安全、可验证的科学流程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API 契约、人工批准、证据来源和失败处理</w:t>
            </w:r>
          </w:p>
        </w:tc>
      </w:tr>
    </w:tbl>
    <w:p>
      <w:pPr>
        <w:spacing w:after="40"/>
      </w:pP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产品官网的主 CTA 是“打开 QwenSci 预览”，工作台的主 CTA 是“启动研究”。两个入口都指向真实产品能力，营销页面不能用虚构的实时状态冒充运行中的后端。</w:t>
      </w:r>
    </w:p>
    <w:p>
      <w:pPr>
        <w:pStyle w:val="Heading2"/>
        <w:keepNext/>
      </w:pPr>
      <w:r>
        <w:t>2. PhAI 参考拆解与转译原则</w:t>
      </w:r>
    </w:p>
    <w:p>
      <w:pPr>
        <w:pStyle w:val="Heading3"/>
        <w:keepNext/>
      </w:pPr>
      <w:r>
        <w:t>2.1 保留的视觉结构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PhAI 的有效之处在于它把研究机构做成了一个有叙事节奏的产品页面：顶部导航很轻，首屏用大号衬线标题建立立场，黑色背景让蓝紫色科研图形成为焦点，琥珀色 CTA 给出明确行动，随后用线性研究路径解释能力来源。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QwenSci 采用同一套节奏，但把“研究机构的抽象能力”换成“可进入的科研工作台”：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黑色底层承载长期研究与证据的语气。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靛蓝轨道、粒子和路径表示模型、工具与数据之间的关系。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琥珀色只承担启动、确认和继续三个高价值动作。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细弱分隔线把页面分成章节，而不是把所有内容切成同规格卡片。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产品预览直接展示 QwenSci 的真实阶段、材料和成果结构。</w:t>
      </w:r>
    </w:p>
    <w:p>
      <w:pPr>
        <w:pStyle w:val="Heading3"/>
        <w:keepNext/>
      </w:pPr>
      <w:r>
        <w:t>2.2 需要避免的复制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QwenSci 不应复制 PhAI 的品牌标识、文案或图形资产。轨道球体、星点和蓝色光晕只作为“证据流”和“研究系统入口”的抽象视觉；可用已有代表性研究产物作为产品内容，而不是把外部网站的图片当作产品截图。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页面也不采用通用 SaaS 的浅色大圆角卡片、紫蓝渐变、三列功能卡和假数据仪表盘。所有状态都要标明是示例、代表性成果或真实运行，避免混淆。</w:t>
      </w:r>
    </w:p>
    <w:p>
      <w:pPr>
        <w:pStyle w:val="Heading2"/>
        <w:keepNext/>
      </w:pPr>
      <w:r>
        <w:t>3. 当前 QwenSci 界面问题</w:t>
      </w:r>
    </w:p>
    <w:p>
      <w:pPr>
        <w:pStyle w:val="BodyText"/>
        <w:spacing w:after="140" w:line="324" w:lineRule="auto"/>
      </w:pPr>
      <w:r>
        <w:rPr>
          <w:rFonts w:ascii="Cascadia Mono" w:hAnsi="Cascadia Mono" w:eastAsia="Cascadia Mono"/>
          <w:b w:val="0"/>
          <w:i w:val="0"/>
          <w:color w:val="314A9A"/>
          <w:sz w:val="20"/>
        </w:rPr>
        <w:t>WebApp-V2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目前优先解决了科研运行控制，但它的视觉和信息架构仍然是内部控制台：浅蓝背景、白色卡片、圆角面板、顶部控制导航和较密集的状态信息都适合已有用户，却不能承担面向新用户的产品叙事。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需要解决的具体问题：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首屏直接进入控制台，访客看不到产品定位、研究闭环和六类入口。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App.tsx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将运行列表、研究编排、量化审阅、材料和产物全部组合在一个工作台，营销页面无法复用其中的独立产品能力。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当前已有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representative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数据和真实产物预览，但缺少一个明确的“QwenSci 产品预览”层来承接产品介绍。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轻度研究、绘图、润色、翻译和研究偏好没有独立的入口、状态模型或结果交付协议。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现有状态文字较多，缺少面向公众的简短副标题、证据说明和下一步动作。</w:t>
      </w:r>
    </w:p>
    <w:p>
      <w:pPr>
        <w:pStyle w:val="Heading2"/>
        <w:keepNext/>
      </w:pPr>
      <w:r>
        <w:t>4. 首页信息架构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首页使用“研究命题 → 研究闭环 → 产品入口 → 可操作预览 → 可信证据 → 进入工作台”的单向叙事。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/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├── Hero：把科研流程变成可恢复的研究系统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├── Research loop：问题 → 证据 → 模型 → 实验 → 写作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├── Products：六类产品能力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├── QwenSci product preview：可点击的代表性运行预览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├── Evidence and trust：真实 API、审阅节点、产物和日志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├── Nature skill workflow map：能力与现有科研工作流的映射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├── CTA：打开预览 / 启动研究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└── Footer：文档、API、运行边界和版本信息</w:t>
      </w:r>
    </w:p>
    <w:p>
      <w:pPr>
        <w:pStyle w:val="Heading3"/>
        <w:keepNext/>
      </w:pPr>
      <w:r>
        <w:t>4.1 Hero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推荐文案：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眉题：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QWENSCI / EVIDENCE-BOUND RESEARCH SYSTEM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主标题：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让每一个科学问题，都有一条可追溯的路径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说明：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从课题、材料和文献开始，进入综述、Idea、实验设计与写作；每个阶段都能审阅、暂停和恢复。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主 CTA：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打开 QwenSci 预览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次 CTA：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查看研究闭环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右侧显示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QwenOrbitVisual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：一个由 Qwen 标记、三条轨道和少量粒子组成的静态或低速运动视觉。左侧标题保持两行以内，右侧视觉不承担文字信息。</w:t>
      </w:r>
    </w:p>
    <w:p>
      <w:pPr>
        <w:pStyle w:val="Heading3"/>
        <w:keepNext/>
      </w:pPr>
      <w:r>
        <w:t>4.2 Research loop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用一条横向路径替代三列功能卡：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[科学问题] ── [证据登记] ── [模型与工具] ── [实验与审阅] ── [论文成果]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 ↓              ↓                ↓                ↓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topic          materials        actions          artifacts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每个节点都显示一个真实的产品字段：课题、材料 scope、受控 action、artifact stage。滚动到节点时只改变线条和节点亮度，不让页面变成动画演示。</w:t>
      </w:r>
    </w:p>
    <w:p>
      <w:pPr>
        <w:pStyle w:val="Heading3"/>
        <w:keepNext/>
      </w:pPr>
      <w:r>
        <w:t>4.3 Products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六个入口采用纵向章节布局，每章由左侧能力标题、中央一句判断、右侧一个状态或成果片段组成。入口名称保持用户语言：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全流程科研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：从课题到 Author 的完整研究运行。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轻度研究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：只推进 Survey 或 Survey + Idea，适合快速判断方向。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科研绘图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：从数据、脚本和图表意图生成论文级图形及可编辑源文件。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语言润色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：保留证据边界的段落级修订和导出。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论文翻译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：保留图、表、公式和页级结构的双语交付。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研究偏好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：保存语言、学科、期刊、引用、模型、隐私和网络权限。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每章都必须有明确的“当前可用 / 需要接入 / 设计中”状态，避免把 skill 说明误写成已经上线的产品功能。</w:t>
      </w:r>
    </w:p>
    <w:p>
      <w:pPr>
        <w:pStyle w:val="Heading3"/>
        <w:keepNext/>
      </w:pPr>
      <w:r>
        <w:t>4.4 QwenSci 产品预览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产品预览不是 GIF 或假仪表盘，而是一个可点击的“公开样本运行”：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左侧：六类入口切换。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中央：阶段时间线、当前节点、下一步动作。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右侧：材料、证据、产物或结果片段。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底部：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查看真实工作台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复制预览课题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查看 API 约束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预览默认读取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GET /api/representative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的代表性项目；如果服务端不可用，展示明确的静态说明“这是产品结构预览”，不显示运行中、完成百分比或伪造的在线状态。点击某个入口后，预览可以切换到预置的静态 fixture；进入工作台时再切换到真实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run_id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建议的六个预览状态：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入口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预览内容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点击后的真实动作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全流程科研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Survey → Idea → ExperimentDesign → Author 路径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 xml:space="preserve">跳转 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/app/full-research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，复用创建运行和动作 API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轻度研究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只到 Survey 或 Idea 的短路径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 xml:space="preserve">跳转 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/app/light-research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，创建运行时传递终点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科研绘图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图形意图、数据文件、图像和源文件状态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 xml:space="preserve">跳转 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/app/figure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，提交绘图任务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语言润色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原文、修订 diff、风格和期刊配置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 xml:space="preserve">跳转 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/app/polish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，创建润色任务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论文翻译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页缩略图、双语文本、公式/图表保留状态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 xml:space="preserve">跳转 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/app/translate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，提交翻译任务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研究偏好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语言、学科、引用、模型和权限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 xml:space="preserve">跳转 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/app/preferences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，读取或保存偏好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 导航与路由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官网与工作台保持同一品牌，但通过路由和导航层级明确分开：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路由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页面角色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数据来源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产品官网首页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产品 registry、代表性项目、静态叙事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/products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六类能力总览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产品 registry、能力状态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/products/qwensci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QwenSci 产品介绍与可点击预览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representative fixture、产品能力接口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真实科研工作台入口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health、runs、disciplines、SSE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/app/full-research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全流程科研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/api/runs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/api/runs/{run_id}/actions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/app/light-research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轻度研究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同上，增加研究深度字段或终点参数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/app/figure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科研绘图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待新增 figure job API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/app/polish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语言润色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待新增 polish job API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/app/translate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论文翻译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待新增 translation job API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/app/preferences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研究偏好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待新增 preferences API</w:t>
            </w:r>
          </w:p>
        </w:tc>
      </w:tr>
    </w:tbl>
    <w:p>
      <w:pPr>
        <w:spacing w:after="40"/>
      </w:pP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导航只保留三个全局动作：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Products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QwenSci preview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Open workspace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。进入工作台后才出现运行、流程、量化和成果导航。</w:t>
      </w:r>
    </w:p>
    <w:p>
      <w:pPr>
        <w:pStyle w:val="Heading2"/>
        <w:keepNext/>
      </w:pPr>
      <w:r>
        <w:t>6. 六类产品能力设计</w:t>
      </w:r>
    </w:p>
    <w:p>
      <w:pPr>
        <w:pStyle w:val="Heading3"/>
        <w:keepNext/>
      </w:pPr>
      <w:r>
        <w:t>6.1 全流程科研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定位：给需要完整推进课题的研究者使用，范围覆盖 Survey、Idea、ExperimentDesign 和 Author。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界面重点：顶部显示运行 ID 和持久化状态；中央时间线显示阶段、尝试次数、失败信息和下一步；右侧显示受控材料、证据和产物；任何高风险动作都先显示输入、来源和确认条件。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当前可复用：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POST /api/runs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GET /api/runs/{run_id}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POST /api/runs/{run_id}/materials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POST /api/runs/{run_id}/actions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GET /api/runs/{run_id}/events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GET /api/runs/{run_id}/logs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GET /api/runs/{run_id}/artifacts/{artifact_id}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。</w:t>
      </w:r>
    </w:p>
    <w:p>
      <w:pPr>
        <w:pStyle w:val="Heading3"/>
        <w:keepNext/>
      </w:pPr>
      <w:r>
        <w:t>6.2 轻度研究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定位：让用户在几分钟内获得结构化 Survey 或 Idea，而不要求立刻进入完整实验设计。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界面重点：减少配置项，只保留课题、学科、语言、材料和终点；结果页把“可继续的证据”和“尚未验证的空白”并列显示。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当前可以临时复用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until=survey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或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until=idea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；产品化时新增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research_depth: "light" | "full"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，由后端记录用户意图，避免前端把终点推断成产品类型。</w:t>
      </w:r>
    </w:p>
    <w:p>
      <w:pPr>
        <w:pStyle w:val="Heading3"/>
        <w:keepNext/>
      </w:pPr>
      <w:r>
        <w:t>6.3 科研绘图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定位：把数据、图表意图和论文规范连接成可审阅的图形产物。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界面重点：左侧是数据与变量，中央是图形草稿和统计说明，右侧是字体、颜色、图例、单位、导出格式和可访问性检查。结果必须区分 PNG/SVG/PDF 与可编辑的 Python/R 源文件。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当前状态：仓库有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nature-figure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cumcm-paper-figures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等技能参考和代表性图片资产，但没有明确的专用 Web API、任务队列或用户级产物模型；不能直接把技能存在写成产品已上线。</w:t>
      </w:r>
    </w:p>
    <w:p>
      <w:pPr>
        <w:pStyle w:val="Heading3"/>
        <w:keepNext/>
      </w:pPr>
      <w:r>
        <w:t>6.4 语言润色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定位：在不改变事实、数值、术语和证据边界的前提下，提供段落级修订、风格选择和导出。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界面重点：原文与修订并排；每段显示变更原因、保留的术语和需要作者确认的句子；目标期刊、中文/英文、语气和压缩强度在顶部设置；导出前显示修订统计与未解决标记。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当前状态：可参考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nature-polishing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和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academic-humanizer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，但缺少文本/文档上传、差异存储、版本和 DOCX/PDF 导出 API。</w:t>
      </w:r>
    </w:p>
    <w:p>
      <w:pPr>
        <w:pStyle w:val="Heading3"/>
        <w:keepNext/>
      </w:pPr>
      <w:r>
        <w:t>6.5 论文翻译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定位：把论文 PDF 变成结构保真的中英文对照或中文阅读版。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界面重点：左侧页缩略图，中央双栏文本，右侧显示图、表、公式和 OCR 状态；每页标记是否为原生文本、OCR 文本或需要人工复核；下载前显示页数、语言和产物格式。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当前状态：可参考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nature-reader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nature-paper-trans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和 PDF 技能，但缺少 PDF 解析、OCR、版面结构、翻译任务状态和页级产物 API。</w:t>
      </w:r>
    </w:p>
    <w:p>
      <w:pPr>
        <w:pStyle w:val="Heading3"/>
        <w:keepNext/>
      </w:pPr>
      <w:r>
        <w:t>6.6 研究偏好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定位：把重复的研究设置保存为用户级或项目级偏好，减少每次启动运行的配置成本。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字段建议：语言、学科、目标期刊、引用风格、模型、输出格式、默认研究深度、网络访问、远程视觉分析、隐私策略和默认材料 scope。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当前状态：没有持久化接口；设计时先做表单和本地未保存态，正式产品必须增加认证、用户/项目边界和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GET /api/preferences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PUT /api/preferences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。</w:t>
      </w:r>
    </w:p>
    <w:p>
      <w:pPr>
        <w:pStyle w:val="Heading2"/>
        <w:keepNext/>
      </w:pPr>
      <w:r>
        <w:t>7. 深色视觉系统</w:t>
      </w:r>
    </w:p>
    <w:p>
      <w:pPr>
        <w:pStyle w:val="Heading3"/>
        <w:keepNext/>
      </w:pPr>
      <w:r>
        <w:t>7.1 色彩 token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:root {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--color-bg: #0a0a0b;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--color-surface: #101012;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--color-surface-raised: #151518;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--color-ink: #f0eee8;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--color-ink-muted: rgba(240, 238, 232, .68);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--color-ink-subtle: rgba(240, 238, 232, .44);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--color-ink-faint: rgba(240, 238, 232, .26);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--color-rule: rgba(240, 238, 232, .12);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--color-rule-soft: rgba(240, 238, 232, .07);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--color-primary: #9ba7ff;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--color-primary-hover: #aab4ff;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--color-primary-deep: #5d6bd6;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--color-primary-ink: #3a45a8;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--color-primary-glow: rgba(155, 167, 255, .20);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--color-cta: #d29c52;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--color-cta-hover: #e0ae66;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--color-success: #5fd6a0;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--color-warning: #d29c52;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--color-danger: #f26b7a;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}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使用规则：背景和表面占绝大多数面积；靛蓝承担链接、焦点、研究路径和产品图形；琥珀只用于主 CTA、确认和少量关键状态；成功、警告、错误状态必须同时有文字或图标，不能只靠颜色。</w:t>
      </w:r>
    </w:p>
    <w:p>
      <w:pPr>
        <w:pStyle w:val="Heading3"/>
        <w:keepNext/>
      </w:pPr>
      <w:r>
        <w:t>7.2 字体与层级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字体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建议规格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英文大标题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Plex Serif 或可授权的衬线替代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56–88 px，行高 0.98–1.08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中文大标题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Noto Serif SC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44–72 px，行高 1.12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正文与导航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Plex Sans / Noto Sans SC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15–18 px，行高 1.55–1.75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数据、运行 ID、API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Plex Mono / JetBrains Mono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12–14 px，行高 1.4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眉题与标签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Sans + 小号字距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11–12 px，避免连续大写堆叠</w:t>
            </w:r>
          </w:p>
        </w:tc>
      </w:tr>
    </w:tbl>
    <w:p>
      <w:pPr>
        <w:spacing w:after="40"/>
      </w:pP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标题使用 sentence case，中文标题不强行加入英文全大写标签。所有正文文字保持左对齐，只有 Hero 的单句产品主张可以在宽屏上形成较宽的左栏。</w:t>
      </w:r>
    </w:p>
    <w:p>
      <w:pPr>
        <w:pStyle w:val="Heading3"/>
        <w:keepNext/>
      </w:pPr>
      <w:r>
        <w:t>7.3 网格、间距与形状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最大内容宽度：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1200px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；Hero 和产品预览可扩展到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1440px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页面左右内边距：桌面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clamp(24px, 5vw, 80px)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，移动端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20px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基础间距：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4 / 8 / 12 / 20 / 32 / 48 / 72 / 120px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分隔线使用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1px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的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--color-rule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；卡片只在需要承载交互状态时使用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1px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边框。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官网章节避免统一圆角；产品预览可使用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12px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，工作台面板保持原有层级但改为近黑表面。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阴影优先使用表面和边框对比，不使用大面积柔和灰色投影。</w:t>
      </w:r>
    </w:p>
    <w:p>
      <w:pPr>
        <w:pStyle w:val="Heading3"/>
        <w:keepNext/>
      </w:pPr>
      <w:r>
        <w:t>7.4 响应式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断点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布局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&lt; 640px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Hero 单列；产品章节改为上下堆叠；预览右栏折叠为底部抽屉；轨道视觉减小并降低粒子数量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640–1023px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两列产品预览；研究闭环保持横向但允许换行；导航折叠为菜单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&gt;= 1024px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12 列网格；Hero 左 5 列、右 7 列；产品章节使用 3 区结构；工作台恢复三栏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 Qwen Logo 与右侧科研视觉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建议新增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WebApp-V2/assets/qwen-mark.svg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和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WebApp-V2/src/components/QwenOrbitVisual.tsx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。使用已授权的 Qwen 标志或字形资产，不重新绘制可能产生品牌误差的商标。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视觉分三层：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主标记：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opacity: .86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，作为焦点。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轨道残影：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opacity: .28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，连接问题、证据和工具。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环境粒子与外圈：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opacity: .08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，只提供空间感。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轨道可以用 SVG path 或 Canvas 绘制，运动速度保持低，默认不自动旋转；如果开启运动，只让轨道和少数粒子缓慢移动。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prefers-reduced-motion: reduce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时保留静态轨道、去掉闪烁和自动播放。右侧视觉需要有可访问的文本替代：“QwenSci 研究闭环：问题、证据、模型、实验和成果沿轨道连接”。</w:t>
      </w:r>
    </w:p>
    <w:p>
      <w:pPr>
        <w:pStyle w:val="Heading2"/>
        <w:keepNext/>
      </w:pPr>
      <w:r>
        <w:t>9. 动效、交互与无障碍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动效只服务于方向感和状态反馈：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页面进入：标题和轨道从低透明度过渡，不使用大幅缩放。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滚动：研究路径按节点进入视口亮起；节点状态由文字同步说明。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预览切换：入口切换使用 180–240ms 的淡入和位移，保留键盘焦点。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工作台：SSE 更新时只更新对应阶段、事件和提示，不整页闪烁。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错误：说明发生了什么、下一步怎么修复，并保留可复制的技术详情。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无障碍验收：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所有按钮、入口、标签页和时间线节点可用键盘访问，焦点环使用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--color-primary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正文和控件达到 WCAG AA 对比度；低透明度文字只用于辅助信息。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状态不能只靠颜色；必须有文本、图标或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aria-live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播报。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产品预览的动态区域有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aria-selected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aria-controls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和明确的 tab 顺序。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上传、解析、翻译和绘图任务分别有进行中、成功、失败和可重试状态。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prefers-reduced-motion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、窄屏和 200% 页面缩放都保持内容可读。</w:t>
      </w:r>
    </w:p>
    <w:p>
      <w:pPr>
        <w:pStyle w:val="Heading2"/>
        <w:keepNext/>
      </w:pPr>
      <w:r>
        <w:t>10. 内容文案建议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首页的文案要解释产品能做什么，不要用“重新定义”“下一代”“智能化赋能”等空泛表达。建议文案：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文案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Hero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让每一个科学问题，都有一条可追溯的路径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Research loop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把问题、证据、模型、实验和写作放进同一条可恢复的运行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产品预览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先看研究怎样推进，再决定从哪里开始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证据区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每个结论都有来源，每个动作都有边界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工作台 CTA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启动研究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轻度研究 CTA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先做 Survey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绘图 CTA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创建图形任务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润色 CTA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比较修订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翻译 CTA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上传论文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偏好 CTA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保存研究设置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 官网与工作台的视觉衔接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官网使用更宽的留白、较少的状态字段和较大的衬线标题；工作台使用同一套深色 token、字体和分隔线，但把信息密度提高，把每个操作绑定到真实 API。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过渡规则：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官网的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打开 QwenSci 预览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进入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/products/qwensci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，不直接创建运行。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预览中的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进入真实工作台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携带入口类型和可选的示例课题，打开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/app/{module}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工作台顶部保留 QwenSci 标记和产品名称，去掉营销语句，直接显示运行和连接状态。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官网中的“代表性成果”只来自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/api/representative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或静态已标注样本；工作台成果只来自具体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run_id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的 artifact index。</w:t>
      </w:r>
    </w:p>
    <w:p>
      <w:pPr>
        <w:pStyle w:val="Heading2"/>
        <w:keepNext/>
      </w:pPr>
      <w:r>
        <w:t>12. Nature skill 能力映射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这些 skill 可作为产品流程、文案和验收标准的参考，但 skill 存在不等于 QwenSci 已提供对应 API。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QwenSci 入口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可复用的科研工作流参考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需要在产品中落地的对象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全流程科研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nature-writing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nature-academic-search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nature-paper-card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nature-reviewer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运行阶段、证据、审阅、作者交接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轻度研究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nature-paper-card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nature-academic-search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nature-social-science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短路径研究运行和缺口输出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科研绘图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nature-figure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cumcm-paper-figures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图形任务、数据、脚本、导出产物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语言润色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nature-polishing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academic-humanizer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段落 diff、术语锁定、版本和导出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论文翻译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nature-reader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nature-paper-trans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pdf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PDF 页结构、OCR、双语和复核标记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研究偏好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nature-data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nature-experiment-log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、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nature-statistics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用户/项目偏好、隐私、数据和日志策略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第二部分：代码、接口与能力缺口</w:t>
      </w:r>
    </w:p>
    <w:p>
      <w:pPr>
        <w:pStyle w:val="Heading2"/>
        <w:keepNext/>
      </w:pPr>
      <w:r>
        <w:t>13. 代码仓库现状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当前可直接复用的前端入口：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WebApp-V2/src/App.tsx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：真实运行加载、运行选择、材料上传、动作提交、SSE 刷新和工作台组合。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WebApp-V2/src/api.ts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：同源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/api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请求封装、材料、产物和量化参数检索。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WebApp-V2/src/types.ts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ResearchRun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Artifact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RunEvent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、量化状态和动作契约。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WebApp-V2/src/components/ResearchComposer.tsx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：创建运行、学科解析、终点选择和材料草稿。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WebApp-V2/src/components/WorkflowTimeline.tsx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：阶段和事件流展示。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WebApp-V2/src/components/QuantitativeReviewWorkspace.tsx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：Q1/Q2 审批、计划和结果资格审查。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WebApp-V2/src/components/MaterialTray.tsx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ArtifactInspector.tsx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RunLogsPanel.tsx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：材料、产物和日志查看。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当前可直接复用的后端控制面：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/api/health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/api/disciplines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POST /api/disciplines/resolve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/api/runs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POST /api/runs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/api/runs/{run_id}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POST /api/runs/{run_id}/materials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GET|DELETE /api/runs/{run_id}/materials/{material_id}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POST /api/runs/{run_id}/actions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/api/runs/{run_id}/events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（SSE）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/api/runs/{run_id}/logs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/api/runs/{run_id}/logs/{log_id}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/api/runs/{run_id}/artifacts/{artifact_id}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/api/representative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/api/representative/{project_id}/files/{file_id}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量化参数检索、检索结果读取和来源选择接口</w:t>
      </w:r>
    </w:p>
    <w:p>
      <w:pPr>
        <w:pStyle w:val="Heading2"/>
        <w:keepNext/>
      </w:pPr>
      <w:r>
        <w:t>14. 建议新增与修改的文件</w:t>
      </w:r>
    </w:p>
    <w:p>
      <w:pPr>
        <w:pStyle w:val="Heading3"/>
        <w:keepNext/>
      </w:pPr>
      <w:r>
        <w:t>14.1 前端新增文件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WebApp-V2/src/marketing/MarketingApp.tsx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WebApp-V2/src/marketing/marketing.css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WebApp-V2/src/marketing/content.ts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WebApp-V2/src/marketing/productRegistry.ts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WebApp-V2/src/components/QwenOrbitVisual.tsx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WebApp-V2/src/components/ResearchLoop.tsx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WebApp-V2/src/components/ProductModuleGrid.tsx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WebApp-V2/src/components/QwenSciPreview.tsx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WebApp-V2/src/components/CapabilityStatus.tsx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WebApp-V2/src/components/AccessibleTabs.tsx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WebApp-V2/src/app/AppShell.tsx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WebApp-V2/src/app/routes.tsx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WebApp-V2/src/app/moduleTypes.ts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WebApp-V2/src/modules/figure/FigureWorkspace.tsx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WebApp-V2/src/modules/polish/PolishWorkspace.tsx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WebApp-V2/src/modules/translate/TranslationWorkspace.tsx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WebApp-V2/src/modules/preferences/PreferencesWorkspace.tsx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WebApp-V2/src/styles/tokens.css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WebApp-V2/src/styles/marketing.css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WebApp-V2/src/styles/workspace-dark.css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WebApp-V2/src/assets/qwen-mark.svg</w:t>
      </w:r>
    </w:p>
    <w:p>
      <w:pPr>
        <w:pStyle w:val="Heading3"/>
        <w:keepNext/>
      </w:pPr>
      <w:r>
        <w:t>14.2 前端需要修改的文件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文件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314A9A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修改目标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WebApp-V2/src/main.tsx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 xml:space="preserve">从单一 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App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 xml:space="preserve"> 入口切换为路由或轻量 pathname dispatcher，保留同源部署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WebApp-V2/src/App.tsx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 xml:space="preserve">拆成 </w:t>
            </w:r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WorkspaceApp</w:t>
            </w:r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，只负责真实工作台，不再承载官网 Hero 和产品营销内容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WebApp-V2/src/api.ts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增加 product registry、figure、polish、translation、preferences 的请求封装；统一错误和取消请求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WebApp-V2/src/types.ts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增加模块状态、任务状态、偏好、文件产物、diff 和页面级翻译类型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WebApp-V2/app/styles.css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迁移或清理旧的浅色控制台 token，避免与新 token 冲突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WebApp-V2/src/workspace.css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使用深色工作台 token，保留信息密度但统一焦点、状态和响应式规则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WebApp-V2/vite.config.ts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检查多路由 history fallback、静态资源路径和构建输出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WebApp-V2/index.html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增加主题色、字体预加载、描述和 reduced-motion 兼容的基础 meta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src/webapp/api.py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注册新增产品 registry、任务和偏好路由；继续保持同源托管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src/webapp/schemas.py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  <w:shd w:fill="F7F8FB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增加严格的请求/响应 schema，所有新增字段默认拒绝未知字段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scadia Mono" w:hAnsi="Cascadia Mono" w:eastAsia="Cascadia Mono"/>
                <w:b w:val="0"/>
                <w:i w:val="0"/>
                <w:color w:val="314A9A"/>
                <w:sz w:val="18"/>
              </w:rPr>
              <w:t>WebApp-V2/README.md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Microsoft YaHei" w:eastAsia="Microsoft YaHei"/>
                <w:b w:val="0"/>
                <w:i w:val="0"/>
                <w:color w:val="1B1E24"/>
                <w:sz w:val="18"/>
              </w:rPr>
              <w:t>补充官网、产品预览和各模块启动/能力边界说明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 产品 registry 与路由代码缺口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官网需要一个可审计的产品能力 registry，不能把组件名称散落在 JSX 中。建议先用静态版本，再切换为服务端版本：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export type ProductModuleId =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| "full-research"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| "light-research"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| "figure"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| "polish"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| "translate"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| "preferences";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export type CapabilityStatus = "available" | "partial" | "planned";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export interface ProductModule {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id: ProductModuleId;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title: string;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summary: string;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status: CapabilityStatus;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previewRoute: string;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workspaceRoute: string;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evidence: string[];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}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路由层需要把产品页和工作台隔开：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&lt;Routes&gt;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&lt;Route path="/" element={&lt;MarketingApp /&gt;} /&gt;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&lt;Route path="/products" element={&lt;ProductsPage /&gt;} /&gt;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&lt;Route path="/products/qwensci" element={&lt;QwenSciPreview /&gt;} /&gt;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&lt;Route path="/app/*" element={&lt;AppShell /&gt;} /&gt;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&lt;/Routes&gt;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如果暂时不引入路由库，至少在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main.tsx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中使用 pathname 映射，并为未知路径提供可回到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/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或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/app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的错误页；不能让营销组件和工作台组件依赖同一个大组件状态。</w:t>
      </w:r>
    </w:p>
    <w:p>
      <w:pPr>
        <w:pStyle w:val="Heading2"/>
        <w:keepNext/>
      </w:pPr>
      <w:r>
        <w:t>16. 需要新增的 API</w:t>
      </w:r>
    </w:p>
    <w:p>
      <w:pPr>
        <w:pStyle w:val="Heading3"/>
        <w:keepNext/>
      </w:pPr>
      <w:r>
        <w:t>16.1 产品能力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/api/product/modules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/api/product/capabilities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/api/product/preview/{module_id}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响应需要包含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id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status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route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evidence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last_verified_at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和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data_source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。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data_source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用于区分静态 registry、代表性项目和真实运行，禁止把静态 preview 标成 live。</w:t>
      </w:r>
    </w:p>
    <w:p>
      <w:pPr>
        <w:pStyle w:val="Heading3"/>
        <w:keepNext/>
      </w:pPr>
      <w:r>
        <w:t>16.2 研究深度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为轻度研究补充：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POST /api/runs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research_depth: "light" | "full"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until: "survey" | "idea" | "exp_design" | "author"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服务端在 run metadata 中保存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research_depth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，前端从返回的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allowed_actions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和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stages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判断能否继续，不自行推断。</w:t>
      </w:r>
    </w:p>
    <w:p>
      <w:pPr>
        <w:pStyle w:val="Heading3"/>
        <w:keepNext/>
      </w:pPr>
      <w:r>
        <w:t>16.3 科研绘图任务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POST /api/figure/jobs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 /api/figure/jobs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 /api/figure/jobs/{job_id}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POST /api/figure/jobs/{job_id}/actions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 /api/figure/jobs/{job_id}/events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 /api/figure/jobs/{job_id}/artifacts/{artifact_id}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最小请求字段：数据文件、变量映射、图表类型、统计说明、目标期刊/模板、语言、导出格式。服务端需要校验 CSV/TSV/XLSX/Parquet 等格式、记录数据 hash、运行 Python/R worker，并登记 PNG、SVG、PDF、源代码和日志。</w:t>
      </w:r>
    </w:p>
    <w:p>
      <w:pPr>
        <w:pStyle w:val="Heading3"/>
        <w:keepNext/>
      </w:pPr>
      <w:r>
        <w:t>16.4 语言润色任务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POST /api/polish/jobs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 /api/polish/jobs/{job_id}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 /api/polish/jobs/{job_id}/revisions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POST /api/polish/jobs/{job_id}/actions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 /api/polish/jobs/{job_id}/artifacts/{artifact_id}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任务需要保存原文快照、目标语言、期刊和风格、术语锁定表、段落级 diff、作者接受/拒绝记录和导出版本。模型输出不能覆盖原始文本，也不能把“建议”写成“已验证事实”。</w:t>
      </w:r>
    </w:p>
    <w:p>
      <w:pPr>
        <w:pStyle w:val="Heading3"/>
        <w:keepNext/>
      </w:pPr>
      <w:r>
        <w:t>16.5 论文翻译任务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POST /api/translation/jobs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 /api/translation/jobs/{job_id}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 /api/translation/jobs/{job_id}/pages/{page_number}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POST /api/translation/jobs/{job_id}/actions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 /api/translation/jobs/{job_id}/artifacts/{artifact_id}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任务需要保存 PDF hash、页数、文本/OCR来源、图表和公式块、页级双语结构、人工复核状态和最终 PDF/Markdown/图片产物。扫描件必须显式标为 OCR，解析失败要给出页码和重试动作。</w:t>
      </w:r>
    </w:p>
    <w:p>
      <w:pPr>
        <w:pStyle w:val="Heading3"/>
        <w:keepNext/>
      </w:pPr>
      <w:r>
        <w:t>16.6 研究偏好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/api/preferences?scope=user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PUT /api/preferences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GET /api/preferences/schema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{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"scope": "user",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"language": "zh-CN",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"disciplines": ["Materials Science"],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"target_journal": "",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"citation_style": "numeric",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"model_profile": "balanced",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"default_output": "markdown",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"network_access": "ask",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"remote_perception": false,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"privacy_mode": "controlled-materials"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}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正式接口需要认证、用户或项目归属、版本号和并发更新策略；没有身份边界前，只能作为本地未保存表单。</w:t>
      </w:r>
    </w:p>
    <w:p>
      <w:pPr>
        <w:pStyle w:val="Heading2"/>
        <w:keepNext/>
      </w:pPr>
      <w:r>
        <w:t>17. 后端任务与数据模型缺口</w:t>
      </w:r>
    </w:p>
    <w:p>
      <w:pPr>
        <w:pStyle w:val="Heading3"/>
        <w:keepNext/>
      </w:pPr>
      <w:r>
        <w:t>17.1 任务队列与事件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绘图、润色和翻译都可能超过一次 HTTP 请求的生命周期。需要统一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TaskRecord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：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class TaskRecord(TypedDict):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task_id: str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kind: Literal["figure", "polish", "translation"]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owner_id: str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status: Literal["QUEUED", "RUNNING", "SUCCEEDED", "FAILED", "CANCELLED"]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progress: int | None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input_artifacts: list[str]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output_artifacts: list[str]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error_code: str | None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created_at: str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updated_at: str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需要一个可持久化队列或 worker supervisor，支持重试、取消、幂等 key、事件追加和日志分片；前端使用 SSE 或轮询读取同一套状态。</w:t>
      </w:r>
    </w:p>
    <w:p>
      <w:pPr>
        <w:pStyle w:val="Heading3"/>
        <w:keepNext/>
      </w:pPr>
      <w:r>
        <w:t>17.2 文件处理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需要统一文件登记服务：文件大小、MIME、sha256、来源、敏感数据标记、解析器版本、保留期限和可下载权限。PDF、DOCX、XLSX、CSV、图像和源代码都要以 artifact 形式索引，不能把本地路径传给浏览器或模型。</w:t>
      </w:r>
    </w:p>
    <w:p>
      <w:pPr>
        <w:pStyle w:val="Heading3"/>
        <w:keepNext/>
      </w:pPr>
      <w:r>
        <w:t>17.3 模型调用与证据边界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需要按任务类型建立模型 profile、网络权限、提示词版本、输入快照、输出快照和人工确认节点。网络检索和远程视觉分析继续采用显式授权；润色和翻译需要保留原文与模型输出；绘图执行需要记录代码、依赖、数据 hash 和随机种子。</w:t>
      </w:r>
    </w:p>
    <w:p>
      <w:pPr>
        <w:pStyle w:val="Heading3"/>
        <w:keepNext/>
      </w:pPr>
      <w:r>
        <w:t>17.4 认证与权限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当前控制面按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run_id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工作，适合单用户受控环境。生产产品需要用户、项目、组织、角色和材料访问范围；所有新接口都要明确 owner、scope、审计事件和删除策略。</w:t>
      </w:r>
    </w:p>
    <w:p>
      <w:pPr>
        <w:pStyle w:val="Heading2"/>
        <w:keepNext/>
      </w:pPr>
      <w:r>
        <w:t>18. API 客户端与状态管理改造</w:t>
      </w:r>
    </w:p>
    <w:p>
      <w:pPr>
        <w:pStyle w:val="BodyText"/>
        <w:spacing w:after="140" w:line="324" w:lineRule="auto"/>
      </w:pPr>
      <w:r>
        <w:rPr>
          <w:rFonts w:ascii="Cascadia Mono" w:hAnsi="Cascadia Mono" w:eastAsia="Cascadia Mono"/>
          <w:b w:val="0"/>
          <w:i w:val="0"/>
          <w:color w:val="314A9A"/>
          <w:sz w:val="20"/>
        </w:rPr>
        <w:t>WebApp-V2/src/api.ts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需要从单一运行 API 扩展为按域分组的客户端，并支持 AbortController、统一错误代码和任务事件：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export const api = {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health,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product: {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modules: () =&gt; requestJson&lt;ProductModule[]&gt;("/product/modules"),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capabilities: () =&gt; requestJson&lt;CapabilityMap&gt;("/product/capabilities"),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},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research: {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runs,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run,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createRun,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action,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  events,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},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figure: { createJob, job, actions, events },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polish: { createJob, job, revisions, actions },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translation: { createJob, job, page, actions },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 xml:space="preserve">  preferences: { get, update },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};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状态层按“页面域”拆分：产品 registry、预览数据、当前运行、任务状态、偏好草稿和全局错误。工作台的现有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selected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busy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、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feedback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 xml:space="preserve"> 可先保留，但新模块需要避免把所有任务状态塞进 </w:t>
      </w:r>
      <w:r>
        <w:rPr>
          <w:rFonts w:ascii="Cascadia Mono" w:hAnsi="Cascadia Mono" w:eastAsia="Cascadia Mono"/>
          <w:b w:val="0"/>
          <w:i w:val="0"/>
          <w:color w:val="314A9A"/>
          <w:sz w:val="20"/>
        </w:rPr>
        <w:t>App.tsx</w:t>
      </w:r>
      <w:r>
        <w:rPr>
          <w:rFonts w:ascii="Aptos" w:hAnsi="Microsoft YaHei" w:eastAsia="Microsoft YaHei"/>
          <w:b w:val="0"/>
          <w:i w:val="0"/>
          <w:color w:val="1B1E24"/>
          <w:sz w:val="21"/>
        </w:rPr>
        <w:t>。</w:t>
      </w:r>
    </w:p>
    <w:p>
      <w:pPr>
        <w:pStyle w:val="Heading2"/>
        <w:keepNext/>
      </w:pPr>
      <w:r>
        <w:t>19. 测试与验收清单</w:t>
      </w:r>
    </w:p>
    <w:p>
      <w:pPr>
        <w:pStyle w:val="Heading3"/>
        <w:keepNext/>
      </w:pPr>
      <w:r>
        <w:t>19.1 视觉与交互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桌面、平板、手机三种宽度都能完整阅读 Hero、产品预览和 CTA。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深色背景、文字、链接、状态和焦点符合对比度要求。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Qwen 标志使用授权资产；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prefers-reduced-motion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下无自动旋转或闪烁。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键盘可以完成产品入口切换、预览 tab、文件上传、任务重试和返回工作台。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未连接后端时，页面明确显示静态预览，不伪造 live 状态。</w:t>
      </w:r>
    </w:p>
    <w:p>
      <w:pPr>
        <w:pStyle w:val="Heading3"/>
        <w:keepNext/>
      </w:pPr>
      <w:r>
        <w:t>19.2 现有科研能力回归</w:t>
      </w:r>
    </w:p>
    <w:p>
      <w:pPr>
        <w:pStyle w:val="ListBullet"/>
        <w:spacing w:after="60" w:line="300" w:lineRule="auto"/>
        <w:ind w:left="360" w:hanging="173"/>
      </w:pPr>
      <w:r>
        <w:rPr>
          <w:rFonts w:ascii="Cascadia Mono" w:hAnsi="Cascadia Mono" w:eastAsia="Cascadia Mono"/>
          <w:b w:val="0"/>
          <w:i w:val="0"/>
          <w:color w:val="314A9A"/>
          <w:sz w:val="19"/>
        </w:rPr>
        <w:t>GET /api/health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、学科加载、学科解析和运行列表仍可用。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创建运行、材料登记/删除、启动/恢复/取消和 SSE 刷新仍可用。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量化参数检索、来源选择、审批、计划身份确认和结果资格审查仍受服务端状态约束。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产物预览、日志分片和代表性成果不泄露本地路径。</w:t>
      </w:r>
    </w:p>
    <w:p>
      <w:pPr>
        <w:pStyle w:val="Heading3"/>
        <w:keepNext/>
      </w:pPr>
      <w:r>
        <w:t>19.3 新模块契约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figure/polish/translation 任务可创建、读取、取消、重试，并能通过事件流得到明确状态。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每个任务都记录输入 hash、模型/解析器版本、输出 artifact 和失败原因。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>偏好读写具有 user/project scope、版本和并发冲突提示。</w:t>
      </w:r>
    </w:p>
    <w:p>
      <w:pPr>
        <w:pStyle w:val="ListBullet"/>
        <w:spacing w:after="60" w:line="300" w:lineRule="auto"/>
        <w:ind w:left="360" w:hanging="173"/>
      </w:pP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模块 registry 的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status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与真实 API/测试保持一致；规划中的能力不能显示为 available。</w:t>
      </w:r>
    </w:p>
    <w:p>
      <w:pPr>
        <w:pStyle w:val="Heading3"/>
        <w:keepNext/>
      </w:pPr>
      <w:r>
        <w:t>19.4 建议命令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npm --prefix WebApp-V2 run build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pytest tests/test_webapp_api.py tests/test_webapp_parameter_search.py</w:t>
      </w:r>
    </w:p>
    <w:p>
      <w:pPr>
        <w:spacing w:after="0" w:line="264" w:lineRule="auto"/>
        <w:ind w:left="288" w:right="288"/>
        <w:shd w:fill="F3F4F7"/>
      </w:pPr>
      <w:r>
        <w:rPr>
          <w:rFonts w:ascii="Cascadia Mono" w:hAnsi="Cascadia Mono" w:eastAsia="Cascadia Mono"/>
          <w:b w:val="0"/>
          <w:i w:val="0"/>
          <w:color w:val="1B1E24"/>
          <w:sz w:val="17"/>
        </w:rPr>
        <w:t>uv run python -m pytest tests/test_webapp_api.py tests/test_webapp_parameter_search.py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新增前端页面后，再增加浏览器级检查：真实 API 成功、API 断开、任务失败、窄屏、键盘导航和 reduced motion 各至少覆盖一个场景。绘图、润色和翻译上线前分别增加文件格式、取消/重试和产物完整性测试。</w:t>
      </w:r>
    </w:p>
    <w:p>
      <w:pPr>
        <w:pStyle w:val="Heading2"/>
        <w:keepNext/>
      </w:pPr>
      <w:r>
        <w:t>20. 分阶段落地顺序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视觉基础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：新增深色 token、字体、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QwenOrbitVisual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、官网壳和路由；工作台先保持真实 API 行为。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产品 registry 与预览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：接入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representative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，建立六类入口和明确的 available/partial/planned 状态。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全流程与轻度研究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：拆分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App.tsx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，增加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research_depth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，完成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/app/full-research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 xml:space="preserve"> 和 </w:t>
      </w:r>
      <w:r>
        <w:rPr>
          <w:rFonts w:ascii="Cascadia Mono" w:hAnsi="Cascadia Mono" w:eastAsia="Cascadia Mono"/>
          <w:b w:val="0"/>
          <w:i w:val="0"/>
          <w:color w:val="314A9A"/>
          <w:sz w:val="19"/>
        </w:rPr>
        <w:t>/app/light-research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偏好与公共任务协议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：先完成 preferences schema，再抽象统一任务、artifact、事件和错误模型。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绘图、润色、翻译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：按数据/文档边界分别实现 worker、文件解析、审阅、导出和 API，不用一个泛化 endpoint 代替三套不同的证据与文件需求。</w:t>
      </w:r>
    </w:p>
    <w:p>
      <w:pPr>
        <w:pStyle w:val="ListNumber"/>
        <w:spacing w:after="60" w:line="300" w:lineRule="auto"/>
        <w:ind w:left="360" w:hanging="173"/>
      </w:pPr>
      <w:r>
        <w:rPr>
          <w:rFonts w:ascii="Aptos" w:hAnsi="Microsoft YaHei" w:eastAsia="Microsoft YaHei"/>
          <w:b/>
          <w:i w:val="0"/>
          <w:color w:val="1B1E24"/>
          <w:sz w:val="20"/>
        </w:rPr>
        <w:t>生产前置</w:t>
      </w:r>
      <w:r>
        <w:rPr>
          <w:rFonts w:ascii="Aptos" w:hAnsi="Microsoft YaHei" w:eastAsia="Microsoft YaHei"/>
          <w:b w:val="0"/>
          <w:i w:val="0"/>
          <w:color w:val="1B1E24"/>
          <w:sz w:val="20"/>
        </w:rPr>
        <w:t>：认证、项目权限、审计、队列持久化、存储策略、限额、监控和删除流程完成后再开放多人使用。</w:t>
      </w:r>
    </w:p>
    <w:p>
      <w:pPr>
        <w:pStyle w:val="BodyText"/>
        <w:spacing w:after="140" w:line="324" w:lineRule="auto"/>
      </w:pPr>
      <w:r>
        <w:rPr>
          <w:rFonts w:ascii="Aptos" w:hAnsi="Microsoft YaHei" w:eastAsia="Microsoft YaHei"/>
          <w:b w:val="0"/>
          <w:i w:val="0"/>
          <w:color w:val="1B1E24"/>
          <w:sz w:val="21"/>
        </w:rPr>
        <w:t>完成后，用户从首页可以先理解 QwenSci 的研究闭环，再通过六类入口选择合适深度；进入工作台后看到的每个状态、材料、动作和产物都能回到现有或新增的服务端契约中。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Microsoft YaHei" w:eastAsia="Microsoft YaHei"/>
        <w:b w:val="0"/>
        <w:i w:val="0"/>
        <w:color w:val="5C6470"/>
        <w:sz w:val="16"/>
      </w:rPr>
      <w:t>QwenSci × PhAI 风格产品化方案  ·  2026-10-16</w:t>
    </w:r>
    <w:r>
      <w:rPr>
        <w:rFonts w:ascii="Aptos" w:hAnsi="Microsoft YaHei" w:eastAsia="Microsoft YaHei"/>
        <w:b w:val="0"/>
        <w:i w:val="0"/>
        <w:color w:val="5C6470"/>
        <w:sz w:val="16"/>
      </w:rPr>
      <w:t>QwenSci × PhAI 风格产品化方案  ·  2026-10-16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Microsoft YaHei" w:eastAsia="Microsoft YaHei"/>
        <w:b/>
        <w:i w:val="0"/>
        <w:color w:val="5C6470"/>
        <w:sz w:val="16"/>
      </w:rPr>
      <w:t>QWENSCI  /  PRODUCTIZATION PLAN</w:t>
    </w:r>
    <w:r>
      <w:rPr>
        <w:rFonts w:ascii="Aptos" w:hAnsi="Microsoft YaHei" w:eastAsia="Microsoft YaHei"/>
        <w:b/>
        <w:i w:val="0"/>
        <w:color w:val="5C6470"/>
        <w:sz w:val="16"/>
      </w:rPr>
      <w:t>QWENSCI  /  PRODUCTIZATION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B1E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4A9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1E2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4A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color w:val="1B1E24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