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Review Multiple Literature</w:t>
      </w:r>
    </w:p>
    <w:p>
      <w:pPr>
        <w:jc w:val="center"/>
      </w:pPr>
      <w:r>
        <w:t>(Untuk menunjang kebutuhan pemenuhan konsep teoretis)</w:t>
      </w:r>
    </w:p>
    <w:p>
      <w:pPr>
        <w:spacing w:after="120"/>
      </w:pPr>
      <w:r>
        <w:t>Topik: Pengalaman mahasiswa dalam melanjutkan atau menghentikan scrolling video pendek pada waktu jeda belajar</w:t>
      </w:r>
    </w:p>
    <w:tbl>
      <w:tblPr>
        <w:tblStyle w:val="TableGrid"/>
        <w:tblW w:type="auto" w:w="0"/>
        <w:jc w:val="center"/>
        <w:tblLayout w:type="fixed"/>
        <w:tblLook w:firstColumn="1" w:firstRow="1" w:lastColumn="0" w:lastRow="0" w:noHBand="0" w:noVBand="1" w:val="04A0"/>
      </w:tblPr>
      <w:tblGrid>
        <w:gridCol w:w="2088"/>
        <w:gridCol w:w="2088"/>
        <w:gridCol w:w="2664"/>
        <w:gridCol w:w="3672"/>
        <w:gridCol w:w="4824"/>
        <w:gridCol w:w="3730"/>
      </w:tblGrid>
      <w:tr>
        <w:trPr>
          <w:tblHeader w:val="true"/>
        </w:trPr>
        <w:tc>
          <w:tcPr>
            <w:tcW w:type="dxa" w:w="2088"/>
          </w:tcPr>
          <w:p>
            <w:pPr>
              <w:jc w:val="center"/>
            </w:pPr>
            <w:r>
              <w:rPr>
                <w:b/>
              </w:rPr>
              <w:t>Nama Teori</w:t>
            </w:r>
          </w:p>
        </w:tc>
        <w:tc>
          <w:tcPr>
            <w:tcW w:type="dxa" w:w="2088"/>
          </w:tcPr>
          <w:p>
            <w:pPr>
              <w:jc w:val="center"/>
            </w:pPr>
            <w:r>
              <w:rPr>
                <w:b/>
              </w:rPr>
              <w:t>Sumber Referensi</w:t>
            </w:r>
          </w:p>
        </w:tc>
        <w:tc>
          <w:tcPr>
            <w:tcW w:type="dxa" w:w="2664"/>
          </w:tcPr>
          <w:p>
            <w:pPr>
              <w:jc w:val="center"/>
            </w:pPr>
            <w:r>
              <w:rPr>
                <w:b/>
              </w:rPr>
              <w:t>Pencetus</w:t>
            </w:r>
          </w:p>
        </w:tc>
        <w:tc>
          <w:tcPr>
            <w:tcW w:type="dxa" w:w="3672"/>
          </w:tcPr>
          <w:p>
            <w:pPr>
              <w:jc w:val="center"/>
            </w:pPr>
            <w:r>
              <w:rPr>
                <w:b/>
              </w:rPr>
              <w:t>Definisi Teori</w:t>
            </w:r>
          </w:p>
        </w:tc>
        <w:tc>
          <w:tcPr>
            <w:tcW w:type="dxa" w:w="4824"/>
          </w:tcPr>
          <w:p>
            <w:pPr>
              <w:jc w:val="center"/>
            </w:pPr>
            <w:r>
              <w:rPr>
                <w:b/>
              </w:rPr>
              <w:t>Aspek-aspek Psikologis</w:t>
            </w:r>
          </w:p>
        </w:tc>
        <w:tc>
          <w:tcPr>
            <w:tcW w:type="dxa" w:w="3730"/>
          </w:tcPr>
          <w:p>
            <w:pPr>
              <w:jc w:val="center"/>
            </w:pPr>
            <w:r>
              <w:rPr>
                <w:b/>
              </w:rPr>
              <w:t>Orientasi (Simpulkan secara mandiri)</w:t>
            </w:r>
          </w:p>
        </w:tc>
      </w:tr>
      <w:tr>
        <w:tc>
          <w:tcPr>
            <w:tcW w:type="dxa" w:w="2088"/>
            <w:vAlign w:val="top"/>
          </w:tcPr>
          <w:p>
            <w:r>
              <w:t>Model siklus keterlibatan dan penghentian penggunaan ponsel kompulsif (engagement-disengagement cycle)</w:t>
            </w:r>
          </w:p>
        </w:tc>
        <w:tc>
          <w:tcPr>
            <w:tcW w:type="dxa" w:w="2088"/>
            <w:vAlign w:val="top"/>
          </w:tcPr>
          <w:p>
            <w:r>
              <w:t>Tran et al. (2019). DOI: 10.1145/3290605.3300542</w:t>
            </w:r>
          </w:p>
        </w:tc>
        <w:tc>
          <w:tcPr>
            <w:tcW w:type="dxa" w:w="2664"/>
            <w:vAlign w:val="top"/>
          </w:tcPr>
          <w:p>
            <w:r>
              <w:t>Jonathan A. Tran, Katie S. Yang, Katie Davis, dan Alexis Hiniker (2019)</w:t>
            </w:r>
          </w:p>
        </w:tc>
        <w:tc>
          <w:tcPr>
            <w:tcW w:type="dxa" w:w="3672"/>
            <w:vAlign w:val="top"/>
          </w:tcPr>
          <w:p>
            <w:r>
              <w:t>Model deskriptif yang disusun dari wawancara, demonstrasi think-aloud, dan sketsa bersama 39 pengguna ponsel. Penggunaan ponsel kompulsif dipahami sebagai dua siklus yang berjalan bersamaan. Siklus pendek berupa pengecekan yang digerakkan kebiasaan dan dibuka serta ditutup oleh pemicu tertentu. Siklus panjang berupa refleksi pengguna tentang bermakna atau tidaknya penggunaan tersebut.</w:t>
            </w:r>
          </w:p>
        </w:tc>
        <w:tc>
          <w:tcPr>
            <w:tcW w:type="dxa" w:w="4824"/>
            <w:vAlign w:val="top"/>
          </w:tcPr>
          <w:p>
            <w:r>
              <w:t>• Pemicu memulai: waktu senggang (downtime), tugas yang membosankan, kecanggungan sosial, antisipasi, dan dorongan tanpa alasan yang jelas</w:t>
              <w:br/>
              <w:t>• Pemicu mengakhiri: tuntutan kegiatan lain, rasa tidak puas setelah menyadari waktu yang terbuang (30-minute ick factor), dan konten yang berulang</w:t>
              <w:br/>
              <w:t>• Kebermaknaan: penggunaan dinilai bermakna jika terhubung dengan kehidupan pengguna di luar momen penggunaan</w:t>
              <w:br/>
              <w:t>• Refleksi jangka panjang: penilaian berulang atas penggunaan yang kurang bermakna dapat berujung pada pengurangan penggunaan atau penghapusan aplikasi</w:t>
            </w:r>
          </w:p>
        </w:tc>
        <w:tc>
          <w:tcPr>
            <w:tcW w:type="dxa" w:w="3730"/>
            <w:vAlign w:val="top"/>
          </w:tcPr>
          <w:p>
            <w:r>
              <w:t>Berorientasi pada pengalaman pengguna dan bersifat deskriptif, bukan prediktif. Model ini paling dekat dengan fokus penelitian karena pemicu 30-minute ick factor menggambarkan saat pengguna menyadari lamanya waktu yang telah terpakai. Model ini disusun dari penggunaan ponsel secara umum pada partisipan di Amerika Serikat. Kesesuaiannya dengan scrolling video pendek pada jeda belajar mahasiswa Indonesia perlu diperiksa melalui data penelitian.</w:t>
            </w:r>
          </w:p>
        </w:tc>
      </w:tr>
      <w:tr>
        <w:tc>
          <w:tcPr>
            <w:tcW w:type="dxa" w:w="2088"/>
            <w:vAlign w:val="top"/>
          </w:tcPr>
          <w:p>
            <w:r>
              <w:t>Model sistem ganda regulasi diri dengan expected value of control (EVC)</w:t>
            </w:r>
          </w:p>
        </w:tc>
        <w:tc>
          <w:tcPr>
            <w:tcW w:type="dxa" w:w="2088"/>
            <w:vAlign w:val="top"/>
          </w:tcPr>
          <w:p>
            <w:r>
              <w:t>Lyngs et al. (2019). DOI: 10.1145/3290605.3300361</w:t>
            </w:r>
          </w:p>
        </w:tc>
        <w:tc>
          <w:tcPr>
            <w:tcW w:type="dxa" w:w="2664"/>
            <w:vAlign w:val="top"/>
          </w:tcPr>
          <w:p>
            <w:r>
              <w:t>Pembedaan dua sistem berasal dari tradisi teori sistem ganda, antara lain Norman dan Shallice (1986) serta Shea et al. (2014), sedangkan konsep EVC berasal dari Shenhav et al. (2013) (sebagaimana dikutip dalam Lyngs et al., 2019). Lyngs et al. (2019) memadukan keduanya menjadi model kontrol diri atas penggunaan perangkat digital.</w:t>
            </w:r>
          </w:p>
        </w:tc>
        <w:tc>
          <w:tcPr>
            <w:tcW w:type="dxa" w:w="3672"/>
            <w:vAlign w:val="top"/>
          </w:tcPr>
          <w:p>
            <w:r>
              <w:t>Perilaku dipandang sebagai hasil persaingan antara Sistem 1 dan Sistem 2. Sistem 1 adalah proses cepat dan tidak disadari yang menghubungkan situasi dengan kebiasaan atau respons naluriah. Sistem 2 adalah proses lambat, sadar, dan berkapasitas terbatas yang digerakkan oleh tujuan serta niat dalam memori kerja. Kekuatan kendali Sistem 2 bergantung pada perhitungan untung dan rugi dari upaya mengendalikan diri. Regulasi diri mencakup seluruh proses pengaturan perilaku, termasuk kebiasaan otomatis, sedangkan kontrol diri merujuk pada upaya sadar menahan dorongan yang bertentangan dengan tujuan.</w:t>
            </w:r>
          </w:p>
        </w:tc>
        <w:tc>
          <w:tcPr>
            <w:tcW w:type="dxa" w:w="4824"/>
            <w:vAlign w:val="top"/>
          </w:tcPr>
          <w:p>
            <w:r>
              <w:t>• Sistem 1: respons otomatis yang dipicu isyarat lingkungan dan keadaan internal, misalnya kebiasaan mengecek ponsel</w:t>
              <w:br/>
              <w:t>• Sistem 2: tujuan, niat, dan aturan yang disimpan dalam memori kerja</w:t>
              <w:br/>
              <w:t>• Penyaringan atensi: rangsangan yang menonjol atau pernah diasosiasikan dengan hal penting dapat masuk ke kesadaran secara otomatis</w:t>
              <w:br/>
              <w:t>• Keterbatasan kapasitas: tujuan awal dapat tergeser oleh informasi yang menarik dari lini masa</w:t>
              <w:br/>
              <w:t>• Fluktuasi kendali karena suasana hati negatif dan kelelahan</w:t>
              <w:br/>
              <w:t>• EVC: meningkat ketika ganjaran dari mengendalikan diri besar dan keyakinan untuk berhasil tinggi, lalu menurun ketika hasil pengendalian diri baru diperoleh lama kemudian</w:t>
            </w:r>
          </w:p>
        </w:tc>
        <w:tc>
          <w:tcPr>
            <w:tcW w:type="dxa" w:w="3730"/>
            <w:vAlign w:val="top"/>
          </w:tcPr>
          <w:p>
            <w:r>
              <w:t>Berorientasi kognitif. Model ini secara langsung membahas mengapa orang gagal bertindak sesuai tujuannya meskipun menyadari ketidaksesuaian tersebut. Pertanyaan itu sejajar dengan pertimbangan mahasiswa untuk tetap melanjutkan scrolling setelah sadar bahwa jeda sudah melebihi niat. Model ini diturunkan dari kajian teori dan telaah aplikasi kontrol diri, bukan dari penelitian terhadap pengalaman pengguna. Oleh karena itu, model ini dipakai sebagai lensa untuk menyusun pertanyaan wawancara, bukan sebagai kategori yang harus ditemukan.</w:t>
            </w:r>
          </w:p>
        </w:tc>
      </w:tr>
      <w:tr>
        <w:tc>
          <w:tcPr>
            <w:tcW w:type="dxa" w:w="2088"/>
            <w:vAlign w:val="top"/>
          </w:tcPr>
          <w:p>
            <w:r>
              <w:t>Teori kebiasaan dalam penggunaan media sosial</w:t>
            </w:r>
          </w:p>
        </w:tc>
        <w:tc>
          <w:tcPr>
            <w:tcW w:type="dxa" w:w="2088"/>
            <w:vAlign w:val="top"/>
          </w:tcPr>
          <w:p>
            <w:r>
              <w:t>Anderson dan Wood (2021). DOI: 10.1002/arcp.1063</w:t>
            </w:r>
          </w:p>
        </w:tc>
        <w:tc>
          <w:tcPr>
            <w:tcW w:type="dxa" w:w="2664"/>
            <w:vAlign w:val="top"/>
          </w:tcPr>
          <w:p>
            <w:r>
              <w:t>Ian A. Anderson dan Wendy Wood (2021), dengan landasan kajian psikologi kebiasaan Wood dan Rünger (2016) serta model kebiasaan media LaRose (2010) (sebagaimana dikutip dalam Anderson &amp; Wood, 2021)</w:t>
            </w:r>
          </w:p>
        </w:tc>
        <w:tc>
          <w:tcPr>
            <w:tcW w:type="dxa" w:w="3672"/>
            <w:vAlign w:val="top"/>
          </w:tcPr>
          <w:p>
            <w:r>
              <w:t>Kebiasaan adalah asosiasi kognitif yang dipelajari ketika seseorang mengulang respons yang mendatangkan ganjaran. Pengguna media sosial mengaitkan isyarat dalam konteks, seperti notifikasi atau ponsel, dengan respons tertentu, seperti membuka aplikasi. Setelah kebiasaan terbentuk, persepsi terhadap isyarat tersebut memunculkan respons yang biasa dilakukan secara otomatis.</w:t>
            </w:r>
          </w:p>
        </w:tc>
        <w:tc>
          <w:tcPr>
            <w:tcW w:type="dxa" w:w="4824"/>
            <w:vAlign w:val="top"/>
          </w:tcPr>
          <w:p>
            <w:r>
              <w:t>• Ganjaran: konten dan umpan balik sosial. Tampilan scroll membuat ganjaran konten tidak pasti dan tidak terduga, yang menurut penulis kemungkinan mempercepat terbentuknya kebiasaan</w:t>
              <w:br/>
              <w:t>• Friksi: hambatan dan penundaan yang mengurangi pengalaman ganjaran</w:t>
              <w:br/>
              <w:t>• Isyarat konteks: suasana hati seperti kebosanan dan ketidakpastian dalam mengerjakan tugas, fitur desain, perangkat, serta lokasi dan aktivitas</w:t>
              <w:br/>
              <w:t>• Motivasi memudar: setelah kebiasaan kuat, penggunaan cenderung berlanjut meskipun motivasi atau niat pengguna berubah</w:t>
              <w:br/>
              <w:t>• Berhenti: kebiasaan yang kuat menghambat terbentuknya niat berhenti dan pelaksanaannya. Mengubah isyarat lebih mudah dipertahankan daripada kontrol diri aktif</w:t>
            </w:r>
          </w:p>
        </w:tc>
        <w:tc>
          <w:tcPr>
            <w:tcW w:type="dxa" w:w="3730"/>
            <w:vAlign w:val="top"/>
          </w:tcPr>
          <w:p>
            <w:r>
              <w:t>Berorientasi behavioral dan kognitif karena berpijak pada pembelajaran asosiatif antara isyarat dan respons. Teori ini membantu menjelaskan mengapa jeda belajar dapat dimulai tanpa keputusan yang disadari dan mengapa niat untuk berhenti tidak selalu cukup. Bukti yang dihimpun sebagian besar berasal dari survei dan eksperimen pada pengguna Facebook, Twitter, dan Instagram. Penelitian kualitatif dapat menelusuri apakah mahasiswa menggambarkan jeda mereka sebagai tindakan otomatis atau keputusan yang disengaja.</w:t>
            </w:r>
          </w:p>
        </w:tc>
      </w:tr>
      <w:tr>
        <w:tc>
          <w:tcPr>
            <w:tcW w:type="dxa" w:w="2088"/>
            <w:vAlign w:val="top"/>
          </w:tcPr>
          <w:p>
            <w:r>
              <w:t>Teori kegagalan regulasi diri (self-regulation failure)</w:t>
            </w:r>
          </w:p>
        </w:tc>
        <w:tc>
          <w:tcPr>
            <w:tcW w:type="dxa" w:w="2088"/>
            <w:vAlign w:val="top"/>
          </w:tcPr>
          <w:p>
            <w:r>
              <w:t>Baumeister dan Heatherton (1996). DOI: 10.1207/s15327965pli0701_1</w:t>
            </w:r>
          </w:p>
        </w:tc>
        <w:tc>
          <w:tcPr>
            <w:tcW w:type="dxa" w:w="2664"/>
            <w:vAlign w:val="top"/>
          </w:tcPr>
          <w:p>
            <w:r>
              <w:t>Roy F. Baumeister dan Todd F. Heatherton (1996), berdasarkan model umpan balik regulasi diri Carver dan Scheier (1981) (sebagaimana dikutip dalam Baumeister &amp; Heatherton, 1996)</w:t>
            </w:r>
          </w:p>
        </w:tc>
        <w:tc>
          <w:tcPr>
            <w:tcW w:type="dxa" w:w="3672"/>
            <w:vAlign w:val="top"/>
          </w:tcPr>
          <w:p>
            <w:r>
              <w:t>Regulasi diri adalah upaya mengesampingkan respons yang telah digerakkan oleh kebiasaan, motivasi, atau rangsangan agar respons itu tidak berlanjut sampai hasil yang biasa. Kegagalannya terbagi menjadi dua pola. Underregulation terjadi ketika kontrol tidak dijalankan atau tidak berhasil. Misregulation terjadi ketika kontrol dijalankan dengan cara yang keliru sehingga hasil yang diinginkan tidak tercapai.</w:t>
            </w:r>
          </w:p>
        </w:tc>
        <w:tc>
          <w:tcPr>
            <w:tcW w:type="dxa" w:w="4824"/>
            <w:vAlign w:val="top"/>
          </w:tcPr>
          <w:p>
            <w:r>
              <w:t>• Tiga unsur regulasi diri: standar, pemantauan diri, dan kemampuan mengubah keadaan</w:t>
              <w:br/>
              <w:t>• Inersia: makin lama suatu respons berlangsung, makin sulit respons itu dihentikan, sehingga upaya pengendalian lebih efektif jika dilakukan sejak awal</w:t>
              <w:br/>
              <w:t>• Atensi dan transendensi: kegagalan sering diawali hilangnya kendali atensi, terutama ketika perhatian terlepas dari tujuan jangka panjang dan tenggelam dalam situasi saat ini</w:t>
              <w:br/>
              <w:t>• Keterlibatan aktif (acquiescence): orang sering ikut berperan dalam kegagalan tersebut, dan pelonggaran kontrol yang singkat dapat berlanjut menjadi kegagalan yang berkepanjangan</w:t>
              <w:br/>
              <w:t>• Kekuatan terbatas: kapasitas regulasi diri dipandang sebagai sumber daya yang dapat berkurang karena stres dan kelelahan</w:t>
            </w:r>
          </w:p>
        </w:tc>
        <w:tc>
          <w:tcPr>
            <w:tcW w:type="dxa" w:w="3730"/>
            <w:vAlign w:val="top"/>
          </w:tcPr>
          <w:p>
            <w:r>
              <w:t>Berorientasi pada proses kognitif dan motivasional regulasi diri. Konsep inersia, transendensi, dan keterlibatan aktif dapat menjadi lensa untuk menafsirkan mengapa kesadaran terhadap waktu tidak selalu diikuti penghentian. Klaim tentang kekuatan terbatas perlu diperlakukan dengan hati-hati karena Lyngs et al. (2019) mencatat bahwa sejumlah studi replikasi efek ego depletion gagal. Oleh karena itu, aspek kekuatan terbatas tidak dijadikan asumsi penelitian.</w:t>
            </w:r>
          </w:p>
        </w:tc>
      </w:tr>
    </w:tbl>
    <w:p>
      <w:r>
        <w:br w:type="page"/>
      </w:r>
    </w:p>
    <w:p>
      <w:pPr>
        <w:pStyle w:val="Heading1"/>
      </w:pPr>
      <w:r>
        <w:t>Keterkaitan antarkonsep</w:t>
      </w:r>
    </w:p>
    <w:p>
      <w:pPr>
        <w:spacing w:after="120"/>
      </w:pPr>
      <w:r>
        <w:rPr>
          <w:sz w:val="20"/>
        </w:rPr>
        <w:t>Keempat referensi tersebut tidak dipakai sebagai kategori yang dipaksakan pada data, tetapi sebagai lensa awal untuk menyusun pedoman wawancara dan menafsirkan temuan. Model Tran et al. (2019) menyediakan urutan pengalaman yang diteliti, mulai dari pemicu jeda, keterlibatan selama scrolling, sampai pemicu berhenti dan refleksi sesudahnya. Anderson dan Wood (2021) menjelaskan sisi otomatis dari urutan itu, yaitu bagaimana kebosanan atau kesulitan mengerjakan tugas dapat menjadi isyarat yang membuka aplikasi tanpa keputusan yang disadari. Lyngs et al. (2019) serta Baumeister dan Heatherton (1996) menjelaskan momen yang menjadi pusat pertanyaan penelitian, yaitu saat mahasiswa sudah menyadari bahwa waktu jeda terlampaui tetapi tetap melanjutkan. Lyngs et al. menyoroti tujuan belajar yang tergeser dari memori kerja dan rendahnya nilai yang dirasakan dari upaya mengendalikan diri, sedangkan Baumeister dan Heatherton menyoroti inersia, perhatian yang terikat pada situasi saat ini, dan keterlibatan aktif dalam melonggarkan kontrol.</w:t>
      </w:r>
    </w:p>
    <w:p>
      <w:pPr>
        <w:pStyle w:val="Heading1"/>
      </w:pPr>
      <w:r>
        <w:t>Daftar pustaka</w:t>
      </w:r>
    </w:p>
    <w:p>
      <w:pPr>
        <w:spacing w:after="80"/>
        <w:ind w:left="432" w:hanging="432"/>
      </w:pPr>
      <w:r>
        <w:rPr>
          <w:sz w:val="20"/>
        </w:rPr>
        <w:t>Anderson, I. A., &amp; Wood, W. (2021). Habits and the electronic herd: The psychology behind social media’s successes and failures. Consumer Psychology Review, 4(1), 83–99. https://doi.org/10.1002/arcp.1063</w:t>
      </w:r>
    </w:p>
    <w:p>
      <w:pPr>
        <w:spacing w:after="80"/>
        <w:ind w:left="432" w:hanging="432"/>
      </w:pPr>
      <w:r>
        <w:rPr>
          <w:sz w:val="20"/>
        </w:rPr>
        <w:t>Baumeister, R. F., &amp; Heatherton, T. F. (1996). Self-regulation failure: An overview. Psychological Inquiry, 7(1), 1–15. https://doi.org/10.1207/s15327965pli0701_1</w:t>
      </w:r>
    </w:p>
    <w:p>
      <w:pPr>
        <w:spacing w:after="80"/>
        <w:ind w:left="432" w:hanging="432"/>
      </w:pPr>
      <w:r>
        <w:rPr>
          <w:sz w:val="20"/>
        </w:rPr>
        <w:t>Lyngs, U., Lukoff, K., Slovak, P., Binns, R., Slack, A., Inzlicht, M., Van Kleek, M., &amp; Shadbolt, N. (2019). Self-control in cyberspace: Applying dual systems theory to a review of digital self-control tools. In Proceedings of the 2019 CHI Conference on Human Factors in Computing Systems (pp. 1–18). Association for Computing Machinery. https://doi.org/10.1145/3290605.3300361</w:t>
      </w:r>
    </w:p>
    <w:p>
      <w:pPr>
        <w:spacing w:after="80"/>
        <w:ind w:left="432" w:hanging="432"/>
      </w:pPr>
      <w:r>
        <w:rPr>
          <w:sz w:val="20"/>
        </w:rPr>
        <w:t>Tran, J. A., Yang, K. S., Davis, K., &amp; Hiniker, A. (2019). Modeling the engagement-disengagement cycle of compulsive phone use. In Proceedings of the 2019 CHI Conference on Human Factors in Computing Systems (pp. 1–14). Association for Computing Machinery. https://doi.org/10.1145/3290605.3300542</w:t>
      </w:r>
    </w:p>
    <w:sectPr w:rsidR="00FC693F" w:rsidRPr="0006063C" w:rsidSect="00034616">
      <w:pgSz w:w="20160" w:h="12240" w:orient="landscape"/>
      <w:pgMar w:top="605" w:right="547" w:bottom="605"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