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Review Multiple Article</w:t>
      </w:r>
    </w:p>
    <w:p>
      <w:pPr>
        <w:spacing w:after="120"/>
      </w:pPr>
      <w:r>
        <w:t>Topik: Pengalaman mahasiswa dalam melanjutkan atau menghentikan scrolling video pendek pada waktu jeda belajar</w:t>
      </w:r>
    </w:p>
    <w:tbl>
      <w:tblPr>
        <w:tblStyle w:val="TableGrid"/>
        <w:tblW w:type="auto" w:w="0"/>
        <w:jc w:val="center"/>
        <w:tblLayout w:type="fixed"/>
        <w:tblLook w:firstColumn="1" w:firstRow="1" w:lastColumn="0" w:lastRow="0" w:noHBand="0" w:noVBand="1" w:val="04A0"/>
      </w:tblPr>
      <w:tblGrid>
        <w:gridCol w:w="518"/>
        <w:gridCol w:w="3398"/>
        <w:gridCol w:w="1325"/>
        <w:gridCol w:w="1872"/>
        <w:gridCol w:w="2232"/>
        <w:gridCol w:w="2232"/>
        <w:gridCol w:w="3485"/>
        <w:gridCol w:w="4003"/>
      </w:tblGrid>
      <w:tr>
        <w:trPr>
          <w:tblHeader w:val="true"/>
        </w:trPr>
        <w:tc>
          <w:tcPr>
            <w:tcW w:type="dxa" w:w="518"/>
          </w:tcPr>
          <w:p>
            <w:pPr>
              <w:jc w:val="center"/>
            </w:pPr>
            <w:r>
              <w:rPr>
                <w:b/>
              </w:rPr>
              <w:t>No</w:t>
            </w:r>
          </w:p>
        </w:tc>
        <w:tc>
          <w:tcPr>
            <w:tcW w:type="dxa" w:w="3398"/>
          </w:tcPr>
          <w:p>
            <w:pPr>
              <w:jc w:val="center"/>
            </w:pPr>
            <w:r>
              <w:rPr>
                <w:b/>
              </w:rPr>
              <w:t>Judul &amp; Referensi Penulis</w:t>
            </w:r>
          </w:p>
        </w:tc>
        <w:tc>
          <w:tcPr>
            <w:tcW w:type="dxa" w:w="1325"/>
          </w:tcPr>
          <w:p>
            <w:pPr>
              <w:jc w:val="center"/>
            </w:pPr>
            <w:r>
              <w:rPr>
                <w:b/>
              </w:rPr>
              <w:t>Country</w:t>
            </w:r>
          </w:p>
        </w:tc>
        <w:tc>
          <w:tcPr>
            <w:tcW w:type="dxa" w:w="1872"/>
          </w:tcPr>
          <w:p>
            <w:pPr>
              <w:jc w:val="center"/>
            </w:pPr>
            <w:r>
              <w:rPr>
                <w:b/>
              </w:rPr>
              <w:t>Subject/ Sample</w:t>
            </w:r>
          </w:p>
        </w:tc>
        <w:tc>
          <w:tcPr>
            <w:tcW w:type="dxa" w:w="2232"/>
          </w:tcPr>
          <w:p>
            <w:pPr>
              <w:jc w:val="center"/>
            </w:pPr>
            <w:r>
              <w:rPr>
                <w:b/>
              </w:rPr>
              <w:t>Data Collection</w:t>
            </w:r>
          </w:p>
        </w:tc>
        <w:tc>
          <w:tcPr>
            <w:tcW w:type="dxa" w:w="2232"/>
          </w:tcPr>
          <w:p>
            <w:pPr>
              <w:jc w:val="center"/>
            </w:pPr>
            <w:r>
              <w:rPr>
                <w:b/>
              </w:rPr>
              <w:t>Data Analysis</w:t>
            </w:r>
          </w:p>
        </w:tc>
        <w:tc>
          <w:tcPr>
            <w:tcW w:type="dxa" w:w="3485"/>
          </w:tcPr>
          <w:p>
            <w:pPr>
              <w:jc w:val="center"/>
            </w:pPr>
            <w:r>
              <w:rPr>
                <w:b/>
              </w:rPr>
              <w:t>Point-point Result</w:t>
            </w:r>
          </w:p>
        </w:tc>
        <w:tc>
          <w:tcPr>
            <w:tcW w:type="dxa" w:w="4003"/>
          </w:tcPr>
          <w:p>
            <w:pPr>
              <w:jc w:val="center"/>
            </w:pPr>
            <w:r>
              <w:rPr>
                <w:b/>
              </w:rPr>
              <w:t>Reflective Note</w:t>
            </w:r>
          </w:p>
        </w:tc>
      </w:tr>
      <w:tr>
        <w:tc>
          <w:tcPr>
            <w:tcW w:type="dxa" w:w="518"/>
            <w:vAlign w:val="top"/>
          </w:tcPr>
          <w:p>
            <w:pPr>
              <w:spacing w:after="0" w:line="245" w:lineRule="auto"/>
            </w:pPr>
            <w:r>
              <w:t>1</w:t>
            </w:r>
          </w:p>
        </w:tc>
        <w:tc>
          <w:tcPr>
            <w:tcW w:type="dxa" w:w="3398"/>
            <w:vAlign w:val="top"/>
          </w:tcPr>
          <w:p>
            <w:pPr>
              <w:spacing w:after="0" w:line="245" w:lineRule="auto"/>
            </w:pPr>
            <w:r>
              <w:t>Tran et al. (2019), Modeling the Engagement-Disengagement Cycle of Compulsive Phone Use. DOI: 10.1145/3290605.3300542</w:t>
            </w:r>
          </w:p>
        </w:tc>
        <w:tc>
          <w:tcPr>
            <w:tcW w:type="dxa" w:w="1325"/>
            <w:vAlign w:val="top"/>
          </w:tcPr>
          <w:p>
            <w:pPr>
              <w:spacing w:after="0" w:line="245" w:lineRule="auto"/>
            </w:pPr>
            <w:r>
              <w:t>Amerika Serikat</w:t>
            </w:r>
          </w:p>
        </w:tc>
        <w:tc>
          <w:tcPr>
            <w:tcW w:type="dxa" w:w="1872"/>
            <w:vAlign w:val="top"/>
          </w:tcPr>
          <w:p>
            <w:pPr>
              <w:spacing w:after="0" w:line="245" w:lineRule="auto"/>
            </w:pPr>
            <w:r>
              <w:t>39 pengguna ponsel usia 14–64 tahun, termasuk 13 mahasiswa.</w:t>
            </w:r>
          </w:p>
        </w:tc>
        <w:tc>
          <w:tcPr>
            <w:tcW w:type="dxa" w:w="2232"/>
            <w:vAlign w:val="top"/>
          </w:tcPr>
          <w:p>
            <w:pPr>
              <w:spacing w:after="0" w:line="245" w:lineRule="auto"/>
            </w:pPr>
            <w:r>
              <w:t>Wawancara semiterstruktur, demonstrasi penggunaan ponsel sambil berpikir keras, dan sketsa.</w:t>
            </w:r>
          </w:p>
        </w:tc>
        <w:tc>
          <w:tcPr>
            <w:tcW w:type="dxa" w:w="2232"/>
            <w:vAlign w:val="top"/>
          </w:tcPr>
          <w:p>
            <w:pPr>
              <w:spacing w:after="0" w:line="245" w:lineRule="auto"/>
            </w:pPr>
            <w:r>
              <w:t>Analisis kualitatif atas pemicu memulai dan mengakhiri sesi penggunaan.</w:t>
            </w:r>
          </w:p>
        </w:tc>
        <w:tc>
          <w:tcPr>
            <w:tcW w:type="dxa" w:w="3485"/>
            <w:vAlign w:val="top"/>
          </w:tcPr>
          <w:p>
            <w:pPr>
              <w:spacing w:after="0" w:line="245" w:lineRule="auto"/>
            </w:pPr>
            <w:r>
              <w:t>• Penggunaan berulang dipicu oleh kebiasaan dan situasi</w:t>
              <w:br/>
              <w:t>• kesadaran waktu, tuntutan kegiatan lain, dan perubahan nilai konten dapat memicu berhenti.</w:t>
            </w:r>
          </w:p>
        </w:tc>
        <w:tc>
          <w:tcPr>
            <w:tcW w:type="dxa" w:w="4003"/>
            <w:vAlign w:val="top"/>
          </w:tcPr>
          <w:p>
            <w:pPr>
              <w:spacing w:after="0" w:line="245" w:lineRule="auto"/>
            </w:pPr>
            <w:r>
              <w:t>Kerangka siklus keterlibatan dan penghentian membantu menelusuri momen keputusan, tetapi sampelnya tidak khusus pengguna video pendek saat belajar.</w:t>
            </w:r>
          </w:p>
        </w:tc>
      </w:tr>
      <w:tr>
        <w:tc>
          <w:tcPr>
            <w:tcW w:type="dxa" w:w="518"/>
            <w:vAlign w:val="top"/>
          </w:tcPr>
          <w:p>
            <w:pPr>
              <w:spacing w:after="0" w:line="245" w:lineRule="auto"/>
            </w:pPr>
            <w:r>
              <w:t>2</w:t>
            </w:r>
          </w:p>
        </w:tc>
        <w:tc>
          <w:tcPr>
            <w:tcW w:type="dxa" w:w="3398"/>
            <w:vAlign w:val="top"/>
          </w:tcPr>
          <w:p>
            <w:pPr>
              <w:spacing w:after="0" w:line="245" w:lineRule="auto"/>
            </w:pPr>
            <w:r>
              <w:t>Rixen et al. (2023), The Loop and Reasons to Break It: Investigating Infinite Scrolling Behaviour in Social Media Applications and Reasons to Stop. DOI: 10.1145/3604275</w:t>
            </w:r>
          </w:p>
        </w:tc>
        <w:tc>
          <w:tcPr>
            <w:tcW w:type="dxa" w:w="1325"/>
            <w:vAlign w:val="top"/>
          </w:tcPr>
          <w:p>
            <w:pPr>
              <w:spacing w:after="0" w:line="245" w:lineRule="auto"/>
            </w:pPr>
            <w:r>
              <w:t>Amerika Serikat (peserta warga AS)</w:t>
            </w:r>
          </w:p>
        </w:tc>
        <w:tc>
          <w:tcPr>
            <w:tcW w:type="dxa" w:w="1872"/>
            <w:vAlign w:val="top"/>
          </w:tcPr>
          <w:p>
            <w:pPr>
              <w:spacing w:after="0" w:line="245" w:lineRule="auto"/>
            </w:pPr>
            <w:r>
              <w:t>46 pengguna media sosial.</w:t>
            </w:r>
          </w:p>
        </w:tc>
        <w:tc>
          <w:tcPr>
            <w:tcW w:type="dxa" w:w="2232"/>
            <w:vAlign w:val="top"/>
          </w:tcPr>
          <w:p>
            <w:pPr>
              <w:spacing w:after="0" w:line="245" w:lineRule="auto"/>
            </w:pPr>
            <w:r>
              <w:t>Studi lapangan satu minggu: aplikasi mencatat sesi dan menanyakan alasan berhenti saat aplikasi ditutup.</w:t>
            </w:r>
          </w:p>
        </w:tc>
        <w:tc>
          <w:tcPr>
            <w:tcW w:type="dxa" w:w="2232"/>
            <w:vAlign w:val="top"/>
          </w:tcPr>
          <w:p>
            <w:pPr>
              <w:spacing w:after="0" w:line="245" w:lineRule="auto"/>
            </w:pPr>
            <w:r>
              <w:t>Pengelompokan alasan berhenti dan analisis hubungan perilaku infinite scrolling dengan jawaban serta data sesi.</w:t>
            </w:r>
          </w:p>
        </w:tc>
        <w:tc>
          <w:tcPr>
            <w:tcW w:type="dxa" w:w="3485"/>
            <w:vAlign w:val="top"/>
          </w:tcPr>
          <w:p>
            <w:pPr>
              <w:spacing w:after="0" w:line="245" w:lineRule="auto"/>
            </w:pPr>
            <w:r>
              <w:t>• Alasan berhenti sering berasal dari konteks pengguna di luar aplikasi</w:t>
              <w:br/>
              <w:t>• peneliti membedakan lingkaran di dalam satu sesi dan kebiasaan membuka aplikasi kembali.</w:t>
            </w:r>
          </w:p>
        </w:tc>
        <w:tc>
          <w:tcPr>
            <w:tcW w:type="dxa" w:w="4003"/>
            <w:vAlign w:val="top"/>
          </w:tcPr>
          <w:p>
            <w:pPr>
              <w:spacing w:after="0" w:line="245" w:lineRule="auto"/>
            </w:pPr>
            <w:r>
              <w:t>Pertanyaan wawancara perlu mencakup tugas yang menunggu setelah jeda dan kemungkinan membuka aplikasi lagi.</w:t>
            </w:r>
          </w:p>
        </w:tc>
      </w:tr>
      <w:tr>
        <w:tc>
          <w:tcPr>
            <w:tcW w:type="dxa" w:w="518"/>
            <w:vAlign w:val="top"/>
          </w:tcPr>
          <w:p>
            <w:pPr>
              <w:spacing w:after="0" w:line="245" w:lineRule="auto"/>
            </w:pPr>
            <w:r>
              <w:t>3</w:t>
            </w:r>
          </w:p>
        </w:tc>
        <w:tc>
          <w:tcPr>
            <w:tcW w:type="dxa" w:w="3398"/>
            <w:vAlign w:val="top"/>
          </w:tcPr>
          <w:p>
            <w:pPr>
              <w:spacing w:after="0" w:line="245" w:lineRule="auto"/>
            </w:pPr>
            <w:r>
              <w:t>Hossain et al. (2024), Social Media Breaks: An Opportunity for Recovery and Procrastination. DOI: 10.1145/3637399</w:t>
            </w:r>
          </w:p>
        </w:tc>
        <w:tc>
          <w:tcPr>
            <w:tcW w:type="dxa" w:w="1325"/>
            <w:vAlign w:val="top"/>
          </w:tcPr>
          <w:p>
            <w:pPr>
              <w:spacing w:after="0" w:line="245" w:lineRule="auto"/>
            </w:pPr>
            <w:r>
              <w:t>Negara partisipan tidak dijelaskan</w:t>
            </w:r>
          </w:p>
        </w:tc>
        <w:tc>
          <w:tcPr>
            <w:tcW w:type="dxa" w:w="1872"/>
            <w:vAlign w:val="top"/>
          </w:tcPr>
          <w:p>
            <w:pPr>
              <w:spacing w:after="0" w:line="245" w:lineRule="auto"/>
            </w:pPr>
            <w:r>
              <w:t>20 mahasiswa sarjana tahun pertama atau kedua, usia 18–24 tahun.</w:t>
            </w:r>
          </w:p>
        </w:tc>
        <w:tc>
          <w:tcPr>
            <w:tcW w:type="dxa" w:w="2232"/>
            <w:vAlign w:val="top"/>
          </w:tcPr>
          <w:p>
            <w:pPr>
              <w:spacing w:after="0" w:line="245" w:lineRule="auto"/>
            </w:pPr>
            <w:r>
              <w:t>Kuesioner awal dan wawancara semiterstruktur tentang penggunaan media sosial saat belajar.</w:t>
            </w:r>
          </w:p>
        </w:tc>
        <w:tc>
          <w:tcPr>
            <w:tcW w:type="dxa" w:w="2232"/>
            <w:vAlign w:val="top"/>
          </w:tcPr>
          <w:p>
            <w:pPr>
              <w:spacing w:after="0" w:line="245" w:lineRule="auto"/>
            </w:pPr>
            <w:r>
              <w:t>Analisis tematik refleksif atas pengalaman memulai dan menjalani jeda.</w:t>
            </w:r>
          </w:p>
        </w:tc>
        <w:tc>
          <w:tcPr>
            <w:tcW w:type="dxa" w:w="3485"/>
            <w:vAlign w:val="top"/>
          </w:tcPr>
          <w:p>
            <w:pPr>
              <w:spacing w:after="0" w:line="245" w:lineRule="auto"/>
            </w:pPr>
            <w:r>
              <w:t>• Jeda dapat dirasakan sebagai pemulihan atau prokrastinasi</w:t>
              <w:br/>
              <w:t>• motivasi dan pemicu yang terencana maupun otomatis membantu membedakan keduanya.</w:t>
            </w:r>
          </w:p>
        </w:tc>
        <w:tc>
          <w:tcPr>
            <w:tcW w:type="dxa" w:w="4003"/>
            <w:vAlign w:val="top"/>
          </w:tcPr>
          <w:p>
            <w:pPr>
              <w:spacing w:after="0" w:line="245" w:lineRule="auto"/>
            </w:pPr>
            <w:r>
              <w:t>Sumber paling langsung untuk membedakan jeda yang disengaja dari penggunaan yang berlarut. Perlu ditanya bagaimana partisipan sendiri menilai jedanya.</w:t>
            </w:r>
          </w:p>
        </w:tc>
      </w:tr>
      <w:tr>
        <w:tc>
          <w:tcPr>
            <w:tcW w:type="dxa" w:w="518"/>
            <w:vAlign w:val="top"/>
          </w:tcPr>
          <w:p>
            <w:pPr>
              <w:spacing w:after="0" w:line="245" w:lineRule="auto"/>
            </w:pPr>
            <w:r>
              <w:t>4</w:t>
            </w:r>
          </w:p>
        </w:tc>
        <w:tc>
          <w:tcPr>
            <w:tcW w:type="dxa" w:w="3398"/>
            <w:vAlign w:val="top"/>
          </w:tcPr>
          <w:p>
            <w:pPr>
              <w:spacing w:after="0" w:line="245" w:lineRule="auto"/>
            </w:pPr>
            <w:r>
              <w:t>Xie et al. (2023), The Effect of Short-Form Video Addiction on Undergraduates’ Academic Procrastination: A Moderated Mediation Model. DOI: 10.3389/fpsyg.2023.1298361</w:t>
            </w:r>
          </w:p>
        </w:tc>
        <w:tc>
          <w:tcPr>
            <w:tcW w:type="dxa" w:w="1325"/>
            <w:vAlign w:val="top"/>
          </w:tcPr>
          <w:p>
            <w:pPr>
              <w:spacing w:after="0" w:line="245" w:lineRule="auto"/>
            </w:pPr>
            <w:r>
              <w:t>Tiongkok</w:t>
            </w:r>
          </w:p>
        </w:tc>
        <w:tc>
          <w:tcPr>
            <w:tcW w:type="dxa" w:w="1872"/>
            <w:vAlign w:val="top"/>
          </w:tcPr>
          <w:p>
            <w:pPr>
              <w:spacing w:after="0" w:line="245" w:lineRule="auto"/>
            </w:pPr>
            <w:r>
              <w:t>1.047 mahasiswa sarjana.</w:t>
            </w:r>
          </w:p>
        </w:tc>
        <w:tc>
          <w:tcPr>
            <w:tcW w:type="dxa" w:w="2232"/>
            <w:vAlign w:val="top"/>
          </w:tcPr>
          <w:p>
            <w:pPr>
              <w:spacing w:after="0" w:line="245" w:lineRule="auto"/>
            </w:pPr>
            <w:r>
              <w:t>Survei dengan skala penggunaan video pendek, kontrol perhatian, kecenderungan bosan, dan prokrastinasi akademik.</w:t>
            </w:r>
          </w:p>
        </w:tc>
        <w:tc>
          <w:tcPr>
            <w:tcW w:type="dxa" w:w="2232"/>
            <w:vAlign w:val="top"/>
          </w:tcPr>
          <w:p>
            <w:pPr>
              <w:spacing w:after="0" w:line="245" w:lineRule="auto"/>
            </w:pPr>
            <w:r>
              <w:t>Uji mediasi dan moderasi dengan PROCESS/SPSS.</w:t>
            </w:r>
          </w:p>
        </w:tc>
        <w:tc>
          <w:tcPr>
            <w:tcW w:type="dxa" w:w="3485"/>
            <w:vAlign w:val="top"/>
          </w:tcPr>
          <w:p>
            <w:pPr>
              <w:spacing w:after="0" w:line="245" w:lineRule="auto"/>
            </w:pPr>
            <w:r>
              <w:t>• Kecenderungan adiksi video pendek berhubungan dengan prokrastinasi</w:t>
              <w:br/>
              <w:t>• kontrol perhatian dan kebosanan terlibat dalam hubungan tersebut.</w:t>
            </w:r>
          </w:p>
        </w:tc>
        <w:tc>
          <w:tcPr>
            <w:tcW w:type="dxa" w:w="4003"/>
            <w:vAlign w:val="top"/>
          </w:tcPr>
          <w:p>
            <w:pPr>
              <w:spacing w:after="0" w:line="245" w:lineRule="auto"/>
            </w:pPr>
            <w:r>
              <w:t>Kebosanan dan kesulitan memindahkan perhatian layak dijajaki, tanpa mengasumsikan partisipan mengalami adiksi.</w:t>
            </w:r>
          </w:p>
        </w:tc>
      </w:tr>
      <w:tr>
        <w:tc>
          <w:tcPr>
            <w:tcW w:type="dxa" w:w="518"/>
            <w:vAlign w:val="top"/>
          </w:tcPr>
          <w:p>
            <w:pPr>
              <w:spacing w:after="0" w:line="245" w:lineRule="auto"/>
            </w:pPr>
            <w:r>
              <w:t>5</w:t>
            </w:r>
          </w:p>
        </w:tc>
        <w:tc>
          <w:tcPr>
            <w:tcW w:type="dxa" w:w="3398"/>
            <w:vAlign w:val="top"/>
          </w:tcPr>
          <w:p>
            <w:pPr>
              <w:spacing w:after="0" w:line="245" w:lineRule="auto"/>
            </w:pPr>
            <w:r>
              <w:t>Liu dan Li (2024), A One-Year Longitudinal Study on the Mediating Role of Problematic TikTok Use and Gender Differences in the Association Between Academic Stress and Academic Procrastination. DOI: 10.1057/s41599-024-03654-6</w:t>
            </w:r>
          </w:p>
        </w:tc>
        <w:tc>
          <w:tcPr>
            <w:tcW w:type="dxa" w:w="1325"/>
            <w:vAlign w:val="top"/>
          </w:tcPr>
          <w:p>
            <w:pPr>
              <w:spacing w:after="0" w:line="245" w:lineRule="auto"/>
            </w:pPr>
            <w:r>
              <w:t>Tiongkok</w:t>
            </w:r>
          </w:p>
        </w:tc>
        <w:tc>
          <w:tcPr>
            <w:tcW w:type="dxa" w:w="1872"/>
            <w:vAlign w:val="top"/>
          </w:tcPr>
          <w:p>
            <w:pPr>
              <w:spacing w:after="0" w:line="245" w:lineRule="auto"/>
            </w:pPr>
            <w:r>
              <w:t>590 mahasiswa usia 17–24 tahun.</w:t>
            </w:r>
          </w:p>
        </w:tc>
        <w:tc>
          <w:tcPr>
            <w:tcW w:type="dxa" w:w="2232"/>
            <w:vAlign w:val="top"/>
          </w:tcPr>
          <w:p>
            <w:pPr>
              <w:spacing w:after="0" w:line="245" w:lineRule="auto"/>
            </w:pPr>
            <w:r>
              <w:t>Kuesioner dalam tiga gelombang selama satu tahun: stres dan prokrastinasi awal, penggunaan TikTok enam bulan kemudian, prokrastinasi pada gelombang akhir.</w:t>
            </w:r>
          </w:p>
        </w:tc>
        <w:tc>
          <w:tcPr>
            <w:tcW w:type="dxa" w:w="2232"/>
            <w:vAlign w:val="top"/>
          </w:tcPr>
          <w:p>
            <w:pPr>
              <w:spacing w:after="0" w:line="245" w:lineRule="auto"/>
            </w:pPr>
            <w:r>
              <w:t>Pemodelan mediasi longitudinal dan perbandingan berdasarkan gender dengan kovariat.</w:t>
            </w:r>
          </w:p>
        </w:tc>
        <w:tc>
          <w:tcPr>
            <w:tcW w:type="dxa" w:w="3485"/>
            <w:vAlign w:val="top"/>
          </w:tcPr>
          <w:p>
            <w:pPr>
              <w:spacing w:after="0" w:line="245" w:lineRule="auto"/>
            </w:pPr>
            <w:r>
              <w:t>• Penggunaan TikTok bermasalah menjadi penghubung longitudinal antara stres akademik dan prokrastinasi, dengan perbedaan menurut gender.</w:t>
            </w:r>
          </w:p>
        </w:tc>
        <w:tc>
          <w:tcPr>
            <w:tcW w:type="dxa" w:w="4003"/>
            <w:vAlign w:val="top"/>
          </w:tcPr>
          <w:p>
            <w:pPr>
              <w:spacing w:after="0" w:line="245" w:lineRule="auto"/>
            </w:pPr>
            <w:r>
              <w:t>Tekanan belajar dapat mendahului penggunaan TikTok; pertanyaan penelitian tidak boleh menganggap video pendek selalu penyebab awal.</w:t>
            </w:r>
          </w:p>
        </w:tc>
      </w:tr>
      <w:tr>
        <w:tc>
          <w:tcPr>
            <w:tcW w:type="dxa" w:w="518"/>
            <w:vAlign w:val="top"/>
          </w:tcPr>
          <w:p>
            <w:pPr>
              <w:spacing w:after="0" w:line="245" w:lineRule="auto"/>
            </w:pPr>
            <w:r>
              <w:t>6</w:t>
            </w:r>
          </w:p>
        </w:tc>
        <w:tc>
          <w:tcPr>
            <w:tcW w:type="dxa" w:w="3398"/>
            <w:vAlign w:val="top"/>
          </w:tcPr>
          <w:p>
            <w:pPr>
              <w:spacing w:after="0" w:line="245" w:lineRule="auto"/>
            </w:pPr>
            <w:r>
              <w:t>Liu et al. (2025), Temporal Focus, Dual-System Self-Control, and College Students’ Short-Video Addiction: A Variable-Centered and Person-Centered Approach. DOI: 10.3389/fpsyg.2025.1538948</w:t>
            </w:r>
          </w:p>
        </w:tc>
        <w:tc>
          <w:tcPr>
            <w:tcW w:type="dxa" w:w="1325"/>
            <w:vAlign w:val="top"/>
          </w:tcPr>
          <w:p>
            <w:pPr>
              <w:spacing w:after="0" w:line="245" w:lineRule="auto"/>
            </w:pPr>
            <w:r>
              <w:t>Tiongkok</w:t>
            </w:r>
          </w:p>
        </w:tc>
        <w:tc>
          <w:tcPr>
            <w:tcW w:type="dxa" w:w="1872"/>
            <w:vAlign w:val="top"/>
          </w:tcPr>
          <w:p>
            <w:pPr>
              <w:spacing w:after="0" w:line="245" w:lineRule="auto"/>
            </w:pPr>
            <w:r>
              <w:t>2.239 mahasiswa dari delapan universitas.</w:t>
            </w:r>
          </w:p>
        </w:tc>
        <w:tc>
          <w:tcPr>
            <w:tcW w:type="dxa" w:w="2232"/>
            <w:vAlign w:val="top"/>
          </w:tcPr>
          <w:p>
            <w:pPr>
              <w:spacing w:after="0" w:line="245" w:lineRule="auto"/>
            </w:pPr>
            <w:r>
              <w:t>Survei skala fokus waktu, pengendalian diri, dan kecenderungan adiksi video pendek.</w:t>
            </w:r>
          </w:p>
        </w:tc>
        <w:tc>
          <w:tcPr>
            <w:tcW w:type="dxa" w:w="2232"/>
            <w:vAlign w:val="top"/>
          </w:tcPr>
          <w:p>
            <w:pPr>
              <w:spacing w:after="0" w:line="245" w:lineRule="auto"/>
            </w:pPr>
            <w:r>
              <w:t>Analisis hubungan antarvariabel, profil laten, dan regresi logistik.</w:t>
            </w:r>
          </w:p>
        </w:tc>
        <w:tc>
          <w:tcPr>
            <w:tcW w:type="dxa" w:w="3485"/>
            <w:vAlign w:val="top"/>
          </w:tcPr>
          <w:p>
            <w:pPr>
              <w:spacing w:after="0" w:line="245" w:lineRule="auto"/>
            </w:pPr>
            <w:r>
              <w:t>• Fokus pada masa lalu dan kini berkaitan positif dengan kecenderungan adiksi, fokus masa depan berkaitan negatif</w:t>
              <w:br/>
              <w:t>• ditemukan kelompok profil risiko yang berbeda.</w:t>
            </w:r>
          </w:p>
        </w:tc>
        <w:tc>
          <w:tcPr>
            <w:tcW w:type="dxa" w:w="4003"/>
            <w:vAlign w:val="top"/>
          </w:tcPr>
          <w:p>
            <w:pPr>
              <w:spacing w:after="0" w:line="245" w:lineRule="auto"/>
            </w:pPr>
            <w:r>
              <w:t>Pertimbangan tentang waktu sekarang dan tugas mendatang dapat ditanyakan sebagai pengalaman, bukan dipaksakan menjadi kategori partisipan.</w:t>
            </w:r>
          </w:p>
        </w:tc>
      </w:tr>
      <w:tr>
        <w:tc>
          <w:tcPr>
            <w:tcW w:type="dxa" w:w="518"/>
            <w:vAlign w:val="top"/>
          </w:tcPr>
          <w:p>
            <w:pPr>
              <w:spacing w:after="0" w:line="245" w:lineRule="auto"/>
            </w:pPr>
            <w:r>
              <w:t>7</w:t>
            </w:r>
          </w:p>
        </w:tc>
        <w:tc>
          <w:tcPr>
            <w:tcW w:type="dxa" w:w="3398"/>
            <w:vAlign w:val="top"/>
          </w:tcPr>
          <w:p>
            <w:pPr>
              <w:spacing w:after="0" w:line="245" w:lineRule="auto"/>
            </w:pPr>
            <w:r>
              <w:t>Hamilton dan Stachowski (2025), Should I Study or Take a Break? Students’ Use and Perceptions of Study Breaks. DOI: 10.14434/josotl.v25i2.36596</w:t>
            </w:r>
          </w:p>
        </w:tc>
        <w:tc>
          <w:tcPr>
            <w:tcW w:type="dxa" w:w="1325"/>
            <w:vAlign w:val="top"/>
          </w:tcPr>
          <w:p>
            <w:pPr>
              <w:spacing w:after="0" w:line="245" w:lineRule="auto"/>
            </w:pPr>
            <w:r>
              <w:t>Amerika Serikat</w:t>
            </w:r>
          </w:p>
        </w:tc>
        <w:tc>
          <w:tcPr>
            <w:tcW w:type="dxa" w:w="1872"/>
            <w:vAlign w:val="top"/>
          </w:tcPr>
          <w:p>
            <w:pPr>
              <w:spacing w:after="0" w:line="245" w:lineRule="auto"/>
            </w:pPr>
            <w:r>
              <w:t>116 mahasiswa sarjana.</w:t>
            </w:r>
          </w:p>
        </w:tc>
        <w:tc>
          <w:tcPr>
            <w:tcW w:type="dxa" w:w="2232"/>
            <w:vAlign w:val="top"/>
          </w:tcPr>
          <w:p>
            <w:pPr>
              <w:spacing w:after="0" w:line="245" w:lineRule="auto"/>
            </w:pPr>
            <w:r>
              <w:t>Kuesioner mengenai pola jeda belajar, aktivitas jeda, persepsi pemulihan, dan jawaban terbuka.</w:t>
            </w:r>
          </w:p>
        </w:tc>
        <w:tc>
          <w:tcPr>
            <w:tcW w:type="dxa" w:w="2232"/>
            <w:vAlign w:val="top"/>
          </w:tcPr>
          <w:p>
            <w:pPr>
              <w:spacing w:after="0" w:line="245" w:lineRule="auto"/>
            </w:pPr>
            <w:r>
              <w:t>Statistik deskriptif dan hubungan antarvariabel; pengodean jawaban terbuka oleh penulis.</w:t>
            </w:r>
          </w:p>
        </w:tc>
        <w:tc>
          <w:tcPr>
            <w:tcW w:type="dxa" w:w="3485"/>
            <w:vAlign w:val="top"/>
          </w:tcPr>
          <w:p>
            <w:pPr>
              <w:spacing w:after="0" w:line="245" w:lineRule="auto"/>
            </w:pPr>
            <w:r>
              <w:t>• Mahasiswa memakai beragam aktivitas jeda, termasuk media sosial</w:t>
              <w:br/>
              <w:t>• mereka mengenali manfaat jeda tetapi juga kesulitan dalam proses kembali belajar.</w:t>
            </w:r>
          </w:p>
        </w:tc>
        <w:tc>
          <w:tcPr>
            <w:tcW w:type="dxa" w:w="4003"/>
            <w:vAlign w:val="top"/>
          </w:tcPr>
          <w:p>
            <w:pPr>
              <w:spacing w:after="0" w:line="245" w:lineRule="auto"/>
            </w:pPr>
            <w:r>
              <w:t>Bedakan niat awal mengambil jeda, aktivitas yang dipilih, dan pengalaman setelah jeda selesai.</w:t>
            </w:r>
          </w:p>
        </w:tc>
      </w:tr>
      <w:tr>
        <w:tc>
          <w:tcPr>
            <w:tcW w:type="dxa" w:w="518"/>
            <w:vAlign w:val="top"/>
          </w:tcPr>
          <w:p>
            <w:pPr>
              <w:spacing w:after="0" w:line="245" w:lineRule="auto"/>
            </w:pPr>
            <w:r>
              <w:t>8</w:t>
            </w:r>
          </w:p>
        </w:tc>
        <w:tc>
          <w:tcPr>
            <w:tcW w:type="dxa" w:w="3398"/>
            <w:vAlign w:val="top"/>
          </w:tcPr>
          <w:p>
            <w:pPr>
              <w:spacing w:after="0" w:line="245" w:lineRule="auto"/>
            </w:pPr>
            <w:r>
              <w:t>Tang dan He (2025), Impact of Social Media Addiction on College Students’ Academic Procrastination: A Chain Mediated Effect of Lack of Self-Control and Fear of Missing Out. DOI: 10.3389/fpsyg.2025.1668567</w:t>
            </w:r>
          </w:p>
        </w:tc>
        <w:tc>
          <w:tcPr>
            <w:tcW w:type="dxa" w:w="1325"/>
            <w:vAlign w:val="top"/>
          </w:tcPr>
          <w:p>
            <w:pPr>
              <w:spacing w:after="0" w:line="245" w:lineRule="auto"/>
            </w:pPr>
            <w:r>
              <w:t>Tiongkok</w:t>
            </w:r>
          </w:p>
        </w:tc>
        <w:tc>
          <w:tcPr>
            <w:tcW w:type="dxa" w:w="1872"/>
            <w:vAlign w:val="top"/>
          </w:tcPr>
          <w:p>
            <w:pPr>
              <w:spacing w:after="0" w:line="245" w:lineRule="auto"/>
            </w:pPr>
            <w:r>
              <w:t>825 mahasiswa dari 30 wilayah administratif.</w:t>
            </w:r>
          </w:p>
        </w:tc>
        <w:tc>
          <w:tcPr>
            <w:tcW w:type="dxa" w:w="2232"/>
            <w:vAlign w:val="top"/>
          </w:tcPr>
          <w:p>
            <w:pPr>
              <w:spacing w:after="0" w:line="245" w:lineRule="auto"/>
            </w:pPr>
            <w:r>
              <w:t>Survei daring dengan empat skala: penggunaan media sosial bermasalah, prokrastinasi, kurangnya kontrol diri, dan fear of missing out (FoMO).</w:t>
            </w:r>
          </w:p>
        </w:tc>
        <w:tc>
          <w:tcPr>
            <w:tcW w:type="dxa" w:w="2232"/>
            <w:vAlign w:val="top"/>
          </w:tcPr>
          <w:p>
            <w:pPr>
              <w:spacing w:after="0" w:line="245" w:lineRule="auto"/>
            </w:pPr>
            <w:r>
              <w:t>Regresi dan uji mediasi dengan bootstrap.</w:t>
            </w:r>
          </w:p>
        </w:tc>
        <w:tc>
          <w:tcPr>
            <w:tcW w:type="dxa" w:w="3485"/>
            <w:vAlign w:val="top"/>
          </w:tcPr>
          <w:p>
            <w:pPr>
              <w:spacing w:after="0" w:line="245" w:lineRule="auto"/>
            </w:pPr>
            <w:r>
              <w:t>• Penggunaan media sosial bermasalah berhubungan dengan prokrastinasi</w:t>
              <w:br/>
              <w:t>• kurangnya kontrol diri dan FoMO menjadi jalur mediasi yang diuji.</w:t>
            </w:r>
          </w:p>
        </w:tc>
        <w:tc>
          <w:tcPr>
            <w:tcW w:type="dxa" w:w="4003"/>
            <w:vAlign w:val="top"/>
          </w:tcPr>
          <w:p>
            <w:pPr>
              <w:spacing w:after="0" w:line="245" w:lineRule="auto"/>
            </w:pPr>
            <w:r>
              <w:t>FoMO dapat menjadi pertanyaan terbuka tentang alasan melanjutkan sesi, tetapi desain potong lintang tidak menetapkan urutan sebab-akibat.</w:t>
            </w:r>
          </w:p>
        </w:tc>
      </w:tr>
      <w:tr>
        <w:tc>
          <w:tcPr>
            <w:tcW w:type="dxa" w:w="518"/>
            <w:vAlign w:val="top"/>
          </w:tcPr>
          <w:p>
            <w:pPr>
              <w:spacing w:after="0" w:line="245" w:lineRule="auto"/>
            </w:pPr>
            <w:r>
              <w:t>9</w:t>
            </w:r>
          </w:p>
        </w:tc>
        <w:tc>
          <w:tcPr>
            <w:tcW w:type="dxa" w:w="3398"/>
            <w:vAlign w:val="top"/>
          </w:tcPr>
          <w:p>
            <w:pPr>
              <w:spacing w:after="0" w:line="245" w:lineRule="auto"/>
            </w:pPr>
            <w:r>
              <w:t>Nawaz et al. (2026), Examining Effectual, Ineffectual and Problematic Smartphone Use: A Qualitative Exploration of Dependence and Management Behaviours. DOI: 10.1016/j.ssaho.2026.102569</w:t>
            </w:r>
          </w:p>
        </w:tc>
        <w:tc>
          <w:tcPr>
            <w:tcW w:type="dxa" w:w="1325"/>
            <w:vAlign w:val="top"/>
          </w:tcPr>
          <w:p>
            <w:pPr>
              <w:spacing w:after="0" w:line="245" w:lineRule="auto"/>
            </w:pPr>
            <w:r>
              <w:t>Negara partisipan tidak dijelaskan</w:t>
            </w:r>
          </w:p>
        </w:tc>
        <w:tc>
          <w:tcPr>
            <w:tcW w:type="dxa" w:w="1872"/>
            <w:vAlign w:val="top"/>
          </w:tcPr>
          <w:p>
            <w:pPr>
              <w:spacing w:after="0" w:line="245" w:lineRule="auto"/>
            </w:pPr>
            <w:r>
              <w:t>18 orang dewasa, termasuk mahasiswa, pekerja, dan pengasuh.</w:t>
            </w:r>
          </w:p>
        </w:tc>
        <w:tc>
          <w:tcPr>
            <w:tcW w:type="dxa" w:w="2232"/>
            <w:vAlign w:val="top"/>
          </w:tcPr>
          <w:p>
            <w:pPr>
              <w:spacing w:after="0" w:line="245" w:lineRule="auto"/>
            </w:pPr>
            <w:r>
              <w:t>Wawancara semiterstruktur dengan pemilihan partisipan purposif dan kemudahan.</w:t>
            </w:r>
          </w:p>
        </w:tc>
        <w:tc>
          <w:tcPr>
            <w:tcW w:type="dxa" w:w="2232"/>
            <w:vAlign w:val="top"/>
          </w:tcPr>
          <w:p>
            <w:pPr>
              <w:spacing w:after="0" w:line="245" w:lineRule="auto"/>
            </w:pPr>
            <w:r>
              <w:t>Analisis tematik refleksif.</w:t>
            </w:r>
          </w:p>
        </w:tc>
        <w:tc>
          <w:tcPr>
            <w:tcW w:type="dxa" w:w="3485"/>
            <w:vAlign w:val="top"/>
          </w:tcPr>
          <w:p>
            <w:pPr>
              <w:spacing w:after="0" w:line="245" w:lineRule="auto"/>
            </w:pPr>
            <w:r>
              <w:t>• Manfaat ponsel dan kesulitan mengendalikan penggunaan dapat muncul pada orang yang sama</w:t>
              <w:br/>
              <w:t>• mindless scrolling dan penundaan muncul sebagai penggunaan yang tidak efektif.</w:t>
            </w:r>
          </w:p>
        </w:tc>
        <w:tc>
          <w:tcPr>
            <w:tcW w:type="dxa" w:w="4003"/>
            <w:vAlign w:val="top"/>
          </w:tcPr>
          <w:p>
            <w:pPr>
              <w:spacing w:after="0" w:line="245" w:lineRule="auto"/>
            </w:pPr>
            <w:r>
              <w:t>Hindari label “bermasalah” hanya dari lamanya penggunaan; telusuri fungsi ponsel dalam situasi tertentu.</w:t>
            </w:r>
          </w:p>
        </w:tc>
      </w:tr>
      <w:tr>
        <w:tc>
          <w:tcPr>
            <w:tcW w:type="dxa" w:w="518"/>
            <w:vAlign w:val="top"/>
          </w:tcPr>
          <w:p>
            <w:pPr>
              <w:spacing w:after="0" w:line="245" w:lineRule="auto"/>
            </w:pPr>
            <w:r>
              <w:t>10</w:t>
            </w:r>
          </w:p>
        </w:tc>
        <w:tc>
          <w:tcPr>
            <w:tcW w:type="dxa" w:w="3398"/>
            <w:vAlign w:val="top"/>
          </w:tcPr>
          <w:p>
            <w:pPr>
              <w:spacing w:after="0" w:line="245" w:lineRule="auto"/>
            </w:pPr>
            <w:r>
              <w:t>Kim et al. (2026), Seeing Your Mindless Face: How Viewing One’s Live Self Interrupts Mindless Short-Form Video Scrolling. DOI: 10.1145/3772363.3798907</w:t>
            </w:r>
          </w:p>
        </w:tc>
        <w:tc>
          <w:tcPr>
            <w:tcW w:type="dxa" w:w="1325"/>
            <w:vAlign w:val="top"/>
          </w:tcPr>
          <w:p>
            <w:pPr>
              <w:spacing w:after="0" w:line="245" w:lineRule="auto"/>
            </w:pPr>
            <w:r>
              <w:t>Negara partisipan tidak dijelaskan</w:t>
            </w:r>
          </w:p>
        </w:tc>
        <w:tc>
          <w:tcPr>
            <w:tcW w:type="dxa" w:w="1872"/>
            <w:vAlign w:val="top"/>
          </w:tcPr>
          <w:p>
            <w:pPr>
              <w:spacing w:after="0" w:line="245" w:lineRule="auto"/>
            </w:pPr>
            <w:r>
              <w:t>84 peserta eksperimen; 20 di antaranya diwawancarai.</w:t>
            </w:r>
          </w:p>
        </w:tc>
        <w:tc>
          <w:tcPr>
            <w:tcW w:type="dxa" w:w="2232"/>
            <w:vAlign w:val="top"/>
          </w:tcPr>
          <w:p>
            <w:pPr>
              <w:spacing w:after="0" w:line="245" w:lineRule="auto"/>
            </w:pPr>
            <w:r>
              <w:t>Eksperimen laboratorium menonton YouTube Shorts dengan empat petunjuk visual yang muncul berkala; wawancara tindak lanjut.</w:t>
            </w:r>
          </w:p>
        </w:tc>
        <w:tc>
          <w:tcPr>
            <w:tcW w:type="dxa" w:w="2232"/>
            <w:vAlign w:val="top"/>
          </w:tcPr>
          <w:p>
            <w:pPr>
              <w:spacing w:after="0" w:line="245" w:lineRule="auto"/>
            </w:pPr>
            <w:r>
              <w:t>Perbandingan jumlah video yang ditonton dan analisis tematik induktif wawancara.</w:t>
            </w:r>
          </w:p>
        </w:tc>
        <w:tc>
          <w:tcPr>
            <w:tcW w:type="dxa" w:w="3485"/>
            <w:vAlign w:val="top"/>
          </w:tcPr>
          <w:p>
            <w:pPr>
              <w:spacing w:after="0" w:line="245" w:lineRule="auto"/>
            </w:pPr>
            <w:r>
              <w:t>• Petunjuk yang mengembalikan perhatian pada diri dapat memutus sesi menonton tanpa tujuan</w:t>
              <w:br/>
              <w:t>• layar hitam justru disukai sebagian peserta karena gangguannya lebih halus.</w:t>
            </w:r>
          </w:p>
        </w:tc>
        <w:tc>
          <w:tcPr>
            <w:tcW w:type="dxa" w:w="4003"/>
            <w:vAlign w:val="top"/>
          </w:tcPr>
          <w:p>
            <w:pPr>
              <w:spacing w:after="0" w:line="245" w:lineRule="auto"/>
            </w:pPr>
            <w:r>
              <w:t>Kesadaran yang muncul saat scrolling bisa dipicu antarmuka, tetapi pengalaman jeda belajar sehari-hari mungkin berbeda dari laboratorium.</w:t>
            </w:r>
          </w:p>
        </w:tc>
      </w:tr>
      <w:tr>
        <w:tc>
          <w:tcPr>
            <w:tcW w:type="dxa" w:w="518"/>
            <w:vAlign w:val="top"/>
          </w:tcPr>
          <w:p>
            <w:pPr>
              <w:spacing w:after="0" w:line="245" w:lineRule="auto"/>
            </w:pPr>
            <w:r>
              <w:t>11</w:t>
            </w:r>
          </w:p>
        </w:tc>
        <w:tc>
          <w:tcPr>
            <w:tcW w:type="dxa" w:w="3398"/>
            <w:vAlign w:val="top"/>
          </w:tcPr>
          <w:p>
            <w:pPr>
              <w:spacing w:after="0" w:line="245" w:lineRule="auto"/>
            </w:pPr>
            <w:r>
              <w:t>Chiossi et al. (2023), Short-Form Videos Degrade Our Capacity to Retain Intentions: Effect of Context Switching on Prospective Memory. DOI: 10.1145/3544548.3580778</w:t>
            </w:r>
          </w:p>
        </w:tc>
        <w:tc>
          <w:tcPr>
            <w:tcW w:type="dxa" w:w="1325"/>
            <w:vAlign w:val="top"/>
          </w:tcPr>
          <w:p>
            <w:pPr>
              <w:spacing w:after="0" w:line="245" w:lineRule="auto"/>
            </w:pPr>
            <w:r>
              <w:t>Jerman (rekrutmen universitas)</w:t>
            </w:r>
          </w:p>
        </w:tc>
        <w:tc>
          <w:tcPr>
            <w:tcW w:type="dxa" w:w="1872"/>
            <w:vAlign w:val="top"/>
          </w:tcPr>
          <w:p>
            <w:pPr>
              <w:spacing w:after="0" w:line="245" w:lineRule="auto"/>
            </w:pPr>
            <w:r>
              <w:t>60 peserta berusia 19–34 tahun.</w:t>
            </w:r>
          </w:p>
        </w:tc>
        <w:tc>
          <w:tcPr>
            <w:tcW w:type="dxa" w:w="2232"/>
            <w:vAlign w:val="top"/>
          </w:tcPr>
          <w:p>
            <w:pPr>
              <w:spacing w:after="0" w:line="245" w:lineRule="auto"/>
            </w:pPr>
            <w:r>
              <w:t>Eksperimen: tugas memori prospektif disela jeda tanpa media, Twitter, YouTube, atau TikTok.</w:t>
            </w:r>
          </w:p>
        </w:tc>
        <w:tc>
          <w:tcPr>
            <w:tcW w:type="dxa" w:w="2232"/>
            <w:vAlign w:val="top"/>
          </w:tcPr>
          <w:p>
            <w:pPr>
              <w:spacing w:after="0" w:line="245" w:lineRule="auto"/>
            </w:pPr>
            <w:r>
              <w:t>Perbandingan kinerja memori prospektif antarkondisi eksperimen.</w:t>
            </w:r>
          </w:p>
        </w:tc>
        <w:tc>
          <w:tcPr>
            <w:tcW w:type="dxa" w:w="3485"/>
            <w:vAlign w:val="top"/>
          </w:tcPr>
          <w:p>
            <w:pPr>
              <w:spacing w:after="0" w:line="245" w:lineRule="auto"/>
            </w:pPr>
            <w:r>
              <w:t>• Kondisi TikTok menurunkan kemampuan mengingat dan menjalankan niat dibanding kondisi jeda lain dalam tugas laboratorium.</w:t>
            </w:r>
          </w:p>
        </w:tc>
        <w:tc>
          <w:tcPr>
            <w:tcW w:type="dxa" w:w="4003"/>
            <w:vAlign w:val="top"/>
          </w:tcPr>
          <w:p>
            <w:pPr>
              <w:spacing w:after="0" w:line="245" w:lineRule="auto"/>
            </w:pPr>
            <w:r>
              <w:t>Berguna untuk menanyakan apakah mahasiswa masih mengingat niat kembali belajar setelah jeda; tidak langsung mengukur keputusan berhenti.</w:t>
            </w:r>
          </w:p>
        </w:tc>
      </w:tr>
      <w:tr>
        <w:tc>
          <w:tcPr>
            <w:tcW w:type="dxa" w:w="518"/>
            <w:vAlign w:val="top"/>
          </w:tcPr>
          <w:p>
            <w:pPr>
              <w:spacing w:after="0" w:line="245" w:lineRule="auto"/>
            </w:pPr>
            <w:r>
              <w:t>12</w:t>
            </w:r>
          </w:p>
        </w:tc>
        <w:tc>
          <w:tcPr>
            <w:tcW w:type="dxa" w:w="3398"/>
            <w:vAlign w:val="top"/>
          </w:tcPr>
          <w:p>
            <w:pPr>
              <w:spacing w:after="0" w:line="245" w:lineRule="auto"/>
            </w:pPr>
            <w:r>
              <w:t>BoJulaia dan Pilotti (2026), Social Media Problematic Use, Memory Concerns, and Confidence in Young Female Students from an Underrepresented Student Population. DOI: 10.3389/fpsyg.2026.1816605</w:t>
            </w:r>
          </w:p>
        </w:tc>
        <w:tc>
          <w:tcPr>
            <w:tcW w:type="dxa" w:w="1325"/>
            <w:vAlign w:val="top"/>
          </w:tcPr>
          <w:p>
            <w:pPr>
              <w:spacing w:after="0" w:line="245" w:lineRule="auto"/>
            </w:pPr>
            <w:r>
              <w:t>Arab Saudi</w:t>
            </w:r>
          </w:p>
        </w:tc>
        <w:tc>
          <w:tcPr>
            <w:tcW w:type="dxa" w:w="1872"/>
            <w:vAlign w:val="top"/>
          </w:tcPr>
          <w:p>
            <w:pPr>
              <w:spacing w:after="0" w:line="245" w:lineRule="auto"/>
            </w:pPr>
            <w:r>
              <w:t>456 mahasiswi tahun pertama mengisi kuesioner; 107 dari kelompok yang sama mengikuti wawancara singkat.</w:t>
            </w:r>
          </w:p>
        </w:tc>
        <w:tc>
          <w:tcPr>
            <w:tcW w:type="dxa" w:w="2232"/>
            <w:vAlign w:val="top"/>
          </w:tcPr>
          <w:p>
            <w:pPr>
              <w:spacing w:after="0" w:line="245" w:lineRule="auto"/>
            </w:pPr>
            <w:r>
              <w:t>Skala penggunaan media sosial, efikasi diri, kekhawatiran memori, IPK, serta wawancara kelompok kecil.</w:t>
            </w:r>
          </w:p>
        </w:tc>
        <w:tc>
          <w:tcPr>
            <w:tcW w:type="dxa" w:w="2232"/>
            <w:vAlign w:val="top"/>
          </w:tcPr>
          <w:p>
            <w:pPr>
              <w:spacing w:after="0" w:line="245" w:lineRule="auto"/>
            </w:pPr>
            <w:r>
              <w:t>Analisis regresi/korelasi dan analisis tematik catatan wawancara.</w:t>
            </w:r>
          </w:p>
        </w:tc>
        <w:tc>
          <w:tcPr>
            <w:tcW w:type="dxa" w:w="3485"/>
            <w:vAlign w:val="top"/>
          </w:tcPr>
          <w:p>
            <w:pPr>
              <w:spacing w:after="0" w:line="245" w:lineRule="auto"/>
            </w:pPr>
            <w:r>
              <w:t>• Penggunaan media sosial bermasalah berkaitan dengan IPK lebih rendah</w:t>
              <w:br/>
              <w:t>• peserta juga mengakui distraksi yang sulit dikendalikan sambil menilai media sosial bermanfaat.</w:t>
            </w:r>
          </w:p>
        </w:tc>
        <w:tc>
          <w:tcPr>
            <w:tcW w:type="dxa" w:w="4003"/>
            <w:vAlign w:val="top"/>
          </w:tcPr>
          <w:p>
            <w:pPr>
              <w:spacing w:after="0" w:line="245" w:lineRule="auto"/>
            </w:pPr>
            <w:r>
              <w:t>Penilaian ambivalen terhadap media sosial penting: satu jeda dapat sekaligus terasa berguna dan mengganggu.</w:t>
            </w:r>
          </w:p>
        </w:tc>
      </w:tr>
      <w:tr>
        <w:tc>
          <w:tcPr>
            <w:tcW w:type="dxa" w:w="518"/>
            <w:vAlign w:val="top"/>
          </w:tcPr>
          <w:p>
            <w:pPr>
              <w:spacing w:after="0" w:line="245" w:lineRule="auto"/>
            </w:pPr>
            <w:r>
              <w:t>13</w:t>
            </w:r>
          </w:p>
        </w:tc>
        <w:tc>
          <w:tcPr>
            <w:tcW w:type="dxa" w:w="3398"/>
            <w:vAlign w:val="top"/>
          </w:tcPr>
          <w:p>
            <w:pPr>
              <w:spacing w:after="0" w:line="245" w:lineRule="auto"/>
            </w:pPr>
            <w:r>
              <w:t>Yan et al. (2024), Mobile Phone Short Video Use Negatively Impacts Attention Functions: An EEG Study. DOI: 10.3389/fnhum.2024.1383913</w:t>
            </w:r>
          </w:p>
        </w:tc>
        <w:tc>
          <w:tcPr>
            <w:tcW w:type="dxa" w:w="1325"/>
            <w:vAlign w:val="top"/>
          </w:tcPr>
          <w:p>
            <w:pPr>
              <w:spacing w:after="0" w:line="245" w:lineRule="auto"/>
            </w:pPr>
            <w:r>
              <w:t>Tiongkok</w:t>
            </w:r>
          </w:p>
        </w:tc>
        <w:tc>
          <w:tcPr>
            <w:tcW w:type="dxa" w:w="1872"/>
            <w:vAlign w:val="top"/>
          </w:tcPr>
          <w:p>
            <w:pPr>
              <w:spacing w:after="0" w:line="245" w:lineRule="auto"/>
            </w:pPr>
            <w:r>
              <w:t>48 pengguna aplikasi video pendek, usia rata-rata 21,8 tahun.</w:t>
            </w:r>
          </w:p>
        </w:tc>
        <w:tc>
          <w:tcPr>
            <w:tcW w:type="dxa" w:w="2232"/>
            <w:vAlign w:val="top"/>
          </w:tcPr>
          <w:p>
            <w:pPr>
              <w:spacing w:after="0" w:line="245" w:lineRule="auto"/>
            </w:pPr>
            <w:r>
              <w:t>Skala kecenderungan penggunaan video pendek dan kontrol diri; attention network test sambil merekam EEG.</w:t>
            </w:r>
          </w:p>
        </w:tc>
        <w:tc>
          <w:tcPr>
            <w:tcW w:type="dxa" w:w="2232"/>
            <w:vAlign w:val="top"/>
          </w:tcPr>
          <w:p>
            <w:pPr>
              <w:spacing w:after="0" w:line="245" w:lineRule="auto"/>
            </w:pPr>
            <w:r>
              <w:t>Analisis korelasi, kinerja tugas perhatian, dan sinyal EEG.</w:t>
            </w:r>
          </w:p>
        </w:tc>
        <w:tc>
          <w:tcPr>
            <w:tcW w:type="dxa" w:w="3485"/>
            <w:vAlign w:val="top"/>
          </w:tcPr>
          <w:p>
            <w:pPr>
              <w:spacing w:after="0" w:line="245" w:lineRule="auto"/>
            </w:pPr>
            <w:r>
              <w:t>• Kecenderungan penggunaan video pendek yang lebih tinggi berkaitan dengan indikator neural kontrol eksekutif yang lebih rendah.</w:t>
            </w:r>
          </w:p>
        </w:tc>
        <w:tc>
          <w:tcPr>
            <w:tcW w:type="dxa" w:w="4003"/>
            <w:vAlign w:val="top"/>
          </w:tcPr>
          <w:p>
            <w:pPr>
              <w:spacing w:after="0" w:line="245" w:lineRule="auto"/>
            </w:pPr>
            <w:r>
              <w:t>Menjelaskan kemungkinan kesulitan mengalihkan perhatian, tetapi indikator EEG tidak dapat menggantikan laporan pengalaman subjektif.</w:t>
            </w:r>
          </w:p>
        </w:tc>
      </w:tr>
      <w:tr>
        <w:tc>
          <w:tcPr>
            <w:tcW w:type="dxa" w:w="518"/>
            <w:vAlign w:val="top"/>
          </w:tcPr>
          <w:p>
            <w:pPr>
              <w:spacing w:after="0" w:line="245" w:lineRule="auto"/>
            </w:pPr>
            <w:r>
              <w:t>14</w:t>
            </w:r>
          </w:p>
        </w:tc>
        <w:tc>
          <w:tcPr>
            <w:tcW w:type="dxa" w:w="3398"/>
            <w:vAlign w:val="top"/>
          </w:tcPr>
          <w:p>
            <w:pPr>
              <w:spacing w:after="0" w:line="245" w:lineRule="auto"/>
            </w:pPr>
            <w:r>
              <w:t>Huang et al. (2022), A Techno-Psychological Approach to Understanding Problematic Use of Short-Form Video Applications: The Role of Flow. DOI: 10.3389/fpsyg.2022.971589</w:t>
            </w:r>
          </w:p>
        </w:tc>
        <w:tc>
          <w:tcPr>
            <w:tcW w:type="dxa" w:w="1325"/>
            <w:vAlign w:val="top"/>
          </w:tcPr>
          <w:p>
            <w:pPr>
              <w:spacing w:after="0" w:line="245" w:lineRule="auto"/>
            </w:pPr>
            <w:r>
              <w:t>Tiongkok</w:t>
            </w:r>
          </w:p>
        </w:tc>
        <w:tc>
          <w:tcPr>
            <w:tcW w:type="dxa" w:w="1872"/>
            <w:vAlign w:val="top"/>
          </w:tcPr>
          <w:p>
            <w:pPr>
              <w:spacing w:after="0" w:line="245" w:lineRule="auto"/>
            </w:pPr>
            <w:r>
              <w:t>621 pengguna aplikasi video pendek.</w:t>
            </w:r>
          </w:p>
        </w:tc>
        <w:tc>
          <w:tcPr>
            <w:tcW w:type="dxa" w:w="2232"/>
            <w:vAlign w:val="top"/>
          </w:tcPr>
          <w:p>
            <w:pPr>
              <w:spacing w:after="0" w:line="245" w:lineRule="auto"/>
            </w:pPr>
            <w:r>
              <w:t>Survei daring tentang fitur aplikasi, pengalaman flow, dan penggunaan bermasalah.</w:t>
            </w:r>
          </w:p>
        </w:tc>
        <w:tc>
          <w:tcPr>
            <w:tcW w:type="dxa" w:w="2232"/>
            <w:vAlign w:val="top"/>
          </w:tcPr>
          <w:p>
            <w:pPr>
              <w:spacing w:after="0" w:line="245" w:lineRule="auto"/>
            </w:pPr>
            <w:r>
              <w:t>Pemodelan hubungan langsung dan mediasi.</w:t>
            </w:r>
          </w:p>
        </w:tc>
        <w:tc>
          <w:tcPr>
            <w:tcW w:type="dxa" w:w="3485"/>
            <w:vAlign w:val="top"/>
          </w:tcPr>
          <w:p>
            <w:pPr>
              <w:spacing w:after="0" w:line="245" w:lineRule="auto"/>
            </w:pPr>
            <w:r>
              <w:t>• Kemudahan interaksi berkaitan tidak langsung dengan penggunaan bermasalah melalui flow</w:t>
              <w:br/>
              <w:t>• rekomendasi algoritmik tidak berkaitan positif dengan flow dalam sampel ini.</w:t>
            </w:r>
          </w:p>
        </w:tc>
        <w:tc>
          <w:tcPr>
            <w:tcW w:type="dxa" w:w="4003"/>
            <w:vAlign w:val="top"/>
          </w:tcPr>
          <w:p>
            <w:pPr>
              <w:spacing w:after="0" w:line="245" w:lineRule="auto"/>
            </w:pPr>
            <w:r>
              <w:t>Jangan menyalahkan algoritme secara otomatis; tanyakan fitur apa yang benar-benar dirasakan membuat sesi berlanjut.</w:t>
            </w:r>
          </w:p>
        </w:tc>
      </w:tr>
      <w:tr>
        <w:tc>
          <w:tcPr>
            <w:tcW w:type="dxa" w:w="518"/>
            <w:vAlign w:val="top"/>
          </w:tcPr>
          <w:p>
            <w:pPr>
              <w:spacing w:after="0" w:line="245" w:lineRule="auto"/>
            </w:pPr>
            <w:r>
              <w:t>15</w:t>
            </w:r>
          </w:p>
        </w:tc>
        <w:tc>
          <w:tcPr>
            <w:tcW w:type="dxa" w:w="3398"/>
            <w:vAlign w:val="top"/>
          </w:tcPr>
          <w:p>
            <w:pPr>
              <w:spacing w:after="0" w:line="245" w:lineRule="auto"/>
            </w:pPr>
            <w:r>
              <w:t>Zhai et al. (2026), The Influence of Short-Video Usage on Prospective Memory Under Different Cue Type Conditions. DOI: 10.3390/bs16060904</w:t>
            </w:r>
          </w:p>
        </w:tc>
        <w:tc>
          <w:tcPr>
            <w:tcW w:type="dxa" w:w="1325"/>
            <w:vAlign w:val="top"/>
          </w:tcPr>
          <w:p>
            <w:pPr>
              <w:spacing w:after="0" w:line="245" w:lineRule="auto"/>
            </w:pPr>
            <w:r>
              <w:t>Tiongkok</w:t>
            </w:r>
          </w:p>
        </w:tc>
        <w:tc>
          <w:tcPr>
            <w:tcW w:type="dxa" w:w="1872"/>
            <w:vAlign w:val="top"/>
          </w:tcPr>
          <w:p>
            <w:pPr>
              <w:spacing w:after="0" w:line="245" w:lineRule="auto"/>
            </w:pPr>
            <w:r>
              <w:t>Dua eksperimen dengan masing-masing 106 dan 64 mahasiswa dalam analisis akhir.</w:t>
            </w:r>
          </w:p>
        </w:tc>
        <w:tc>
          <w:tcPr>
            <w:tcW w:type="dxa" w:w="2232"/>
            <w:vAlign w:val="top"/>
          </w:tcPr>
          <w:p>
            <w:pPr>
              <w:spacing w:after="0" w:line="245" w:lineRule="auto"/>
            </w:pPr>
            <w:r>
              <w:t>Menonton video pendek atau panjang sebelum tugas memori prospektif dengan jenis petunjuk yang berbeda.</w:t>
            </w:r>
          </w:p>
        </w:tc>
        <w:tc>
          <w:tcPr>
            <w:tcW w:type="dxa" w:w="2232"/>
            <w:vAlign w:val="top"/>
          </w:tcPr>
          <w:p>
            <w:pPr>
              <w:spacing w:after="0" w:line="245" w:lineRule="auto"/>
            </w:pPr>
            <w:r>
              <w:t>Perbandingan akurasi tugas antarkondisi eksperimen.</w:t>
            </w:r>
          </w:p>
        </w:tc>
        <w:tc>
          <w:tcPr>
            <w:tcW w:type="dxa" w:w="3485"/>
            <w:vAlign w:val="top"/>
          </w:tcPr>
          <w:p>
            <w:pPr>
              <w:spacing w:after="0" w:line="245" w:lineRule="auto"/>
            </w:pPr>
            <w:r>
              <w:t>• Menonton video pendek lebih lama menurunkan ketepatan mengingat niat mendatang pada beberapa kondisi petunjuk, tanpa penurunan bermakna pada tugas utama.</w:t>
            </w:r>
          </w:p>
        </w:tc>
        <w:tc>
          <w:tcPr>
            <w:tcW w:type="dxa" w:w="4003"/>
            <w:vAlign w:val="top"/>
          </w:tcPr>
          <w:p>
            <w:pPr>
              <w:spacing w:after="0" w:line="245" w:lineRule="auto"/>
            </w:pPr>
            <w:r>
              <w:t>Jeda belajar perlu ditelusuri sampai momen kembali mengerjakan tugas; eksperimen ini tidak menjelaskan alasan pribadi untuk terus scrolling.</w:t>
            </w:r>
          </w:p>
        </w:tc>
      </w:tr>
    </w:tbl>
    <w:p>
      <w:r>
        <w:br w:type="page"/>
      </w:r>
    </w:p>
    <w:p>
      <w:pPr>
        <w:pStyle w:val="Heading1"/>
      </w:pPr>
      <w:r>
        <w:t>Daftar pustaka</w:t>
      </w:r>
    </w:p>
    <w:p>
      <w:pPr>
        <w:spacing w:after="60"/>
        <w:ind w:left="317" w:hanging="317"/>
      </w:pPr>
      <w:r>
        <w:t>BoJulaia, M., &amp; Pilotti, M. (2026). Social media problematic use, memory concerns, and confidence in young female students from an underrepresented student population. Frontiers in Psychology, 17, Article 1816605. https://doi.org/10.3389/fpsyg.2026.1816605</w:t>
      </w:r>
    </w:p>
    <w:p>
      <w:pPr>
        <w:spacing w:after="60"/>
        <w:ind w:left="317" w:hanging="317"/>
      </w:pPr>
      <w:r>
        <w:t>Chiossi, F., Haliburton, L., Ou, C., Butz, A., &amp; Schmidt, A. (2023). Short-form videos degrade our capacity to retain intentions: Effect of context switching on prospective memory. In Proceedings of the 2023 CHI Conference on Human Factors in Computing Systems (pp. 1–15). Association for Computing Machinery. https://doi.org/10.1145/3544548.3580778</w:t>
      </w:r>
    </w:p>
    <w:p>
      <w:pPr>
        <w:spacing w:after="60"/>
        <w:ind w:left="317" w:hanging="317"/>
      </w:pPr>
      <w:r>
        <w:t>Hamilton, K. L., &amp; Stachowski, A. A. (2025). Should I study or take a break? Students’ use and perceptions of study breaks. Journal of the Scholarship of Teaching and Learning, 25(2), 133–154. https://doi.org/10.14434/josotl.v25i2.36596</w:t>
      </w:r>
    </w:p>
    <w:p>
      <w:pPr>
        <w:spacing w:after="60"/>
        <w:ind w:left="317" w:hanging="317"/>
      </w:pPr>
      <w:r>
        <w:t>Hossain, E., Wadley, G., Berthouze, N., &amp; Cox, A. L. (2024). Social media breaks: An opportunity for recovery and procrastination. Proceedings of the ACM on Human-Computer Interaction, 8(CSCW1), 1–46. https://doi.org/10.1145/3637399</w:t>
      </w:r>
    </w:p>
    <w:p>
      <w:pPr>
        <w:spacing w:after="60"/>
        <w:ind w:left="317" w:hanging="317"/>
      </w:pPr>
      <w:r>
        <w:t>Huang, Q., Hu, M., &amp; Zhang, N. (2022). A techno-psychological approach to understanding problematic use of short-form video applications: The role of flow. Frontiers in Psychology, 13, Article 971589. https://doi.org/10.3389/fpsyg.2022.971589</w:t>
      </w:r>
    </w:p>
    <w:p>
      <w:pPr>
        <w:spacing w:after="60"/>
        <w:ind w:left="317" w:hanging="317"/>
      </w:pPr>
      <w:r>
        <w:t>Kim, K., Kim, M., Jeong, S., So, J., &amp; Song, H. (2026). Seeing your mindless face: How viewing one’s live self interrupts mindless short-form video scrolling. In Proceedings of the Extended Abstracts of the 2026 CHI Conference on Human Factors in Computing Systems (pp. 1–8). Association for Computing Machinery. https://doi.org/10.1145/3772363.3798907</w:t>
      </w:r>
    </w:p>
    <w:p>
      <w:pPr>
        <w:spacing w:after="60"/>
        <w:ind w:left="317" w:hanging="317"/>
      </w:pPr>
      <w:r>
        <w:t>Liu, Q., &amp; Li, J. (2024). A one-year longitudinal study on the mediating role of problematic TikTok use and gender differences in the association between academic stress and academic procrastination. Humanities and Social Sciences Communications, 11, Article 1132. https://doi.org/10.1057/s41599-024-03654-6</w:t>
      </w:r>
    </w:p>
    <w:p>
      <w:pPr>
        <w:spacing w:after="60"/>
        <w:ind w:left="317" w:hanging="317"/>
      </w:pPr>
      <w:r>
        <w:t>Liu, Y., Huang, Y., Wen, L., Chen, P., &amp; Zhang, S. (2025). Temporal focus, dual-system self-control, and college students’ short-video addiction: A variable-centered and person-centered approach. Frontiers in Psychology, 16, Article 1538948. https://doi.org/10.3389/fpsyg.2025.1538948</w:t>
      </w:r>
    </w:p>
    <w:p>
      <w:pPr>
        <w:spacing w:after="60"/>
        <w:ind w:left="317" w:hanging="317"/>
      </w:pPr>
      <w:r>
        <w:t>Nawaz, S., Linden, T., Mitchell, M., &amp; Bhowmik, J. (2026). Examining effectual, ineffectual and problematic smartphone use: A qualitative exploration of dependence and management behaviours. Social Sciences &amp; Humanities Open, 13, Article 102569. https://doi.org/10.1016/j.ssaho.2026.102569</w:t>
      </w:r>
    </w:p>
    <w:p>
      <w:pPr>
        <w:spacing w:after="60"/>
        <w:ind w:left="317" w:hanging="317"/>
      </w:pPr>
      <w:r>
        <w:t>Rixen, J. O., Meinhardt, L.-M., Glöckler, M., Ziegenbein, M.-L., Schlothauer, A., Colley, M., Rukzio, E., &amp; Gugenheimer, J. (2023). The loop and reasons to break it: Investigating infinite scrolling behaviour in social media applications and reasons to stop. Proceedings of the ACM on Human-Computer Interaction, 7(MHCI), 1–22. https://doi.org/10.1145/3604275</w:t>
      </w:r>
    </w:p>
    <w:p>
      <w:pPr>
        <w:spacing w:after="60"/>
        <w:ind w:left="317" w:hanging="317"/>
      </w:pPr>
      <w:r>
        <w:t>Tang, Y., &amp; He, W. (2025). Impact of social media addiction on college students’ academic procrastination: A chain mediated effect of lack of self-control and fear of missing out. Frontiers in Psychology, 16, Article 1668567. https://doi.org/10.3389/fpsyg.2025.1668567</w:t>
      </w:r>
    </w:p>
    <w:p>
      <w:pPr>
        <w:spacing w:after="60"/>
        <w:ind w:left="317" w:hanging="317"/>
      </w:pPr>
      <w:r>
        <w:t>Tran, J. A., Yang, K. S., Davis, K., &amp; Hiniker, A. (2019). Modeling the engagement-disengagement cycle of compulsive phone use. In Proceedings of the 2019 CHI Conference on Human Factors in Computing Systems (pp. 1–14). Association for Computing Machinery. https://doi.org/10.1145/3290605.3300542</w:t>
      </w:r>
    </w:p>
    <w:p>
      <w:pPr>
        <w:spacing w:after="60"/>
        <w:ind w:left="317" w:hanging="317"/>
      </w:pPr>
      <w:r>
        <w:t>Xie, J., Xu, X., Zhang, Y., Tan, Y., Wu, D., Shi, M., &amp; Huang, H. (2023). The effect of short-form video addiction on undergraduates’ academic procrastination: A moderated mediation model. Frontiers in Psychology, 14, Article 1298361. https://doi.org/10.3389/fpsyg.2023.1298361</w:t>
      </w:r>
    </w:p>
    <w:p>
      <w:pPr>
        <w:spacing w:after="60"/>
        <w:ind w:left="317" w:hanging="317"/>
      </w:pPr>
      <w:r>
        <w:t>Yan, T., Su, C., Xue, W., Hu, Y., &amp; Zhou, H. (2024). Mobile phone short video use negatively impacts attention functions: An EEG study. Frontiers in Human Neuroscience, 18, Article 1383913. https://doi.org/10.3389/fnhum.2024.1383913</w:t>
      </w:r>
    </w:p>
    <w:p>
      <w:pPr>
        <w:spacing w:after="60"/>
        <w:ind w:left="317" w:hanging="317"/>
      </w:pPr>
      <w:r>
        <w:t>Zhai, K., Guo, Y., &amp; Wang, L. (2026). The influence of short-video usage on prospective memory under different cue type conditions. Behavioral Sciences, 16(6), Article 904. https://doi.org/10.3390/bs16060904</w:t>
      </w:r>
    </w:p>
    <w:sectPr w:rsidR="00FC693F" w:rsidRPr="0006063C" w:rsidSect="00034616">
      <w:pgSz w:w="20160" w:h="12240" w:orient="landscape"/>
      <w:pgMar w:top="605" w:right="547" w:bottom="605" w:left="547"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Arial" w:hAnsi="Arial"/>
      <w:sz w:val="1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