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240"/>
      </w:pPr>
      <w:r>
        <w:t>Citations &amp; Source Document</w:t>
      </w:r>
    </w:p>
    <w:p>
      <w:pPr>
        <w:pStyle w:val="Heading2"/>
        <w:spacing w:before="240" w:after="120"/>
      </w:pPr>
      <w:r>
        <w:t>Public Sources</w:t>
      </w:r>
    </w:p>
    <w:p>
      <w:pPr>
        <w:spacing w:after="120"/>
      </w:pPr>
      <w:r>
        <w:t>1 public web pages reviewed:</w:t>
      </w:r>
    </w:p>
    <w:p>
      <w:pPr>
        <w:spacing w:after="80"/>
      </w:pPr>
      <w:r>
        <w:rPr>
          <w:rFonts w:ascii="Arial" w:hAnsi="Arial"/>
          <w:sz w:val="24"/>
        </w:rPr>
        <w:t xml:space="preserve">1. </w:t>
      </w:r>
      <w:hyperlink r:id="rId9">
        <w:r>
          <w:rPr>
            <w:color w:val="0563C1"/>
            <w:u w:val="single"/>
            <w:rFonts w:ascii="Arial"/>
            <w:sz w:val="24"/>
          </w:rPr>
          <w:t>https://www.centumelectronics.com</w:t>
        </w:r>
      </w:hyperlink>
    </w:p>
    <w:p>
      <w:pPr>
        <w:pStyle w:val="Heading2"/>
      </w:pPr>
      <w:r>
        <w:t>Key Claims &amp; Sources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Claim / Fact</w:t>
            </w:r>
          </w:p>
        </w:tc>
        <w:tc>
          <w:tcPr>
            <w:tcW w:type="dxa" w:w="4680"/>
          </w:tcPr>
          <w:p>
            <w:r>
              <w:t>Source</w:t>
            </w:r>
          </w:p>
        </w:tc>
      </w:tr>
      <w:tr>
        <w:tc>
          <w:tcPr>
            <w:tcW w:type="dxa" w:w="4680"/>
          </w:tcPr>
          <w:p>
            <w:r>
              <w:t>Revenue grew to INR 10,908 million in 2024</w:t>
            </w:r>
          </w:p>
        </w:tc>
        <w:tc>
          <w:tcPr>
            <w:tcW w:type="dxa" w:w="4680"/>
          </w:tcPr>
          <w:p>
            <w:r>
              <w:t>Private Data</w:t>
            </w:r>
          </w:p>
        </w:tc>
      </w:tr>
      <w:tr>
        <w:tc>
          <w:tcPr>
            <w:tcW w:type="dxa" w:w="4680"/>
          </w:tcPr>
          <w:p>
            <w:r>
              <w:t>Order book stood at INR 1,675 crore as of December 2024</w:t>
            </w:r>
          </w:p>
        </w:tc>
        <w:tc>
          <w:tcPr>
            <w:tcW w:type="dxa" w:w="4680"/>
          </w:tcPr>
          <w:p>
            <w:r>
              <w:t>Private Data</w:t>
            </w:r>
          </w:p>
        </w:tc>
      </w:tr>
      <w:tr>
        <w:tc>
          <w:tcPr>
            <w:tcW w:type="dxa" w:w="4680"/>
          </w:tcPr>
          <w:p>
            <w:r>
              <w:t>Manufacturing facility size of 350,000 sq. ft in Bangalore</w:t>
            </w:r>
          </w:p>
        </w:tc>
        <w:tc>
          <w:tcPr>
            <w:tcW w:type="dxa" w:w="4680"/>
          </w:tcPr>
          <w:p>
            <w:r>
              <w:t>Private Data</w:t>
            </w:r>
          </w:p>
        </w:tc>
      </w:tr>
      <w:tr>
        <w:tc>
          <w:tcPr>
            <w:tcW w:type="dxa" w:w="4680"/>
          </w:tcPr>
          <w:p>
            <w:r>
              <w:t>PBILDT margins improved to 12.65% in FY24</w:t>
            </w:r>
          </w:p>
        </w:tc>
        <w:tc>
          <w:tcPr>
            <w:tcW w:type="dxa" w:w="4680"/>
          </w:tcPr>
          <w:p>
            <w:r>
              <w:t>Private Data</w:t>
            </w:r>
          </w:p>
        </w:tc>
      </w:tr>
      <w:tr>
        <w:tc>
          <w:tcPr>
            <w:tcW w:type="dxa" w:w="4680"/>
          </w:tcPr>
          <w:p>
            <w:r>
              <w:t>India ER&amp;D export market expected to reach $170 billion by 2030</w:t>
            </w:r>
          </w:p>
        </w:tc>
        <w:tc>
          <w:tcPr>
            <w:tcW w:type="dxa" w:w="4680"/>
          </w:tcPr>
          <w:p>
            <w:r>
              <w:t>Private Data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centumelectronic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