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240"/>
      </w:pPr>
      <w:r>
        <w:t>Citations &amp; Source Document</w:t>
      </w:r>
    </w:p>
    <w:p>
      <w:pPr>
        <w:pStyle w:val="Heading2"/>
        <w:spacing w:before="240" w:after="120"/>
      </w:pPr>
      <w:r>
        <w:t>Public Sources</w:t>
      </w:r>
    </w:p>
    <w:p>
      <w:r>
        <w:t>No public web sources used</w:t>
      </w:r>
    </w:p>
    <w:p>
      <w:pPr>
        <w:pStyle w:val="Heading2"/>
      </w:pPr>
      <w:r>
        <w:t>Key Claims &amp;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Claim / Fact</w:t>
            </w:r>
          </w:p>
        </w:tc>
        <w:tc>
          <w:tcPr>
            <w:tcW w:type="dxa" w:w="4680"/>
          </w:tcPr>
          <w:p>
            <w:r>
              <w:t>Source</w:t>
            </w:r>
          </w:p>
        </w:tc>
      </w:tr>
      <w:tr>
        <w:tc>
          <w:tcPr>
            <w:tcW w:type="dxa" w:w="4680"/>
          </w:tcPr>
          <w:p>
            <w:r>
              <w:t>Revenue surged to ₹959.9 million in FY25 from ₹611.5 million in FY24.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PAT experienced 365% growth, rising from ₹4.09 crores to ₹19.01 crores in FY25.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Average Ticket Price grew 6% YoY to ₹243 in H1 FY26.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Advertising revenue growth was up 107% YoY to ₹112.38 lakhs.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  <w:tr>
        <w:tc>
          <w:tcPr>
            <w:tcW w:type="dxa" w:w="4680"/>
          </w:tcPr>
          <w:p>
            <w:r>
              <w:t>The Company operates 88 screens across 33 properties in 25 cities.</w:t>
            </w:r>
          </w:p>
        </w:tc>
        <w:tc>
          <w:tcPr>
            <w:tcW w:type="dxa" w:w="4680"/>
          </w:tcPr>
          <w:p>
            <w:r>
              <w:t>Private Data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