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240"/>
      </w:pPr>
      <w:r>
        <w:t>Citations &amp; Source Document</w:t>
      </w:r>
    </w:p>
    <w:p>
      <w:pPr>
        <w:pStyle w:val="Heading2"/>
        <w:spacing w:before="240" w:after="120"/>
      </w:pPr>
      <w:r>
        <w:t>Public Sources</w:t>
      </w:r>
    </w:p>
    <w:p>
      <w:pPr>
        <w:spacing w:after="120"/>
      </w:pPr>
      <w:r>
        <w:t>5 public web pages reviewed:</w:t>
      </w:r>
    </w:p>
    <w:p>
      <w:pPr>
        <w:spacing w:after="80"/>
      </w:pPr>
      <w:r>
        <w:rPr>
          <w:rFonts w:ascii="Arial" w:hAnsi="Arial"/>
          <w:sz w:val="24"/>
        </w:rPr>
        <w:t xml:space="preserve">1. </w:t>
      </w:r>
      <w:hyperlink r:id="rId9">
        <w:r>
          <w:rPr>
            <w:color w:val="0563C1"/>
            <w:u w:val="single"/>
            <w:rFonts w:ascii="Arial"/>
            <w:sz w:val="24"/>
          </w:rPr>
          <w:t>https://www.allcargogati.com</w:t>
        </w:r>
      </w:hyperlink>
    </w:p>
    <w:p>
      <w:pPr>
        <w:spacing w:after="80"/>
      </w:pPr>
      <w:r>
        <w:rPr>
          <w:rFonts w:ascii="Arial" w:hAnsi="Arial"/>
          <w:sz w:val="24"/>
        </w:rPr>
        <w:t xml:space="preserve">2. </w:t>
      </w:r>
      <w:hyperlink r:id="rId10">
        <w:r>
          <w:rPr>
            <w:color w:val="0563C1"/>
            <w:u w:val="single"/>
            <w:rFonts w:ascii="Arial"/>
            <w:sz w:val="24"/>
          </w:rPr>
          <w:t>https://www.allcargogati.com/about</w:t>
        </w:r>
      </w:hyperlink>
    </w:p>
    <w:p>
      <w:pPr>
        <w:spacing w:after="80"/>
      </w:pPr>
      <w:r>
        <w:rPr>
          <w:rFonts w:ascii="Arial" w:hAnsi="Arial"/>
          <w:sz w:val="24"/>
        </w:rPr>
        <w:t xml:space="preserve">3. </w:t>
      </w:r>
      <w:hyperlink r:id="rId11">
        <w:r>
          <w:rPr>
            <w:color w:val="0563C1"/>
            <w:u w:val="single"/>
            <w:rFonts w:ascii="Arial"/>
            <w:sz w:val="24"/>
          </w:rPr>
          <w:t>https://www.allcargogati.com/about-us</w:t>
        </w:r>
      </w:hyperlink>
    </w:p>
    <w:p>
      <w:pPr>
        <w:spacing w:after="80"/>
      </w:pPr>
      <w:r>
        <w:rPr>
          <w:rFonts w:ascii="Arial" w:hAnsi="Arial"/>
          <w:sz w:val="24"/>
        </w:rPr>
        <w:t xml:space="preserve">4. </w:t>
      </w:r>
      <w:hyperlink r:id="rId12">
        <w:r>
          <w:rPr>
            <w:color w:val="0563C1"/>
            <w:u w:val="single"/>
            <w:rFonts w:ascii="Arial"/>
            <w:sz w:val="24"/>
          </w:rPr>
          <w:t>https://www.allcargogati.com/products</w:t>
        </w:r>
      </w:hyperlink>
    </w:p>
    <w:p>
      <w:pPr>
        <w:spacing w:after="80"/>
      </w:pPr>
      <w:r>
        <w:rPr>
          <w:rFonts w:ascii="Arial" w:hAnsi="Arial"/>
          <w:sz w:val="24"/>
        </w:rPr>
        <w:t xml:space="preserve">5. </w:t>
      </w:r>
      <w:hyperlink r:id="rId13">
        <w:r>
          <w:rPr>
            <w:color w:val="0563C1"/>
            <w:u w:val="single"/>
            <w:rFonts w:ascii="Arial"/>
            <w:sz w:val="24"/>
          </w:rPr>
          <w:t>https://www.allcargogati.com/services</w:t>
        </w:r>
      </w:hyperlink>
    </w:p>
    <w:p>
      <w:pPr>
        <w:pStyle w:val="Heading2"/>
      </w:pPr>
      <w:r>
        <w:t>Key Claims &amp;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Claim / Fact</w:t>
            </w:r>
          </w:p>
        </w:tc>
        <w:tc>
          <w:tcPr>
            <w:tcW w:type="dxa" w:w="4680"/>
          </w:tcPr>
          <w:p>
            <w:r>
              <w:t>Source</w:t>
            </w:r>
          </w:p>
        </w:tc>
      </w:tr>
      <w:tr>
        <w:tc>
          <w:tcPr>
            <w:tcW w:type="dxa" w:w="4680"/>
          </w:tcPr>
          <w:p>
            <w:r>
              <w:t>Quarterly net profit is ₹10 Cr, a 273.9% YoY growth</w:t>
            </w:r>
          </w:p>
        </w:tc>
        <w:tc>
          <w:tcPr>
            <w:tcW w:type="dxa" w:w="4680"/>
          </w:tcPr>
          <w:p>
            <w:r>
              <w:t>Private Data</w:t>
            </w:r>
          </w:p>
        </w:tc>
      </w:tr>
      <w:tr>
        <w:tc>
          <w:tcPr>
            <w:tcW w:type="dxa" w:w="4680"/>
          </w:tcPr>
          <w:p>
            <w:r>
              <w:t>The Company covers 99% of India's districts</w:t>
            </w:r>
          </w:p>
        </w:tc>
        <w:tc>
          <w:tcPr>
            <w:tcW w:type="dxa" w:w="4680"/>
          </w:tcPr>
          <w:p>
            <w:r>
              <w:t>Private Data</w:t>
            </w:r>
          </w:p>
        </w:tc>
      </w:tr>
      <w:tr>
        <w:tc>
          <w:tcPr>
            <w:tcW w:type="dxa" w:w="4680"/>
          </w:tcPr>
          <w:p>
            <w:r>
              <w:t>Surface express contributed 91.10% of total income in FY24</w:t>
            </w:r>
          </w:p>
        </w:tc>
        <w:tc>
          <w:tcPr>
            <w:tcW w:type="dxa" w:w="4680"/>
          </w:tcPr>
          <w:p>
            <w:r>
              <w:t>Private Data</w:t>
            </w:r>
          </w:p>
        </w:tc>
      </w:tr>
      <w:tr>
        <w:tc>
          <w:tcPr>
            <w:tcW w:type="dxa" w:w="4680"/>
          </w:tcPr>
          <w:p>
            <w:r>
              <w:t>Saved over 25,310 tons of CO2 emissions</w:t>
            </w:r>
          </w:p>
        </w:tc>
        <w:tc>
          <w:tcPr>
            <w:tcW w:type="dxa" w:w="4680"/>
          </w:tcPr>
          <w:p>
            <w:r>
              <w:t>Private Data</w:t>
            </w:r>
          </w:p>
        </w:tc>
      </w:tr>
      <w:tr>
        <w:tc>
          <w:tcPr>
            <w:tcW w:type="dxa" w:w="4680"/>
          </w:tcPr>
          <w:p>
            <w:r>
              <w:t>Volumes jumped 10.5% over the previous month in March 2025</w:t>
            </w:r>
          </w:p>
        </w:tc>
        <w:tc>
          <w:tcPr>
            <w:tcW w:type="dxa" w:w="4680"/>
          </w:tcPr>
          <w:p>
            <w:r>
              <w:t>Public Data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llcargogati.com" TargetMode="External"/><Relationship Id="rId10" Type="http://schemas.openxmlformats.org/officeDocument/2006/relationships/hyperlink" Target="https://www.allcargogati.com/about" TargetMode="External"/><Relationship Id="rId11" Type="http://schemas.openxmlformats.org/officeDocument/2006/relationships/hyperlink" Target="https://www.allcargogati.com/about-us" TargetMode="External"/><Relationship Id="rId12" Type="http://schemas.openxmlformats.org/officeDocument/2006/relationships/hyperlink" Target="https://www.allcargogati.com/products" TargetMode="External"/><Relationship Id="rId13" Type="http://schemas.openxmlformats.org/officeDocument/2006/relationships/hyperlink" Target="https://www.allcargogati.com/serv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