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pPr>
        <w:spacing w:after="120"/>
      </w:pPr>
      <w:r>
        <w:t>1 public web pages reviewed:</w:t>
      </w:r>
    </w:p>
    <w:p>
      <w:pPr>
        <w:spacing w:after="80"/>
      </w:pPr>
      <w:r>
        <w:rPr>
          <w:rFonts w:ascii="Arial" w:hAnsi="Arial"/>
          <w:sz w:val="24"/>
        </w:rPr>
        <w:t xml:space="preserve">1. </w:t>
      </w:r>
      <w:hyperlink r:id="rId9">
        <w:r>
          <w:rPr>
            <w:color w:val="0563C1"/>
            <w:u w:val="single"/>
            <w:rFonts w:ascii="Arial"/>
            <w:sz w:val="24"/>
          </w:rPr>
          <w:t>https://www.indswiftlabs.com</w:t>
        </w:r>
      </w:hyperlink>
    </w:p>
    <w:p>
      <w:pPr>
        <w:pStyle w:val="Heading2"/>
      </w:pPr>
      <w:r>
        <w:t>Key Claims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Claim / Fact</w:t>
            </w:r>
          </w:p>
        </w:tc>
        <w:tc>
          <w:tcPr>
            <w:tcW w:type="dxa" w:w="4680"/>
          </w:tcPr>
          <w:p>
            <w:r>
              <w:t>Source</w:t>
            </w:r>
          </w:p>
        </w:tc>
      </w:tr>
      <w:tr>
        <w:tc>
          <w:tcPr>
            <w:tcW w:type="dxa" w:w="4680"/>
          </w:tcPr>
          <w:p>
            <w:r>
              <w:t>Ranked 35th in the Indian pharma industry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Exporting to 45 countries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Revenue from operations was ₹5,022M in FY2024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Operating EBITDA reached ₹485M in FY2024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FII shareholding increased by 2179.75% in the past year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dswiftlab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