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40"/>
      </w:pPr>
      <w:r>
        <w:t>Citations &amp; Source Document</w:t>
      </w:r>
    </w:p>
    <w:p>
      <w:pPr>
        <w:pStyle w:val="Heading2"/>
        <w:spacing w:before="240" w:after="120"/>
      </w:pPr>
      <w:r>
        <w:t>Public Sources</w:t>
      </w:r>
    </w:p>
    <w:p>
      <w:pPr>
        <w:spacing w:after="120"/>
      </w:pPr>
      <w:r>
        <w:t>1 public web pages reviewed:</w:t>
      </w:r>
    </w:p>
    <w:p>
      <w:pPr>
        <w:spacing w:after="80"/>
      </w:pPr>
      <w:r>
        <w:rPr>
          <w:rFonts w:ascii="Arial" w:hAnsi="Arial"/>
          <w:sz w:val="24"/>
        </w:rPr>
        <w:t xml:space="preserve">1. </w:t>
      </w:r>
      <w:hyperlink r:id="rId9">
        <w:r>
          <w:rPr>
            <w:color w:val="0563C1"/>
            <w:u w:val="single"/>
            <w:rFonts w:ascii="Arial"/>
            <w:sz w:val="24"/>
          </w:rPr>
          <w:t>https://kalyaniforge.com</w:t>
        </w:r>
      </w:hyperlink>
    </w:p>
    <w:p>
      <w:pPr>
        <w:pStyle w:val="Heading2"/>
      </w:pPr>
      <w:r>
        <w:t>Key Claims &amp;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Claim / Fact</w:t>
            </w:r>
          </w:p>
        </w:tc>
        <w:tc>
          <w:tcPr>
            <w:tcW w:type="dxa" w:w="4680"/>
          </w:tcPr>
          <w:p>
            <w:r>
              <w:t>Source</w:t>
            </w:r>
          </w:p>
        </w:tc>
      </w:tr>
      <w:tr>
        <w:tc>
          <w:tcPr>
            <w:tcW w:type="dxa" w:w="4680"/>
          </w:tcPr>
          <w:p>
            <w:r>
              <w:t>Secured all-time high new order wins totaling INR 115 crore in FY25.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The company operates 5 manufacturing plants as of May 2025.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Exports increased by 11% in FY25 with a target of 50% total revenue.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Promoters hold a 58.8% equity stake in the company.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Invested INR 24.4 crore in Capex during FY25.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alyanifor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