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pPr>
        <w:spacing w:after="120"/>
      </w:pPr>
      <w:r>
        <w:t>1 public web pages reviewed:</w:t>
      </w:r>
    </w:p>
    <w:p>
      <w:pPr>
        <w:spacing w:after="80"/>
      </w:pPr>
      <w:r>
        <w:rPr>
          <w:rFonts w:ascii="Arial" w:hAnsi="Arial"/>
          <w:sz w:val="24"/>
        </w:rPr>
        <w:t xml:space="preserve">1. </w:t>
      </w:r>
      <w:hyperlink r:id="rId9">
        <w:r>
          <w:rPr>
            <w:color w:val="0563C1"/>
            <w:u w:val="single"/>
            <w:rFonts w:ascii="Arial"/>
            <w:sz w:val="24"/>
          </w:rPr>
          <w:t>https://www.ksolves.com</w:t>
        </w:r>
      </w:hyperlink>
    </w:p>
    <w:p>
      <w:pPr>
        <w:pStyle w:val="Heading2"/>
      </w:pPr>
      <w:r>
        <w:t>Key Claims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Claim / Fact</w:t>
            </w:r>
          </w:p>
        </w:tc>
        <w:tc>
          <w:tcPr>
            <w:tcW w:type="dxa" w:w="4680"/>
          </w:tcPr>
          <w:p>
            <w:r>
              <w:t>Source</w:t>
            </w:r>
          </w:p>
        </w:tc>
      </w:tr>
      <w:tr>
        <w:tc>
          <w:tcPr>
            <w:tcW w:type="dxa" w:w="4680"/>
          </w:tcPr>
          <w:p>
            <w:r>
              <w:t>Consolidated Revenue from Operations grew 13.9% YoY to ₹39.67 crore.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Revenue grew 16x from USD 1.1 million to nearly USD 16 million since listing.</w:t>
            </w:r>
          </w:p>
        </w:tc>
        <w:tc>
          <w:tcPr>
            <w:tcW w:type="dxa" w:w="4680"/>
          </w:tcPr>
          <w:p>
            <w:r>
              <w:t>https://www.ksolves.com</w:t>
            </w:r>
          </w:p>
        </w:tc>
      </w:tr>
      <w:tr>
        <w:tc>
          <w:tcPr>
            <w:tcW w:type="dxa" w:w="4680"/>
          </w:tcPr>
          <w:p>
            <w:r>
              <w:t>89% of revenue comes from global markets.</w:t>
            </w:r>
          </w:p>
        </w:tc>
        <w:tc>
          <w:tcPr>
            <w:tcW w:type="dxa" w:w="4680"/>
          </w:tcPr>
          <w:p>
            <w:r>
              <w:t>https://www.ksolves.com</w:t>
            </w:r>
          </w:p>
        </w:tc>
      </w:tr>
      <w:tr>
        <w:tc>
          <w:tcPr>
            <w:tcW w:type="dxa" w:w="4680"/>
          </w:tcPr>
          <w:p>
            <w:r>
              <w:t>Maintains a client retention rate of 84%.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Total workforce stands at 831 employees with 72.1% in tech roles.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solv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