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46A38"/>
          <w:sz w:val="30"/>
        </w:rPr>
        <w:t>Dell Technologies Integration - Protokoll Teilprojekt WS1 Finanzen</w:t>
      </w:r>
    </w:p>
    <w:p>
      <w:r>
        <w:rPr>
          <w:color w:val="75787B"/>
          <w:sz w:val="19"/>
        </w:rPr>
        <w:t>Jour Fixe KW 39 2016  |  Regionale Sicht DACH  |  Tag 22 nach Day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Dokument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Protokoll der Teilprojektbesprechung WS1 Finanzen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Programm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Dell Technologies Integration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Teilprojektleitung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R. Whitfield, Workstream Lead, Finance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Datum und Uhrzeit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27.09.2016, 14:00 bis 15:30 Uhr MESZ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Ort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Videokonferenz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Protokollfuehrung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U. Hoffmeister, Finance Integration Manager, DACH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Verteiler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Teilprojektteam WS1, VCIO, Konzernrechnungswesen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Klassifizierung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Streng vertraulich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Version und Status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v1.0, freigegeben</w:t>
            </w:r>
          </w:p>
        </w:tc>
      </w:tr>
    </w:tbl>
    <w:p/>
    <w:p>
      <w:pPr>
        <w:pStyle w:val="Heading1"/>
      </w:pPr>
      <w:r>
        <w:t>1. Teilnehmer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type="dxa" w:w="3175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Rolle</w:t>
            </w:r>
          </w:p>
        </w:tc>
        <w:tc>
          <w:tcPr>
            <w:tcW w:type="dxa" w:w="2041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Gesellschaft</w:t>
            </w:r>
          </w:p>
        </w:tc>
        <w:tc>
          <w:tcPr>
            <w:tcW w:type="dxa" w:w="249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Anwesend</w:t>
            </w:r>
          </w:p>
        </w:tc>
      </w:tr>
      <w:tr>
        <w:tc>
          <w:tcPr>
            <w:tcW w:type="dxa" w:w="1928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Workstream Lead, Finance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Dell Technologies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ja</w:t>
            </w:r>
          </w:p>
        </w:tc>
      </w:tr>
      <w:tr>
        <w:tc>
          <w:tcPr>
            <w:tcW w:type="dxa" w:w="1928"/>
          </w:tcPr>
          <w:p>
            <w:r>
              <w:rPr>
                <w:sz w:val="15"/>
              </w:rPr>
              <w:t>U. Hoffmeister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Finance Integration Manager, DACH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Dell EMC DACH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ja</w:t>
            </w:r>
          </w:p>
        </w:tc>
      </w:tr>
      <w:tr>
        <w:tc>
          <w:tcPr>
            <w:tcW w:type="dxa" w:w="1928"/>
          </w:tcPr>
          <w:p>
            <w:r>
              <w:rPr>
                <w:sz w:val="15"/>
              </w:rPr>
              <w:t>M. Haddad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Value Realisation Controller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Dell Technologies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ja</w:t>
            </w:r>
          </w:p>
        </w:tc>
      </w:tr>
      <w:tr>
        <w:tc>
          <w:tcPr>
            <w:tcW w:type="dxa" w:w="1928"/>
          </w:tcPr>
          <w:p>
            <w:r>
              <w:rPr>
                <w:sz w:val="15"/>
              </w:rPr>
              <w:t>N. Devereux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Workstream Lead, Tax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Dell Technologies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ja, zu Punkt 3.2</w:t>
            </w:r>
          </w:p>
        </w:tc>
      </w:tr>
      <w:tr>
        <w:tc>
          <w:tcPr>
            <w:tcW w:type="dxa" w:w="1928"/>
          </w:tcPr>
          <w:p>
            <w:r>
              <w:rPr>
                <w:sz w:val="15"/>
              </w:rPr>
              <w:t>C. Ferreira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Engagement Manager, Deloitte Consulting LLP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Deloitte Consulting LLP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ja</w:t>
            </w:r>
          </w:p>
        </w:tc>
      </w:tr>
    </w:tbl>
    <w:p/>
    <w:p>
      <w:pPr>
        <w:pStyle w:val="Heading1"/>
      </w:pPr>
      <w:r>
        <w:t>2. Statusuebersicht Arbeitspakete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Nr.</w:t>
            </w:r>
          </w:p>
        </w:tc>
        <w:tc>
          <w:tcPr>
            <w:tcW w:type="dxa" w:w="3061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Arbeitspaket</w:t>
            </w:r>
          </w:p>
        </w:tc>
        <w:tc>
          <w:tcPr>
            <w:tcW w:type="dxa" w:w="147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Verantwortlich</w:t>
            </w:r>
          </w:p>
        </w:tc>
        <w:tc>
          <w:tcPr>
            <w:tcW w:type="dxa" w:w="113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Faellig am</w:t>
            </w:r>
          </w:p>
        </w:tc>
        <w:tc>
          <w:tcPr>
            <w:tcW w:type="dxa" w:w="113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20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Fortschritt</w:t>
            </w:r>
          </w:p>
        </w:tc>
        <w:tc>
          <w:tcPr>
            <w:tcW w:type="dxa" w:w="113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Abhaengig von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A-001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Kontenplan des Zielunternehmens auf den Konzernkontenplan abbilden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03.10.2016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In Arbeit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70 %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keine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A-002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Abschlusskalender beider Gruppen angleichen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30.09.2016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In Arbeit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85 %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keine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A-003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Konsolidierungskreis fuer das erste kombinierte Quartal festlegen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U. Hoffmeister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14.10.2016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Offen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20 %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A-012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A-004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Datenpaket zur Kaufpreisallokation erstellen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28.09.2016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Erledigt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100 %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keine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A-005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Konzerninterne Salden zum Stichtag abstimmen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U. Hoffmeister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21.10.2016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Offen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0 %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A-001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A-006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Zielmodell fuer Treasury und Cash Pooling entwerfen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04.11.2016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Offen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10 %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keine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A-071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Bewertung im Wertpriorisierungsrahmen veroeffentlichen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M. Haddad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23.09.2016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Erledigt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100 %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keine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A-072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Synergieinitiativen der Welle 1 mit Finance validieren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M. Haddad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07.10.2016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In Arbeit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65 %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keine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A-074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Offene Punkte aus der ersten SteerCo-Sitzung abschliessen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D. Okonjo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29.09.2016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In Arbeit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67 %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keine</w:t>
            </w:r>
          </w:p>
        </w:tc>
      </w:tr>
    </w:tbl>
    <w:p/>
    <w:p>
      <w:r>
        <w:rPr>
          <w:i/>
          <w:color w:val="75787B"/>
          <w:sz w:val="16"/>
        </w:rPr>
        <w:t>Teilprojektfortschritt gesamt 57 Prozent, gewichteter Mittelwert ueber 9 Arbeitspakete. Ampel Gruen.</w:t>
      </w:r>
    </w:p>
    <w:p>
      <w:pPr>
        <w:pStyle w:val="Heading1"/>
      </w:pPr>
      <w:r>
        <w:t>3. Fachliche Themen</w:t>
      </w:r>
    </w:p>
    <w:p>
      <w:pPr>
        <w:pStyle w:val="Heading2"/>
      </w:pPr>
      <w:r>
        <w:t>3.1 Kontenplan und Abschlusskalender</w:t>
      </w:r>
    </w:p>
    <w:p>
      <w:r>
        <w:rPr>
          <w:sz w:val="19"/>
        </w:rPr>
        <w:t>Die Abbildung des Kontenplans (A-001) liegt bei 70 Prozent. Die Angleichung des Abschlusskalenders (A-002) ist mit 85 Prozent weiter, weil sie keine Abhaengigkeit nach aussen hat. U. Hoffmeister weist darauf hin, dass die Abstimmung der konzerninternen Salden (A-005) erst beginnen kann, wenn die Kontenzuordnung steht.</w:t>
      </w:r>
    </w:p>
    <w:p>
      <w:pPr>
        <w:pStyle w:val="Heading2"/>
      </w:pPr>
      <w:r>
        <w:t>3.2 Konsolidierungskreis und Gesellschaftsstruktur</w:t>
      </w:r>
    </w:p>
    <w:p>
      <w:r>
        <w:rPr>
          <w:sz w:val="19"/>
        </w:rPr>
        <w:t>N. Devereux berichtet, dass die steuerliche Pruefung der EMEA-Gesellschaftskette (A-011) ihren Termin ueberschritten hat und damit den Freigabeplan M-05 blockiert. Solange die Struktur nicht freigegeben ist, kann der Konsolidierungskreis fuer das erste gemeinsame Quartal (A-003) nicht festgelegt werden. Das ist die Abhaengigkeit D-01, die bislang nur von einer Seite bestaetigt ist.</w:t>
      </w:r>
    </w:p>
    <w:p>
      <w:r>
        <w:rPr>
          <w:sz w:val="19"/>
        </w:rPr>
        <w:t>Vereinbart wird, die Pruefung an das Steering Committee zu eskalieren und einen verbindlichen Abschlusstermin zu benennen (OP-05).</w:t>
      </w:r>
    </w:p>
    <w:p>
      <w:pPr>
        <w:pStyle w:val="Heading2"/>
      </w:pPr>
      <w:r>
        <w:t>3.3 Synergie-Baseline und Validierung</w:t>
      </w:r>
    </w:p>
    <w:p>
      <w:r>
        <w:rPr>
          <w:sz w:val="19"/>
        </w:rPr>
        <w:t>M. Haddad berichtet den Stand der Validierung: von USD 2354 Mio. gesicherter Synergie sind USD 711 Mio. durch Finance validiert. Der Unterschied von USD 1643 Mio. entfaellt vollstaendig auf Umsatzsynergien, fuer die bislang keine Initiative validiert ist.</w:t>
      </w:r>
    </w:p>
    <w:p>
      <w:r>
        <w:rPr>
          <w:sz w:val="19"/>
        </w:rPr>
        <w:t>Mit Beschluss B-06 wird ab der Sitzung 02 des Steering Committee ausschliesslich der validierte Wert berichtet. Damit ist der in der ersten Sitzung entstandene Widerspruch (Vorgang I-03) geschlossen.</w:t>
      </w:r>
    </w:p>
    <w:p>
      <w:pPr>
        <w:pStyle w:val="Heading2"/>
      </w:pPr>
      <w:r>
        <w:t>3.4 Pensionsverpflichtung</w:t>
      </w:r>
    </w:p>
    <w:p>
      <w:r>
        <w:rPr>
          <w:sz w:val="19"/>
        </w:rPr>
        <w:t>Das Risiko R-13 wird erneut aufgerufen. Die Pensionsverpflichtung beim Zielunternehmen ist im Rahmen der oeffentlich bekannten Risikofaktoren der Transaktion ausdruecklich benannt worden. Fuer die Eroeffnungsbilanz (M-04) ist eine versicherungsmathematische Pruefung erforderlich; sie ist als OP-09 erfasst, faellig 03.10.2016.</w:t>
      </w:r>
    </w:p>
    <w:p>
      <w:pPr>
        <w:pStyle w:val="Heading1"/>
      </w:pPr>
      <w:r>
        <w:t>4. Festlegungen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Nr.</w:t>
            </w:r>
          </w:p>
        </w:tc>
        <w:tc>
          <w:tcPr>
            <w:tcW w:type="dxa" w:w="3061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Festlegung</w:t>
            </w:r>
          </w:p>
        </w:tc>
        <w:tc>
          <w:tcPr>
            <w:tcW w:type="dxa" w:w="2835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Begruendung</w:t>
            </w:r>
          </w:p>
        </w:tc>
        <w:tc>
          <w:tcPr>
            <w:tcW w:type="dxa" w:w="147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Verantwortlich</w:t>
            </w:r>
          </w:p>
        </w:tc>
        <w:tc>
          <w:tcPr>
            <w:tcW w:type="dxa" w:w="1587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Wirksam ab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F-01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Die Kontenzuordnung wird vor Beginn der Saldenabstimmung final freigegeben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Sonst wird die Abstimmung zweimal gemacht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03.10.2016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F-02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Der Konsolidierungskreis wird erst nach Freigabe von M-05 festgelegt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Eine vorlaeufige Festlegung wuerde eine Nacharbeit im Quartalsabschluss ausloesen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U. Hoffmeister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nach Freigabe M-05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F-03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Berichtet wird ausschliesslich der von Finance validierte Synergiewert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Umsetzung von Beschluss B-06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M. Haddad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29.09.2016</w:t>
            </w:r>
          </w:p>
        </w:tc>
      </w:tr>
    </w:tbl>
    <w:p/>
    <w:p>
      <w:pPr>
        <w:pStyle w:val="Heading1"/>
      </w:pPr>
      <w:r>
        <w:t>5. Aufgaben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Nr.</w:t>
            </w:r>
          </w:p>
        </w:tc>
        <w:tc>
          <w:tcPr>
            <w:tcW w:type="dxa" w:w="3855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Aufgabe</w:t>
            </w:r>
          </w:p>
        </w:tc>
        <w:tc>
          <w:tcPr>
            <w:tcW w:type="dxa" w:w="1701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Verantwortlich</w:t>
            </w:r>
          </w:p>
        </w:tc>
        <w:tc>
          <w:tcPr>
            <w:tcW w:type="dxa" w:w="1361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Faellig am</w:t>
            </w:r>
          </w:p>
        </w:tc>
        <w:tc>
          <w:tcPr>
            <w:tcW w:type="dxa" w:w="1928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794"/>
          </w:tcPr>
          <w:p>
            <w:r>
              <w:rPr>
                <w:sz w:val="15"/>
              </w:rPr>
              <w:t>OP-04</w:t>
            </w:r>
          </w:p>
        </w:tc>
        <w:tc>
          <w:tcPr>
            <w:tcW w:type="dxa" w:w="3855"/>
          </w:tcPr>
          <w:p>
            <w:r>
              <w:rPr>
                <w:sz w:val="15"/>
              </w:rPr>
              <w:t>Die berichtete gesicherte Synergie auf den von Finance validierten Wer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M. Haddad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28.09.2016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Erledigt</w:t>
            </w:r>
          </w:p>
        </w:tc>
      </w:tr>
      <w:tr>
        <w:tc>
          <w:tcPr>
            <w:tcW w:type="dxa" w:w="794"/>
          </w:tcPr>
          <w:p>
            <w:r>
              <w:rPr>
                <w:sz w:val="15"/>
              </w:rPr>
              <w:t>OP-09</w:t>
            </w:r>
          </w:p>
        </w:tc>
        <w:tc>
          <w:tcPr>
            <w:tcW w:type="dxa" w:w="3855"/>
          </w:tcPr>
          <w:p>
            <w:r>
              <w:rPr>
                <w:sz w:val="15"/>
              </w:rPr>
              <w:t>Die versicherungsmathematische Pruefung der Pensionsverpflichtung beau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03.10.2016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Offen</w:t>
            </w:r>
          </w:p>
        </w:tc>
      </w:tr>
      <w:tr>
        <w:tc>
          <w:tcPr>
            <w:tcW w:type="dxa" w:w="794"/>
          </w:tcPr>
          <w:p>
            <w:r>
              <w:rPr>
                <w:sz w:val="15"/>
              </w:rPr>
              <w:t>OP-11</w:t>
            </w:r>
          </w:p>
        </w:tc>
        <w:tc>
          <w:tcPr>
            <w:tcW w:type="dxa" w:w="3855"/>
          </w:tcPr>
          <w:p>
            <w:r>
              <w:rPr>
                <w:sz w:val="15"/>
              </w:rPr>
              <w:t>Umsetzungskosten fuer Initiativen ausserhalb des kritischen Pfades neu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14.10.2016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Offen</w:t>
            </w:r>
          </w:p>
        </w:tc>
      </w:tr>
    </w:tbl>
    <w:p/>
    <w:p>
      <w:pPr>
        <w:pStyle w:val="Heading1"/>
      </w:pPr>
      <w:r>
        <w:t>6. Risiken zur Eskalation an das VCIO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Nr.</w:t>
            </w:r>
          </w:p>
        </w:tc>
        <w:tc>
          <w:tcPr>
            <w:tcW w:type="dxa" w:w="3061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Risiko</w:t>
            </w:r>
          </w:p>
        </w:tc>
        <w:tc>
          <w:tcPr>
            <w:tcW w:type="dxa" w:w="907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Schwere</w:t>
            </w:r>
          </w:p>
        </w:tc>
        <w:tc>
          <w:tcPr>
            <w:tcW w:type="dxa" w:w="249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Gegenmassnahme</w:t>
            </w:r>
          </w:p>
        </w:tc>
        <w:tc>
          <w:tcPr>
            <w:tcW w:type="dxa" w:w="1474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Verantwortlich</w:t>
            </w:r>
          </w:p>
        </w:tc>
        <w:tc>
          <w:tcPr>
            <w:tcW w:type="dxa" w:w="1020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Eskalation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R-11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Der Schuldendienst begrenzt die verfuegbaren Integrationsmittel unter das im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Re-phase cost to achieve into the following financial year f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ja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R-12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Die Berichte erreichen das Office in sechs unterschiedlichen Formaten und di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Mandate the tracker as the single source, accept slide input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S. Lindqvist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nein</w:t>
            </w:r>
          </w:p>
        </w:tc>
      </w:tr>
      <w:tr>
        <w:tc>
          <w:tcPr>
            <w:tcW w:type="dxa" w:w="680"/>
          </w:tcPr>
          <w:p>
            <w:r>
              <w:rPr>
                <w:sz w:val="15"/>
              </w:rPr>
              <w:t>R-13</w:t>
            </w:r>
          </w:p>
        </w:tc>
        <w:tc>
          <w:tcPr>
            <w:tcW w:type="dxa" w:w="3061"/>
          </w:tcPr>
          <w:p>
            <w:r>
              <w:rPr>
                <w:sz w:val="15"/>
              </w:rPr>
              <w:t>Die Pensionsverpflichtung beim Zielunternehmen ist hoeher als in der Basisli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Commission an actuarial review before the opening balance sh</w:t>
            </w:r>
          </w:p>
        </w:tc>
        <w:tc>
          <w:tcPr>
            <w:tcW w:type="dxa" w:w="1474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020"/>
          </w:tcPr>
          <w:p>
            <w:r>
              <w:rPr>
                <w:sz w:val="15"/>
              </w:rPr>
              <w:t>nein</w:t>
            </w:r>
          </w:p>
        </w:tc>
      </w:tr>
    </w:tbl>
    <w:p/>
    <w:p>
      <w:pPr>
        <w:pStyle w:val="Heading1"/>
      </w:pPr>
      <w:r>
        <w:t>7. Naechster Termin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Termin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04.10.2016, 14:00 Uhr MESZ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Schwerpunkt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Eroeffnungsbilanz M-04, Stand der versicherungsmathematischen Pruefung</w:t>
            </w:r>
          </w:p>
        </w:tc>
      </w:tr>
    </w:tbl>
    <w:p/>
    <w:p/>
    <w:p>
      <w:r>
        <w:rPr>
          <w:i/>
          <w:color w:val="75787B"/>
          <w:sz w:val="16"/>
        </w:rPr>
        <w:t>Synthetisches Dokument. Der Fallbezug (Unternehmen, Transaktionswert, Abschlussdatum, Governance-Struktur, Teilprojektzuschnitt) folgt oeffentlich verfuegbaren Quellen. Alle operativen Namen, Zahlen, Risiken, Beschluesse und Synergiewerte sind erfunden, in sich konsistent und stellen keine Aussage darueber dar, was die beteiligten Parteien tatsaechlich getan haben.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46A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46A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