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46A38"/>
          <w:sz w:val="30"/>
        </w:rPr>
        <w:t>Value Creation Integration Office (VCIO) - Protokoll der Wochenbesprechung</w:t>
      </w:r>
    </w:p>
    <w:p>
      <w:r>
        <w:rPr>
          <w:color w:val="75787B"/>
          <w:sz w:val="19"/>
        </w:rPr>
        <w:t>Dell Inc. und EMC Corporation  |  KW 39 2016  |  Tag 22 nach Day 1  |  Regionale Sicht DACH</w:t>
      </w:r>
    </w:p>
    <w:p/>
    <w:tbl>
      <w:tblPr>
        <w:tblStyle w:val="TableGrid"/>
        <w:tblW w:type="auto" w:w="0"/>
        <w:tblLook w:firstColumn="1" w:firstRow="1" w:lastColumn="0" w:lastRow="0" w:noHBand="0" w:noVBand="1" w:val="04A0"/>
      </w:tblPr>
      <w:tblGrid>
        <w:gridCol w:w="4986"/>
        <w:gridCol w:w="4986"/>
      </w:tblGrid>
      <w:tr>
        <w:tc>
          <w:tcPr>
            <w:tcW w:type="dxa" w:w="2835"/>
            <w:shd w:val="clear" w:color="auto" w:fill="F1F6E4"/>
          </w:tcPr>
          <w:p>
            <w:r>
              <w:rPr>
                <w:b/>
                <w:sz w:val="17"/>
              </w:rPr>
              <w:t>Dokument</w:t>
            </w:r>
          </w:p>
        </w:tc>
        <w:tc>
          <w:tcPr>
            <w:tcW w:type="dxa" w:w="6803"/>
          </w:tcPr>
          <w:p>
            <w:r>
              <w:rPr>
                <w:sz w:val="17"/>
              </w:rPr>
              <w:t>Protokoll der woechentlichen Integrationsbesprechung</w:t>
            </w:r>
          </w:p>
        </w:tc>
      </w:tr>
      <w:tr>
        <w:tc>
          <w:tcPr>
            <w:tcW w:type="dxa" w:w="2835"/>
            <w:shd w:val="clear" w:color="auto" w:fill="F1F6E4"/>
          </w:tcPr>
          <w:p>
            <w:r>
              <w:rPr>
                <w:b/>
                <w:sz w:val="17"/>
              </w:rPr>
              <w:t>Programm</w:t>
            </w:r>
          </w:p>
        </w:tc>
        <w:tc>
          <w:tcPr>
            <w:tcW w:type="dxa" w:w="6803"/>
          </w:tcPr>
          <w:p>
            <w:r>
              <w:rPr>
                <w:sz w:val="17"/>
              </w:rPr>
              <w:t>Dell Technologies Integration</w:t>
            </w:r>
          </w:p>
        </w:tc>
      </w:tr>
      <w:tr>
        <w:tc>
          <w:tcPr>
            <w:tcW w:type="dxa" w:w="2835"/>
            <w:shd w:val="clear" w:color="auto" w:fill="F1F6E4"/>
          </w:tcPr>
          <w:p>
            <w:r>
              <w:rPr>
                <w:b/>
                <w:sz w:val="17"/>
              </w:rPr>
              <w:t>Sitzung</w:t>
            </w:r>
          </w:p>
        </w:tc>
        <w:tc>
          <w:tcPr>
            <w:tcW w:type="dxa" w:w="6803"/>
          </w:tcPr>
          <w:p>
            <w:r>
              <w:rPr>
                <w:sz w:val="17"/>
              </w:rPr>
              <w:t>VCIO Weekly, regionale Sitzung DACH</w:t>
            </w:r>
          </w:p>
        </w:tc>
      </w:tr>
      <w:tr>
        <w:tc>
          <w:tcPr>
            <w:tcW w:type="dxa" w:w="2835"/>
            <w:shd w:val="clear" w:color="auto" w:fill="F1F6E4"/>
          </w:tcPr>
          <w:p>
            <w:r>
              <w:rPr>
                <w:b/>
                <w:sz w:val="17"/>
              </w:rPr>
              <w:t>Datum und Uhrzeit</w:t>
            </w:r>
          </w:p>
        </w:tc>
        <w:tc>
          <w:tcPr>
            <w:tcW w:type="dxa" w:w="6803"/>
          </w:tcPr>
          <w:p>
            <w:r>
              <w:rPr>
                <w:sz w:val="17"/>
              </w:rPr>
              <w:t>27.09.2016, 09:00 bis 10:30 Uhr MESZ</w:t>
            </w:r>
          </w:p>
        </w:tc>
      </w:tr>
      <w:tr>
        <w:tc>
          <w:tcPr>
            <w:tcW w:type="dxa" w:w="2835"/>
            <w:shd w:val="clear" w:color="auto" w:fill="F1F6E4"/>
          </w:tcPr>
          <w:p>
            <w:r>
              <w:rPr>
                <w:b/>
                <w:sz w:val="17"/>
              </w:rPr>
              <w:t>Ort</w:t>
            </w:r>
          </w:p>
        </w:tc>
        <w:tc>
          <w:tcPr>
            <w:tcW w:type="dxa" w:w="6803"/>
          </w:tcPr>
          <w:p>
            <w:r>
              <w:rPr>
                <w:sz w:val="17"/>
              </w:rPr>
              <w:t>Videokonferenz, Bruecke Frankfurt und Schwalbach</w:t>
            </w:r>
          </w:p>
        </w:tc>
      </w:tr>
      <w:tr>
        <w:tc>
          <w:tcPr>
            <w:tcW w:type="dxa" w:w="2835"/>
            <w:shd w:val="clear" w:color="auto" w:fill="F1F6E4"/>
          </w:tcPr>
          <w:p>
            <w:r>
              <w:rPr>
                <w:b/>
                <w:sz w:val="17"/>
              </w:rPr>
              <w:t>Sitzungsleitung</w:t>
            </w:r>
          </w:p>
        </w:tc>
        <w:tc>
          <w:tcPr>
            <w:tcW w:type="dxa" w:w="6803"/>
          </w:tcPr>
          <w:p>
            <w:r>
              <w:rPr>
                <w:sz w:val="17"/>
              </w:rPr>
              <w:t>H. Wegener, Regional Integration Lead, DACH</w:t>
            </w:r>
          </w:p>
        </w:tc>
      </w:tr>
      <w:tr>
        <w:tc>
          <w:tcPr>
            <w:tcW w:type="dxa" w:w="2835"/>
            <w:shd w:val="clear" w:color="auto" w:fill="F1F6E4"/>
          </w:tcPr>
          <w:p>
            <w:r>
              <w:rPr>
                <w:b/>
                <w:sz w:val="17"/>
              </w:rPr>
              <w:t>Protokollfuehrung</w:t>
            </w:r>
          </w:p>
        </w:tc>
        <w:tc>
          <w:tcPr>
            <w:tcW w:type="dxa" w:w="6803"/>
          </w:tcPr>
          <w:p>
            <w:r>
              <w:rPr>
                <w:sz w:val="17"/>
              </w:rPr>
              <w:t>S. Lindqvist, VCIO Reporting Lead</w:t>
            </w:r>
          </w:p>
        </w:tc>
      </w:tr>
      <w:tr>
        <w:tc>
          <w:tcPr>
            <w:tcW w:type="dxa" w:w="2835"/>
            <w:shd w:val="clear" w:color="auto" w:fill="F1F6E4"/>
          </w:tcPr>
          <w:p>
            <w:r>
              <w:rPr>
                <w:b/>
                <w:sz w:val="17"/>
              </w:rPr>
              <w:t>Verteiler</w:t>
            </w:r>
          </w:p>
        </w:tc>
        <w:tc>
          <w:tcPr>
            <w:tcW w:type="dxa" w:w="6803"/>
          </w:tcPr>
          <w:p>
            <w:r>
              <w:rPr>
                <w:sz w:val="17"/>
              </w:rPr>
              <w:t>Alle Teilprojektleitungen, VCIO Programmleitung, Regionalleitung DACH</w:t>
            </w:r>
          </w:p>
        </w:tc>
      </w:tr>
      <w:tr>
        <w:tc>
          <w:tcPr>
            <w:tcW w:type="dxa" w:w="2835"/>
            <w:shd w:val="clear" w:color="auto" w:fill="F1F6E4"/>
          </w:tcPr>
          <w:p>
            <w:r>
              <w:rPr>
                <w:b/>
                <w:sz w:val="17"/>
              </w:rPr>
              <w:t>Klassifizierung</w:t>
            </w:r>
          </w:p>
        </w:tc>
        <w:tc>
          <w:tcPr>
            <w:tcW w:type="dxa" w:w="6803"/>
          </w:tcPr>
          <w:p>
            <w:r>
              <w:rPr>
                <w:sz w:val="17"/>
              </w:rPr>
              <w:t>Streng vertraulich</w:t>
            </w:r>
          </w:p>
        </w:tc>
      </w:tr>
      <w:tr>
        <w:tc>
          <w:tcPr>
            <w:tcW w:type="dxa" w:w="2835"/>
            <w:shd w:val="clear" w:color="auto" w:fill="F1F6E4"/>
          </w:tcPr>
          <w:p>
            <w:r>
              <w:rPr>
                <w:b/>
                <w:sz w:val="17"/>
              </w:rPr>
              <w:t>Version und Status</w:t>
            </w:r>
          </w:p>
        </w:tc>
        <w:tc>
          <w:tcPr>
            <w:tcW w:type="dxa" w:w="6803"/>
          </w:tcPr>
          <w:p>
            <w:r>
              <w:rPr>
                <w:sz w:val="17"/>
              </w:rPr>
              <w:t>v1.0, freigegeben</w:t>
            </w:r>
          </w:p>
        </w:tc>
      </w:tr>
    </w:tbl>
    <w:p/>
    <w:p>
      <w:pPr>
        <w:pStyle w:val="Heading1"/>
      </w:pPr>
      <w:r>
        <w:t>1. Teilnehmer</w:t>
      </w:r>
    </w:p>
    <w:tbl>
      <w:tblPr>
        <w:tblStyle w:val="TableGrid"/>
        <w:tblW w:type="auto" w:w="0"/>
        <w:tblLook w:firstColumn="1" w:firstRow="1" w:lastColumn="0" w:lastRow="0" w:noHBand="0" w:noVBand="1" w:val="04A0"/>
      </w:tblPr>
      <w:tblGrid>
        <w:gridCol w:w="2493"/>
        <w:gridCol w:w="2493"/>
        <w:gridCol w:w="2493"/>
        <w:gridCol w:w="2493"/>
      </w:tblGrid>
      <w:tr>
        <w:tc>
          <w:tcPr>
            <w:tcW w:type="dxa" w:w="1928"/>
            <w:shd w:val="clear" w:color="auto" w:fill="046A38"/>
          </w:tcPr>
          <w:p>
            <w:r>
              <w:rPr>
                <w:b/>
                <w:color w:val="FFFFFF"/>
                <w:sz w:val="15"/>
              </w:rPr>
              <w:t>Name</w:t>
            </w:r>
          </w:p>
        </w:tc>
        <w:tc>
          <w:tcPr>
            <w:tcW w:type="dxa" w:w="3402"/>
            <w:shd w:val="clear" w:color="auto" w:fill="046A38"/>
          </w:tcPr>
          <w:p>
            <w:r>
              <w:rPr>
                <w:b/>
                <w:color w:val="FFFFFF"/>
                <w:sz w:val="15"/>
              </w:rPr>
              <w:t>Funktion</w:t>
            </w:r>
          </w:p>
        </w:tc>
        <w:tc>
          <w:tcPr>
            <w:tcW w:type="dxa" w:w="1361"/>
            <w:shd w:val="clear" w:color="auto" w:fill="046A38"/>
          </w:tcPr>
          <w:p>
            <w:r>
              <w:rPr>
                <w:b/>
                <w:color w:val="FFFFFF"/>
                <w:sz w:val="15"/>
              </w:rPr>
              <w:t>Teilprojekt</w:t>
            </w:r>
          </w:p>
        </w:tc>
        <w:tc>
          <w:tcPr>
            <w:tcW w:type="dxa" w:w="2948"/>
            <w:shd w:val="clear" w:color="auto" w:fill="046A38"/>
          </w:tcPr>
          <w:p>
            <w:r>
              <w:rPr>
                <w:b/>
                <w:color w:val="FFFFFF"/>
                <w:sz w:val="15"/>
              </w:rPr>
              <w:t>Anwesend</w:t>
            </w:r>
          </w:p>
        </w:tc>
      </w:tr>
      <w:tr>
        <w:tc>
          <w:tcPr>
            <w:tcW w:type="dxa" w:w="1928"/>
          </w:tcPr>
          <w:p>
            <w:r>
              <w:rPr>
                <w:sz w:val="15"/>
              </w:rPr>
              <w:t>H. Wegener</w:t>
            </w:r>
          </w:p>
        </w:tc>
        <w:tc>
          <w:tcPr>
            <w:tcW w:type="dxa" w:w="3402"/>
          </w:tcPr>
          <w:p>
            <w:r>
              <w:rPr>
                <w:sz w:val="15"/>
              </w:rPr>
              <w:t>Regional Integration Lead, DACH</w:t>
            </w:r>
          </w:p>
        </w:tc>
        <w:tc>
          <w:tcPr>
            <w:tcW w:type="dxa" w:w="1361"/>
          </w:tcPr>
          <w:p>
            <w:r>
              <w:rPr>
                <w:sz w:val="15"/>
              </w:rPr>
              <w:t>-</w:t>
            </w:r>
          </w:p>
        </w:tc>
        <w:tc>
          <w:tcPr>
            <w:tcW w:type="dxa" w:w="2948"/>
          </w:tcPr>
          <w:p>
            <w:r>
              <w:rPr>
                <w:sz w:val="15"/>
              </w:rPr>
              <w:t>ja</w:t>
            </w:r>
          </w:p>
        </w:tc>
      </w:tr>
      <w:tr>
        <w:tc>
          <w:tcPr>
            <w:tcW w:type="dxa" w:w="1928"/>
          </w:tcPr>
          <w:p>
            <w:r>
              <w:rPr>
                <w:sz w:val="15"/>
              </w:rPr>
              <w:t>S. Lindqvist</w:t>
            </w:r>
          </w:p>
        </w:tc>
        <w:tc>
          <w:tcPr>
            <w:tcW w:type="dxa" w:w="3402"/>
          </w:tcPr>
          <w:p>
            <w:r>
              <w:rPr>
                <w:sz w:val="15"/>
              </w:rPr>
              <w:t>VCIO Reporting Lead</w:t>
            </w:r>
          </w:p>
        </w:tc>
        <w:tc>
          <w:tcPr>
            <w:tcW w:type="dxa" w:w="1361"/>
          </w:tcPr>
          <w:p>
            <w:r>
              <w:rPr>
                <w:sz w:val="15"/>
              </w:rPr>
              <w:t>-</w:t>
            </w:r>
          </w:p>
        </w:tc>
        <w:tc>
          <w:tcPr>
            <w:tcW w:type="dxa" w:w="2948"/>
          </w:tcPr>
          <w:p>
            <w:r>
              <w:rPr>
                <w:sz w:val="15"/>
              </w:rPr>
              <w:t>ja</w:t>
            </w:r>
          </w:p>
        </w:tc>
      </w:tr>
      <w:tr>
        <w:tc>
          <w:tcPr>
            <w:tcW w:type="dxa" w:w="1928"/>
          </w:tcPr>
          <w:p>
            <w:r>
              <w:rPr>
                <w:sz w:val="15"/>
              </w:rPr>
              <w:t>D. Okonjo</w:t>
            </w:r>
          </w:p>
        </w:tc>
        <w:tc>
          <w:tcPr>
            <w:tcW w:type="dxa" w:w="3402"/>
          </w:tcPr>
          <w:p>
            <w:r>
              <w:rPr>
                <w:sz w:val="15"/>
              </w:rPr>
              <w:t>VCIO Integration Manager</w:t>
            </w:r>
          </w:p>
        </w:tc>
        <w:tc>
          <w:tcPr>
            <w:tcW w:type="dxa" w:w="1361"/>
          </w:tcPr>
          <w:p>
            <w:r>
              <w:rPr>
                <w:sz w:val="15"/>
              </w:rPr>
              <w:t>-</w:t>
            </w:r>
          </w:p>
        </w:tc>
        <w:tc>
          <w:tcPr>
            <w:tcW w:type="dxa" w:w="2948"/>
          </w:tcPr>
          <w:p>
            <w:r>
              <w:rPr>
                <w:sz w:val="15"/>
              </w:rPr>
              <w:t>ja</w:t>
            </w:r>
          </w:p>
        </w:tc>
      </w:tr>
      <w:tr>
        <w:tc>
          <w:tcPr>
            <w:tcW w:type="dxa" w:w="1928"/>
          </w:tcPr>
          <w:p>
            <w:r>
              <w:rPr>
                <w:sz w:val="15"/>
              </w:rPr>
              <w:t>R. Whitfield</w:t>
            </w:r>
          </w:p>
        </w:tc>
        <w:tc>
          <w:tcPr>
            <w:tcW w:type="dxa" w:w="3402"/>
          </w:tcPr>
          <w:p>
            <w:r>
              <w:rPr>
                <w:sz w:val="15"/>
              </w:rPr>
              <w:t>Workstream Lead, Finance</w:t>
            </w:r>
          </w:p>
        </w:tc>
        <w:tc>
          <w:tcPr>
            <w:tcW w:type="dxa" w:w="1361"/>
          </w:tcPr>
          <w:p>
            <w:r>
              <w:rPr>
                <w:sz w:val="15"/>
              </w:rPr>
              <w:t>WS1</w:t>
            </w:r>
          </w:p>
        </w:tc>
        <w:tc>
          <w:tcPr>
            <w:tcW w:type="dxa" w:w="2948"/>
          </w:tcPr>
          <w:p>
            <w:r>
              <w:rPr>
                <w:sz w:val="15"/>
              </w:rPr>
              <w:t>ja</w:t>
            </w:r>
          </w:p>
        </w:tc>
      </w:tr>
      <w:tr>
        <w:tc>
          <w:tcPr>
            <w:tcW w:type="dxa" w:w="1928"/>
          </w:tcPr>
          <w:p>
            <w:r>
              <w:rPr>
                <w:sz w:val="15"/>
              </w:rPr>
              <w:t>N. Devereux</w:t>
            </w:r>
          </w:p>
        </w:tc>
        <w:tc>
          <w:tcPr>
            <w:tcW w:type="dxa" w:w="3402"/>
          </w:tcPr>
          <w:p>
            <w:r>
              <w:rPr>
                <w:sz w:val="15"/>
              </w:rPr>
              <w:t>Workstream Lead, Tax</w:t>
            </w:r>
          </w:p>
        </w:tc>
        <w:tc>
          <w:tcPr>
            <w:tcW w:type="dxa" w:w="1361"/>
          </w:tcPr>
          <w:p>
            <w:r>
              <w:rPr>
                <w:sz w:val="15"/>
              </w:rPr>
              <w:t>WS2</w:t>
            </w:r>
          </w:p>
        </w:tc>
        <w:tc>
          <w:tcPr>
            <w:tcW w:type="dxa" w:w="2948"/>
          </w:tcPr>
          <w:p>
            <w:r>
              <w:rPr>
                <w:sz w:val="15"/>
              </w:rPr>
              <w:t>ja</w:t>
            </w:r>
          </w:p>
        </w:tc>
      </w:tr>
      <w:tr>
        <w:tc>
          <w:tcPr>
            <w:tcW w:type="dxa" w:w="1928"/>
          </w:tcPr>
          <w:p>
            <w:r>
              <w:rPr>
                <w:sz w:val="15"/>
              </w:rPr>
              <w:t>T. Bergström</w:t>
            </w:r>
          </w:p>
        </w:tc>
        <w:tc>
          <w:tcPr>
            <w:tcW w:type="dxa" w:w="3402"/>
          </w:tcPr>
          <w:p>
            <w:r>
              <w:rPr>
                <w:sz w:val="15"/>
              </w:rPr>
              <w:t>Workstream Lead, IT</w:t>
            </w:r>
          </w:p>
        </w:tc>
        <w:tc>
          <w:tcPr>
            <w:tcW w:type="dxa" w:w="1361"/>
          </w:tcPr>
          <w:p>
            <w:r>
              <w:rPr>
                <w:sz w:val="15"/>
              </w:rPr>
              <w:t>WS3</w:t>
            </w:r>
          </w:p>
        </w:tc>
        <w:tc>
          <w:tcPr>
            <w:tcW w:type="dxa" w:w="2948"/>
          </w:tcPr>
          <w:p>
            <w:r>
              <w:rPr>
                <w:sz w:val="15"/>
              </w:rPr>
              <w:t>ja</w:t>
            </w:r>
          </w:p>
        </w:tc>
      </w:tr>
      <w:tr>
        <w:tc>
          <w:tcPr>
            <w:tcW w:type="dxa" w:w="1928"/>
          </w:tcPr>
          <w:p>
            <w:r>
              <w:rPr>
                <w:sz w:val="15"/>
              </w:rPr>
              <w:t>B. Steinmüller</w:t>
            </w:r>
          </w:p>
        </w:tc>
        <w:tc>
          <w:tcPr>
            <w:tcW w:type="dxa" w:w="3402"/>
          </w:tcPr>
          <w:p>
            <w:r>
              <w:rPr>
                <w:sz w:val="15"/>
              </w:rPr>
              <w:t>HR Integration Manager, DACH</w:t>
            </w:r>
          </w:p>
        </w:tc>
        <w:tc>
          <w:tcPr>
            <w:tcW w:type="dxa" w:w="1361"/>
          </w:tcPr>
          <w:p>
            <w:r>
              <w:rPr>
                <w:sz w:val="15"/>
              </w:rPr>
              <w:t>WS4</w:t>
            </w:r>
          </w:p>
        </w:tc>
        <w:tc>
          <w:tcPr>
            <w:tcW w:type="dxa" w:w="2948"/>
          </w:tcPr>
          <w:p>
            <w:r>
              <w:rPr>
                <w:sz w:val="15"/>
              </w:rPr>
              <w:t>ja</w:t>
            </w:r>
          </w:p>
        </w:tc>
      </w:tr>
      <w:tr>
        <w:tc>
          <w:tcPr>
            <w:tcW w:type="dxa" w:w="1928"/>
          </w:tcPr>
          <w:p>
            <w:r>
              <w:rPr>
                <w:sz w:val="15"/>
              </w:rPr>
              <w:t>K. Matsuda</w:t>
            </w:r>
          </w:p>
        </w:tc>
        <w:tc>
          <w:tcPr>
            <w:tcW w:type="dxa" w:w="3402"/>
          </w:tcPr>
          <w:p>
            <w:r>
              <w:rPr>
                <w:sz w:val="15"/>
              </w:rPr>
              <w:t>Workstream Lead, Supply Chain</w:t>
            </w:r>
          </w:p>
        </w:tc>
        <w:tc>
          <w:tcPr>
            <w:tcW w:type="dxa" w:w="1361"/>
          </w:tcPr>
          <w:p>
            <w:r>
              <w:rPr>
                <w:sz w:val="15"/>
              </w:rPr>
              <w:t>WS5</w:t>
            </w:r>
          </w:p>
        </w:tc>
        <w:tc>
          <w:tcPr>
            <w:tcW w:type="dxa" w:w="2948"/>
          </w:tcPr>
          <w:p>
            <w:r>
              <w:rPr>
                <w:sz w:val="15"/>
              </w:rPr>
              <w:t>ja</w:t>
            </w:r>
          </w:p>
        </w:tc>
      </w:tr>
      <w:tr>
        <w:tc>
          <w:tcPr>
            <w:tcW w:type="dxa" w:w="1928"/>
          </w:tcPr>
          <w:p>
            <w:r>
              <w:rPr>
                <w:sz w:val="15"/>
              </w:rPr>
              <w:t>L. Kowalczyk</w:t>
            </w:r>
          </w:p>
        </w:tc>
        <w:tc>
          <w:tcPr>
            <w:tcW w:type="dxa" w:w="3402"/>
          </w:tcPr>
          <w:p>
            <w:r>
              <w:rPr>
                <w:sz w:val="15"/>
              </w:rPr>
              <w:t>Workstream Lead, Go-to-Market</w:t>
            </w:r>
          </w:p>
        </w:tc>
        <w:tc>
          <w:tcPr>
            <w:tcW w:type="dxa" w:w="1361"/>
          </w:tcPr>
          <w:p>
            <w:r>
              <w:rPr>
                <w:sz w:val="15"/>
              </w:rPr>
              <w:t>WS6</w:t>
            </w:r>
          </w:p>
        </w:tc>
        <w:tc>
          <w:tcPr>
            <w:tcW w:type="dxa" w:w="2948"/>
          </w:tcPr>
          <w:p>
            <w:r>
              <w:rPr>
                <w:sz w:val="15"/>
              </w:rPr>
              <w:t>ja</w:t>
            </w:r>
          </w:p>
        </w:tc>
      </w:tr>
      <w:tr>
        <w:tc>
          <w:tcPr>
            <w:tcW w:type="dxa" w:w="1928"/>
          </w:tcPr>
          <w:p>
            <w:r>
              <w:rPr>
                <w:sz w:val="15"/>
              </w:rPr>
              <w:t>C. Ferreira</w:t>
            </w:r>
          </w:p>
        </w:tc>
        <w:tc>
          <w:tcPr>
            <w:tcW w:type="dxa" w:w="3402"/>
          </w:tcPr>
          <w:p>
            <w:r>
              <w:rPr>
                <w:sz w:val="15"/>
              </w:rPr>
              <w:t>Engagement Manager, Deloitte Consulting LLP</w:t>
            </w:r>
          </w:p>
        </w:tc>
        <w:tc>
          <w:tcPr>
            <w:tcW w:type="dxa" w:w="1361"/>
          </w:tcPr>
          <w:p>
            <w:r>
              <w:rPr>
                <w:sz w:val="15"/>
              </w:rPr>
              <w:t>-</w:t>
            </w:r>
          </w:p>
        </w:tc>
        <w:tc>
          <w:tcPr>
            <w:tcW w:type="dxa" w:w="2948"/>
          </w:tcPr>
          <w:p>
            <w:r>
              <w:rPr>
                <w:sz w:val="15"/>
              </w:rPr>
              <w:t>ja</w:t>
            </w:r>
          </w:p>
        </w:tc>
      </w:tr>
      <w:tr>
        <w:tc>
          <w:tcPr>
            <w:tcW w:type="dxa" w:w="1928"/>
          </w:tcPr>
          <w:p>
            <w:r>
              <w:rPr>
                <w:sz w:val="15"/>
              </w:rPr>
              <w:t>J. Adeyemi</w:t>
            </w:r>
          </w:p>
        </w:tc>
        <w:tc>
          <w:tcPr>
            <w:tcW w:type="dxa" w:w="3402"/>
          </w:tcPr>
          <w:p>
            <w:r>
              <w:rPr>
                <w:sz w:val="15"/>
              </w:rPr>
              <w:t>Workstream Lead, Human Capital</w:t>
            </w:r>
          </w:p>
        </w:tc>
        <w:tc>
          <w:tcPr>
            <w:tcW w:type="dxa" w:w="1361"/>
          </w:tcPr>
          <w:p>
            <w:r>
              <w:rPr>
                <w:sz w:val="15"/>
              </w:rPr>
              <w:t>WS4</w:t>
            </w:r>
          </w:p>
        </w:tc>
        <w:tc>
          <w:tcPr>
            <w:tcW w:type="dxa" w:w="2948"/>
          </w:tcPr>
          <w:p>
            <w:r>
              <w:rPr>
                <w:sz w:val="15"/>
              </w:rPr>
              <w:t>nein, vertreten durch B. Steinmüller</w:t>
            </w:r>
          </w:p>
        </w:tc>
      </w:tr>
      <w:tr>
        <w:tc>
          <w:tcPr>
            <w:tcW w:type="dxa" w:w="1928"/>
          </w:tcPr>
          <w:p>
            <w:r>
              <w:rPr>
                <w:sz w:val="15"/>
              </w:rPr>
              <w:t>F. Ricciardi</w:t>
            </w:r>
          </w:p>
        </w:tc>
        <w:tc>
          <w:tcPr>
            <w:tcW w:type="dxa" w:w="3402"/>
          </w:tcPr>
          <w:p>
            <w:r>
              <w:rPr>
                <w:sz w:val="15"/>
              </w:rPr>
              <w:t>Workstream Lead, Real Estate</w:t>
            </w:r>
          </w:p>
        </w:tc>
        <w:tc>
          <w:tcPr>
            <w:tcW w:type="dxa" w:w="1361"/>
          </w:tcPr>
          <w:p>
            <w:r>
              <w:rPr>
                <w:sz w:val="15"/>
              </w:rPr>
              <w:t>WS7</w:t>
            </w:r>
          </w:p>
        </w:tc>
        <w:tc>
          <w:tcPr>
            <w:tcW w:type="dxa" w:w="2948"/>
          </w:tcPr>
          <w:p>
            <w:r>
              <w:rPr>
                <w:sz w:val="15"/>
              </w:rPr>
              <w:t>nein, entschuldigt</w:t>
            </w:r>
          </w:p>
        </w:tc>
      </w:tr>
    </w:tbl>
    <w:p/>
    <w:p>
      <w:pPr>
        <w:pStyle w:val="Heading1"/>
      </w:pPr>
      <w:r>
        <w:t>2. Agenda</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80"/>
            <w:shd w:val="clear" w:color="auto" w:fill="046A38"/>
          </w:tcPr>
          <w:p>
            <w:r>
              <w:rPr>
                <w:b/>
                <w:color w:val="FFFFFF"/>
                <w:sz w:val="15"/>
              </w:rPr>
              <w:t>Nr.</w:t>
            </w:r>
          </w:p>
        </w:tc>
        <w:tc>
          <w:tcPr>
            <w:tcW w:type="dxa" w:w="3969"/>
            <w:shd w:val="clear" w:color="auto" w:fill="046A38"/>
          </w:tcPr>
          <w:p>
            <w:r>
              <w:rPr>
                <w:b/>
                <w:color w:val="FFFFFF"/>
                <w:sz w:val="15"/>
              </w:rPr>
              <w:t>Agendapunkt</w:t>
            </w:r>
          </w:p>
        </w:tc>
        <w:tc>
          <w:tcPr>
            <w:tcW w:type="dxa" w:w="1928"/>
            <w:shd w:val="clear" w:color="auto" w:fill="046A38"/>
          </w:tcPr>
          <w:p>
            <w:r>
              <w:rPr>
                <w:b/>
                <w:color w:val="FFFFFF"/>
                <w:sz w:val="15"/>
              </w:rPr>
              <w:t>Verantwortlich</w:t>
            </w:r>
          </w:p>
        </w:tc>
        <w:tc>
          <w:tcPr>
            <w:tcW w:type="dxa" w:w="1020"/>
            <w:shd w:val="clear" w:color="auto" w:fill="046A38"/>
          </w:tcPr>
          <w:p>
            <w:r>
              <w:rPr>
                <w:b/>
                <w:color w:val="FFFFFF"/>
                <w:sz w:val="15"/>
              </w:rPr>
              <w:t>Minuten</w:t>
            </w:r>
          </w:p>
        </w:tc>
        <w:tc>
          <w:tcPr>
            <w:tcW w:type="dxa" w:w="2041"/>
            <w:shd w:val="clear" w:color="auto" w:fill="046A38"/>
          </w:tcPr>
          <w:p>
            <w:r>
              <w:rPr>
                <w:b/>
                <w:color w:val="FFFFFF"/>
                <w:sz w:val="15"/>
              </w:rPr>
              <w:t>Art</w:t>
            </w:r>
          </w:p>
        </w:tc>
      </w:tr>
      <w:tr>
        <w:tc>
          <w:tcPr>
            <w:tcW w:type="dxa" w:w="680"/>
          </w:tcPr>
          <w:p>
            <w:r>
              <w:rPr>
                <w:sz w:val="15"/>
              </w:rPr>
              <w:t>1</w:t>
            </w:r>
          </w:p>
        </w:tc>
        <w:tc>
          <w:tcPr>
            <w:tcW w:type="dxa" w:w="3969"/>
          </w:tcPr>
          <w:p>
            <w:r>
              <w:rPr>
                <w:sz w:val="15"/>
              </w:rPr>
              <w:t>Statusrunde der Teilprojekte</w:t>
            </w:r>
          </w:p>
        </w:tc>
        <w:tc>
          <w:tcPr>
            <w:tcW w:type="dxa" w:w="1928"/>
          </w:tcPr>
          <w:p>
            <w:r>
              <w:rPr>
                <w:sz w:val="15"/>
              </w:rPr>
              <w:t>S. Lindqvist</w:t>
            </w:r>
          </w:p>
        </w:tc>
        <w:tc>
          <w:tcPr>
            <w:tcW w:type="dxa" w:w="1020"/>
          </w:tcPr>
          <w:p>
            <w:r>
              <w:rPr>
                <w:sz w:val="15"/>
              </w:rPr>
              <w:t>30</w:t>
            </w:r>
          </w:p>
        </w:tc>
        <w:tc>
          <w:tcPr>
            <w:tcW w:type="dxa" w:w="2041"/>
          </w:tcPr>
          <w:p>
            <w:r>
              <w:rPr>
                <w:sz w:val="15"/>
              </w:rPr>
              <w:t>Information</w:t>
            </w:r>
          </w:p>
        </w:tc>
      </w:tr>
      <w:tr>
        <w:tc>
          <w:tcPr>
            <w:tcW w:type="dxa" w:w="680"/>
          </w:tcPr>
          <w:p>
            <w:r>
              <w:rPr>
                <w:sz w:val="15"/>
              </w:rPr>
              <w:t>2</w:t>
            </w:r>
          </w:p>
        </w:tc>
        <w:tc>
          <w:tcPr>
            <w:tcW w:type="dxa" w:w="3969"/>
          </w:tcPr>
          <w:p>
            <w:r>
              <w:rPr>
                <w:sz w:val="15"/>
              </w:rPr>
              <w:t>Meilenstein M-07, Zielbild ERP-Konsolidierung</w:t>
            </w:r>
          </w:p>
        </w:tc>
        <w:tc>
          <w:tcPr>
            <w:tcW w:type="dxa" w:w="1928"/>
          </w:tcPr>
          <w:p>
            <w:r>
              <w:rPr>
                <w:sz w:val="15"/>
              </w:rPr>
              <w:t>T. Bergström</w:t>
            </w:r>
          </w:p>
        </w:tc>
        <w:tc>
          <w:tcPr>
            <w:tcW w:type="dxa" w:w="1020"/>
          </w:tcPr>
          <w:p>
            <w:r>
              <w:rPr>
                <w:sz w:val="15"/>
              </w:rPr>
              <w:t>20</w:t>
            </w:r>
          </w:p>
        </w:tc>
        <w:tc>
          <w:tcPr>
            <w:tcW w:type="dxa" w:w="2041"/>
          </w:tcPr>
          <w:p>
            <w:r>
              <w:rPr>
                <w:sz w:val="15"/>
              </w:rPr>
              <w:t>Diskussion</w:t>
            </w:r>
          </w:p>
        </w:tc>
      </w:tr>
      <w:tr>
        <w:tc>
          <w:tcPr>
            <w:tcW w:type="dxa" w:w="680"/>
          </w:tcPr>
          <w:p>
            <w:r>
              <w:rPr>
                <w:sz w:val="15"/>
              </w:rPr>
              <w:t>3</w:t>
            </w:r>
          </w:p>
        </w:tc>
        <w:tc>
          <w:tcPr>
            <w:tcW w:type="dxa" w:w="3969"/>
          </w:tcPr>
          <w:p>
            <w:r>
              <w:rPr>
                <w:sz w:val="15"/>
              </w:rPr>
              <w:t>Meilenstein M-13, Anhoerung der Betriebsraete DACH</w:t>
            </w:r>
          </w:p>
        </w:tc>
        <w:tc>
          <w:tcPr>
            <w:tcW w:type="dxa" w:w="1928"/>
          </w:tcPr>
          <w:p>
            <w:r>
              <w:rPr>
                <w:sz w:val="15"/>
              </w:rPr>
              <w:t>W. Kempowski</w:t>
            </w:r>
          </w:p>
        </w:tc>
        <w:tc>
          <w:tcPr>
            <w:tcW w:type="dxa" w:w="1020"/>
          </w:tcPr>
          <w:p>
            <w:r>
              <w:rPr>
                <w:sz w:val="15"/>
              </w:rPr>
              <w:t>20</w:t>
            </w:r>
          </w:p>
        </w:tc>
        <w:tc>
          <w:tcPr>
            <w:tcW w:type="dxa" w:w="2041"/>
          </w:tcPr>
          <w:p>
            <w:r>
              <w:rPr>
                <w:sz w:val="15"/>
              </w:rPr>
              <w:t>Beschluss</w:t>
            </w:r>
          </w:p>
        </w:tc>
      </w:tr>
      <w:tr>
        <w:tc>
          <w:tcPr>
            <w:tcW w:type="dxa" w:w="680"/>
          </w:tcPr>
          <w:p>
            <w:r>
              <w:rPr>
                <w:sz w:val="15"/>
              </w:rPr>
              <w:t>4</w:t>
            </w:r>
          </w:p>
        </w:tc>
        <w:tc>
          <w:tcPr>
            <w:tcW w:type="dxa" w:w="3969"/>
          </w:tcPr>
          <w:p>
            <w:r>
              <w:rPr>
                <w:sz w:val="15"/>
              </w:rPr>
              <w:t>Vorbereitung der Steering-Committee-Sitzung 02</w:t>
            </w:r>
          </w:p>
        </w:tc>
        <w:tc>
          <w:tcPr>
            <w:tcW w:type="dxa" w:w="1928"/>
          </w:tcPr>
          <w:p>
            <w:r>
              <w:rPr>
                <w:sz w:val="15"/>
              </w:rPr>
              <w:t>D. Okonjo</w:t>
            </w:r>
          </w:p>
        </w:tc>
        <w:tc>
          <w:tcPr>
            <w:tcW w:type="dxa" w:w="1020"/>
          </w:tcPr>
          <w:p>
            <w:r>
              <w:rPr>
                <w:sz w:val="15"/>
              </w:rPr>
              <w:t>15</w:t>
            </w:r>
          </w:p>
        </w:tc>
        <w:tc>
          <w:tcPr>
            <w:tcW w:type="dxa" w:w="2041"/>
          </w:tcPr>
          <w:p>
            <w:r>
              <w:rPr>
                <w:sz w:val="15"/>
              </w:rPr>
              <w:t>Diskussion</w:t>
            </w:r>
          </w:p>
        </w:tc>
      </w:tr>
      <w:tr>
        <w:tc>
          <w:tcPr>
            <w:tcW w:type="dxa" w:w="680"/>
          </w:tcPr>
          <w:p>
            <w:r>
              <w:rPr>
                <w:sz w:val="15"/>
              </w:rPr>
              <w:t>5</w:t>
            </w:r>
          </w:p>
        </w:tc>
        <w:tc>
          <w:tcPr>
            <w:tcW w:type="dxa" w:w="3969"/>
          </w:tcPr>
          <w:p>
            <w:r>
              <w:rPr>
                <w:sz w:val="15"/>
              </w:rPr>
              <w:t>Offene Punkte aus der Vorwoche</w:t>
            </w:r>
          </w:p>
        </w:tc>
        <w:tc>
          <w:tcPr>
            <w:tcW w:type="dxa" w:w="1928"/>
          </w:tcPr>
          <w:p>
            <w:r>
              <w:rPr>
                <w:sz w:val="15"/>
              </w:rPr>
              <w:t>S. Lindqvist</w:t>
            </w:r>
          </w:p>
        </w:tc>
        <w:tc>
          <w:tcPr>
            <w:tcW w:type="dxa" w:w="1020"/>
          </w:tcPr>
          <w:p>
            <w:r>
              <w:rPr>
                <w:sz w:val="15"/>
              </w:rPr>
              <w:t>5</w:t>
            </w:r>
          </w:p>
        </w:tc>
        <w:tc>
          <w:tcPr>
            <w:tcW w:type="dxa" w:w="2041"/>
          </w:tcPr>
          <w:p>
            <w:r>
              <w:rPr>
                <w:sz w:val="15"/>
              </w:rPr>
              <w:t>Information</w:t>
            </w:r>
          </w:p>
        </w:tc>
      </w:tr>
    </w:tbl>
    <w:p/>
    <w:p>
      <w:pPr>
        <w:pStyle w:val="Heading1"/>
      </w:pPr>
      <w:r>
        <w:t>3. Statusrunde Teilprojekte</w:t>
      </w:r>
    </w:p>
    <w:p>
      <w:r>
        <w:rPr>
          <w:i/>
          <w:color w:val="75787B"/>
          <w:sz w:val="16"/>
        </w:rPr>
        <w:t>Kurzstatus je Teilprojekt. Fuehrende Quelle fuer Aufgaben und Termine ist der Integration Tracker, Stand 29.09.2016, gemaess Beschluss B-02.</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680"/>
            <w:shd w:val="clear" w:color="auto" w:fill="046A38"/>
          </w:tcPr>
          <w:p>
            <w:r>
              <w:rPr>
                <w:b/>
                <w:color w:val="FFFFFF"/>
                <w:sz w:val="15"/>
              </w:rPr>
              <w:t>Nr.</w:t>
            </w:r>
          </w:p>
        </w:tc>
        <w:tc>
          <w:tcPr>
            <w:tcW w:type="dxa" w:w="1928"/>
            <w:shd w:val="clear" w:color="auto" w:fill="046A38"/>
          </w:tcPr>
          <w:p>
            <w:r>
              <w:rPr>
                <w:b/>
                <w:color w:val="FFFFFF"/>
                <w:sz w:val="15"/>
              </w:rPr>
              <w:t>Teilprojekt</w:t>
            </w:r>
          </w:p>
        </w:tc>
        <w:tc>
          <w:tcPr>
            <w:tcW w:type="dxa" w:w="1587"/>
            <w:shd w:val="clear" w:color="auto" w:fill="046A38"/>
          </w:tcPr>
          <w:p>
            <w:r>
              <w:rPr>
                <w:b/>
                <w:color w:val="FFFFFF"/>
                <w:sz w:val="15"/>
              </w:rPr>
              <w:t>Leitung</w:t>
            </w:r>
          </w:p>
        </w:tc>
        <w:tc>
          <w:tcPr>
            <w:tcW w:type="dxa" w:w="794"/>
            <w:shd w:val="clear" w:color="auto" w:fill="046A38"/>
          </w:tcPr>
          <w:p>
            <w:r>
              <w:rPr>
                <w:b/>
                <w:color w:val="FFFFFF"/>
                <w:sz w:val="15"/>
              </w:rPr>
              <w:t>Ampel</w:t>
            </w:r>
          </w:p>
        </w:tc>
        <w:tc>
          <w:tcPr>
            <w:tcW w:type="dxa" w:w="1134"/>
            <w:shd w:val="clear" w:color="auto" w:fill="046A38"/>
          </w:tcPr>
          <w:p>
            <w:r>
              <w:rPr>
                <w:b/>
                <w:color w:val="FFFFFF"/>
                <w:sz w:val="15"/>
              </w:rPr>
              <w:t>Fortschritt</w:t>
            </w:r>
          </w:p>
        </w:tc>
        <w:tc>
          <w:tcPr>
            <w:tcW w:type="dxa" w:w="1247"/>
            <w:shd w:val="clear" w:color="auto" w:fill="046A38"/>
          </w:tcPr>
          <w:p>
            <w:r>
              <w:rPr>
                <w:b/>
                <w:color w:val="FFFFFF"/>
                <w:sz w:val="15"/>
              </w:rPr>
              <w:t>Ueberfaellig</w:t>
            </w:r>
          </w:p>
        </w:tc>
        <w:tc>
          <w:tcPr>
            <w:tcW w:type="dxa" w:w="2268"/>
            <w:shd w:val="clear" w:color="auto" w:fill="046A38"/>
          </w:tcPr>
          <w:p>
            <w:r>
              <w:rPr>
                <w:b/>
                <w:color w:val="FFFFFF"/>
                <w:sz w:val="15"/>
              </w:rPr>
              <w:t>Verzoegerte Meilensteine</w:t>
            </w:r>
          </w:p>
        </w:tc>
      </w:tr>
      <w:tr>
        <w:tc>
          <w:tcPr>
            <w:tcW w:type="dxa" w:w="680"/>
          </w:tcPr>
          <w:p>
            <w:r>
              <w:rPr>
                <w:sz w:val="15"/>
              </w:rPr>
              <w:t>WS1</w:t>
            </w:r>
          </w:p>
        </w:tc>
        <w:tc>
          <w:tcPr>
            <w:tcW w:type="dxa" w:w="1928"/>
          </w:tcPr>
          <w:p>
            <w:r>
              <w:rPr>
                <w:sz w:val="15"/>
              </w:rPr>
              <w:t>Finanzen</w:t>
            </w:r>
          </w:p>
        </w:tc>
        <w:tc>
          <w:tcPr>
            <w:tcW w:type="dxa" w:w="1587"/>
          </w:tcPr>
          <w:p>
            <w:r>
              <w:rPr>
                <w:sz w:val="15"/>
              </w:rPr>
              <w:t>R. Whitfield</w:t>
            </w:r>
          </w:p>
        </w:tc>
        <w:tc>
          <w:tcPr>
            <w:tcW w:type="dxa" w:w="794"/>
          </w:tcPr>
          <w:p>
            <w:r>
              <w:rPr>
                <w:sz w:val="15"/>
              </w:rPr>
              <w:t>Gruen</w:t>
            </w:r>
          </w:p>
        </w:tc>
        <w:tc>
          <w:tcPr>
            <w:tcW w:type="dxa" w:w="1134"/>
          </w:tcPr>
          <w:p>
            <w:r>
              <w:rPr>
                <w:sz w:val="15"/>
              </w:rPr>
              <w:t>57 %</w:t>
            </w:r>
          </w:p>
        </w:tc>
        <w:tc>
          <w:tcPr>
            <w:tcW w:type="dxa" w:w="1247"/>
          </w:tcPr>
          <w:p>
            <w:r>
              <w:rPr>
                <w:sz w:val="15"/>
              </w:rPr>
              <w:t>0</w:t>
            </w:r>
          </w:p>
        </w:tc>
        <w:tc>
          <w:tcPr>
            <w:tcW w:type="dxa" w:w="2268"/>
          </w:tcPr>
          <w:p>
            <w:r>
              <w:rPr>
                <w:sz w:val="15"/>
              </w:rPr>
              <w:t>keiner</w:t>
            </w:r>
          </w:p>
        </w:tc>
      </w:tr>
      <w:tr>
        <w:tc>
          <w:tcPr>
            <w:tcW w:type="dxa" w:w="680"/>
          </w:tcPr>
          <w:p>
            <w:r>
              <w:rPr>
                <w:sz w:val="15"/>
              </w:rPr>
              <w:t>WS2</w:t>
            </w:r>
          </w:p>
        </w:tc>
        <w:tc>
          <w:tcPr>
            <w:tcW w:type="dxa" w:w="1928"/>
          </w:tcPr>
          <w:p>
            <w:r>
              <w:rPr>
                <w:sz w:val="15"/>
              </w:rPr>
              <w:t>Steuern</w:t>
            </w:r>
          </w:p>
        </w:tc>
        <w:tc>
          <w:tcPr>
            <w:tcW w:type="dxa" w:w="1587"/>
          </w:tcPr>
          <w:p>
            <w:r>
              <w:rPr>
                <w:sz w:val="15"/>
              </w:rPr>
              <w:t>N. Devereux</w:t>
            </w:r>
          </w:p>
        </w:tc>
        <w:tc>
          <w:tcPr>
            <w:tcW w:type="dxa" w:w="794"/>
          </w:tcPr>
          <w:p>
            <w:r>
              <w:rPr>
                <w:b/>
                <w:color w:val="DA291C"/>
                <w:sz w:val="15"/>
              </w:rPr>
              <w:t>Rot</w:t>
            </w:r>
          </w:p>
        </w:tc>
        <w:tc>
          <w:tcPr>
            <w:tcW w:type="dxa" w:w="1134"/>
          </w:tcPr>
          <w:p>
            <w:r>
              <w:rPr>
                <w:sz w:val="15"/>
              </w:rPr>
              <w:t>32 %</w:t>
            </w:r>
          </w:p>
        </w:tc>
        <w:tc>
          <w:tcPr>
            <w:tcW w:type="dxa" w:w="1247"/>
          </w:tcPr>
          <w:p>
            <w:r>
              <w:rPr>
                <w:sz w:val="15"/>
              </w:rPr>
              <w:t>2</w:t>
            </w:r>
          </w:p>
        </w:tc>
        <w:tc>
          <w:tcPr>
            <w:tcW w:type="dxa" w:w="2268"/>
          </w:tcPr>
          <w:p>
            <w:r>
              <w:rPr>
                <w:sz w:val="15"/>
              </w:rPr>
              <w:t>M-05</w:t>
            </w:r>
          </w:p>
        </w:tc>
      </w:tr>
      <w:tr>
        <w:tc>
          <w:tcPr>
            <w:tcW w:type="dxa" w:w="680"/>
          </w:tcPr>
          <w:p>
            <w:r>
              <w:rPr>
                <w:sz w:val="15"/>
              </w:rPr>
              <w:t>WS3</w:t>
            </w:r>
          </w:p>
        </w:tc>
        <w:tc>
          <w:tcPr>
            <w:tcW w:type="dxa" w:w="1928"/>
          </w:tcPr>
          <w:p>
            <w:r>
              <w:rPr>
                <w:sz w:val="15"/>
              </w:rPr>
              <w:t>IT</w:t>
            </w:r>
          </w:p>
        </w:tc>
        <w:tc>
          <w:tcPr>
            <w:tcW w:type="dxa" w:w="1587"/>
          </w:tcPr>
          <w:p>
            <w:r>
              <w:rPr>
                <w:sz w:val="15"/>
              </w:rPr>
              <w:t>T. Bergström</w:t>
            </w:r>
          </w:p>
        </w:tc>
        <w:tc>
          <w:tcPr>
            <w:tcW w:type="dxa" w:w="794"/>
          </w:tcPr>
          <w:p>
            <w:r>
              <w:rPr>
                <w:b/>
                <w:color w:val="DA291C"/>
                <w:sz w:val="15"/>
              </w:rPr>
              <w:t>Rot</w:t>
            </w:r>
          </w:p>
        </w:tc>
        <w:tc>
          <w:tcPr>
            <w:tcW w:type="dxa" w:w="1134"/>
          </w:tcPr>
          <w:p>
            <w:r>
              <w:rPr>
                <w:sz w:val="15"/>
              </w:rPr>
              <w:t>59 %</w:t>
            </w:r>
          </w:p>
        </w:tc>
        <w:tc>
          <w:tcPr>
            <w:tcW w:type="dxa" w:w="1247"/>
          </w:tcPr>
          <w:p>
            <w:r>
              <w:rPr>
                <w:sz w:val="15"/>
              </w:rPr>
              <w:t>1</w:t>
            </w:r>
          </w:p>
        </w:tc>
        <w:tc>
          <w:tcPr>
            <w:tcW w:type="dxa" w:w="2268"/>
          </w:tcPr>
          <w:p>
            <w:r>
              <w:rPr>
                <w:sz w:val="15"/>
              </w:rPr>
              <w:t>M-07</w:t>
            </w:r>
          </w:p>
        </w:tc>
      </w:tr>
      <w:tr>
        <w:tc>
          <w:tcPr>
            <w:tcW w:type="dxa" w:w="680"/>
          </w:tcPr>
          <w:p>
            <w:r>
              <w:rPr>
                <w:sz w:val="15"/>
              </w:rPr>
              <w:t>WS4</w:t>
            </w:r>
          </w:p>
        </w:tc>
        <w:tc>
          <w:tcPr>
            <w:tcW w:type="dxa" w:w="1928"/>
          </w:tcPr>
          <w:p>
            <w:r>
              <w:rPr>
                <w:sz w:val="15"/>
              </w:rPr>
              <w:t>Personal</w:t>
            </w:r>
          </w:p>
        </w:tc>
        <w:tc>
          <w:tcPr>
            <w:tcW w:type="dxa" w:w="1587"/>
          </w:tcPr>
          <w:p>
            <w:r>
              <w:rPr>
                <w:sz w:val="15"/>
              </w:rPr>
              <w:t>J. Adeyemi</w:t>
            </w:r>
          </w:p>
        </w:tc>
        <w:tc>
          <w:tcPr>
            <w:tcW w:type="dxa" w:w="794"/>
          </w:tcPr>
          <w:p>
            <w:r>
              <w:rPr>
                <w:b/>
                <w:color w:val="DA291C"/>
                <w:sz w:val="15"/>
              </w:rPr>
              <w:t>Rot</w:t>
            </w:r>
          </w:p>
        </w:tc>
        <w:tc>
          <w:tcPr>
            <w:tcW w:type="dxa" w:w="1134"/>
          </w:tcPr>
          <w:p>
            <w:r>
              <w:rPr>
                <w:sz w:val="15"/>
              </w:rPr>
              <w:t>49 %</w:t>
            </w:r>
          </w:p>
        </w:tc>
        <w:tc>
          <w:tcPr>
            <w:tcW w:type="dxa" w:w="1247"/>
          </w:tcPr>
          <w:p>
            <w:r>
              <w:rPr>
                <w:sz w:val="15"/>
              </w:rPr>
              <w:t>1</w:t>
            </w:r>
          </w:p>
        </w:tc>
        <w:tc>
          <w:tcPr>
            <w:tcW w:type="dxa" w:w="2268"/>
          </w:tcPr>
          <w:p>
            <w:r>
              <w:rPr>
                <w:sz w:val="15"/>
              </w:rPr>
              <w:t>M-13</w:t>
            </w:r>
          </w:p>
        </w:tc>
      </w:tr>
      <w:tr>
        <w:tc>
          <w:tcPr>
            <w:tcW w:type="dxa" w:w="680"/>
          </w:tcPr>
          <w:p>
            <w:r>
              <w:rPr>
                <w:sz w:val="15"/>
              </w:rPr>
              <w:t>WS5</w:t>
            </w:r>
          </w:p>
        </w:tc>
        <w:tc>
          <w:tcPr>
            <w:tcW w:type="dxa" w:w="1928"/>
          </w:tcPr>
          <w:p>
            <w:r>
              <w:rPr>
                <w:sz w:val="15"/>
              </w:rPr>
              <w:t>Lieferkette</w:t>
            </w:r>
          </w:p>
        </w:tc>
        <w:tc>
          <w:tcPr>
            <w:tcW w:type="dxa" w:w="1587"/>
          </w:tcPr>
          <w:p>
            <w:r>
              <w:rPr>
                <w:sz w:val="15"/>
              </w:rPr>
              <w:t>K. Matsuda</w:t>
            </w:r>
          </w:p>
        </w:tc>
        <w:tc>
          <w:tcPr>
            <w:tcW w:type="dxa" w:w="794"/>
          </w:tcPr>
          <w:p>
            <w:r>
              <w:rPr>
                <w:sz w:val="15"/>
              </w:rPr>
              <w:t>Gruen</w:t>
            </w:r>
          </w:p>
        </w:tc>
        <w:tc>
          <w:tcPr>
            <w:tcW w:type="dxa" w:w="1134"/>
          </w:tcPr>
          <w:p>
            <w:r>
              <w:rPr>
                <w:sz w:val="15"/>
              </w:rPr>
              <w:t>37 %</w:t>
            </w:r>
          </w:p>
        </w:tc>
        <w:tc>
          <w:tcPr>
            <w:tcW w:type="dxa" w:w="1247"/>
          </w:tcPr>
          <w:p>
            <w:r>
              <w:rPr>
                <w:sz w:val="15"/>
              </w:rPr>
              <w:t>0</w:t>
            </w:r>
          </w:p>
        </w:tc>
        <w:tc>
          <w:tcPr>
            <w:tcW w:type="dxa" w:w="2268"/>
          </w:tcPr>
          <w:p>
            <w:r>
              <w:rPr>
                <w:sz w:val="15"/>
              </w:rPr>
              <w:t>keiner</w:t>
            </w:r>
          </w:p>
        </w:tc>
      </w:tr>
      <w:tr>
        <w:tc>
          <w:tcPr>
            <w:tcW w:type="dxa" w:w="680"/>
          </w:tcPr>
          <w:p>
            <w:r>
              <w:rPr>
                <w:sz w:val="15"/>
              </w:rPr>
              <w:t>WS6</w:t>
            </w:r>
          </w:p>
        </w:tc>
        <w:tc>
          <w:tcPr>
            <w:tcW w:type="dxa" w:w="1928"/>
          </w:tcPr>
          <w:p>
            <w:r>
              <w:rPr>
                <w:sz w:val="15"/>
              </w:rPr>
              <w:t>Vertrieb und Marketing</w:t>
            </w:r>
          </w:p>
        </w:tc>
        <w:tc>
          <w:tcPr>
            <w:tcW w:type="dxa" w:w="1587"/>
          </w:tcPr>
          <w:p>
            <w:r>
              <w:rPr>
                <w:sz w:val="15"/>
              </w:rPr>
              <w:t>L. Kowalczyk</w:t>
            </w:r>
          </w:p>
        </w:tc>
        <w:tc>
          <w:tcPr>
            <w:tcW w:type="dxa" w:w="794"/>
          </w:tcPr>
          <w:p>
            <w:r>
              <w:rPr>
                <w:sz w:val="15"/>
              </w:rPr>
              <w:t>Gruen</w:t>
            </w:r>
          </w:p>
        </w:tc>
        <w:tc>
          <w:tcPr>
            <w:tcW w:type="dxa" w:w="1134"/>
          </w:tcPr>
          <w:p>
            <w:r>
              <w:rPr>
                <w:sz w:val="15"/>
              </w:rPr>
              <w:t>47 %</w:t>
            </w:r>
          </w:p>
        </w:tc>
        <w:tc>
          <w:tcPr>
            <w:tcW w:type="dxa" w:w="1247"/>
          </w:tcPr>
          <w:p>
            <w:r>
              <w:rPr>
                <w:sz w:val="15"/>
              </w:rPr>
              <w:t>0</w:t>
            </w:r>
          </w:p>
        </w:tc>
        <w:tc>
          <w:tcPr>
            <w:tcW w:type="dxa" w:w="2268"/>
          </w:tcPr>
          <w:p>
            <w:r>
              <w:rPr>
                <w:sz w:val="15"/>
              </w:rPr>
              <w:t>keiner</w:t>
            </w:r>
          </w:p>
        </w:tc>
      </w:tr>
      <w:tr>
        <w:tc>
          <w:tcPr>
            <w:tcW w:type="dxa" w:w="680"/>
          </w:tcPr>
          <w:p>
            <w:r>
              <w:rPr>
                <w:sz w:val="15"/>
              </w:rPr>
              <w:t>WS7</w:t>
            </w:r>
          </w:p>
        </w:tc>
        <w:tc>
          <w:tcPr>
            <w:tcW w:type="dxa" w:w="1928"/>
          </w:tcPr>
          <w:p>
            <w:r>
              <w:rPr>
                <w:sz w:val="15"/>
              </w:rPr>
              <w:t>Immobilien</w:t>
            </w:r>
          </w:p>
        </w:tc>
        <w:tc>
          <w:tcPr>
            <w:tcW w:type="dxa" w:w="1587"/>
          </w:tcPr>
          <w:p>
            <w:r>
              <w:rPr>
                <w:sz w:val="15"/>
              </w:rPr>
              <w:t>F. Ricciardi</w:t>
            </w:r>
          </w:p>
        </w:tc>
        <w:tc>
          <w:tcPr>
            <w:tcW w:type="dxa" w:w="794"/>
          </w:tcPr>
          <w:p>
            <w:r>
              <w:rPr>
                <w:sz w:val="15"/>
              </w:rPr>
              <w:t>Gruen</w:t>
            </w:r>
          </w:p>
        </w:tc>
        <w:tc>
          <w:tcPr>
            <w:tcW w:type="dxa" w:w="1134"/>
          </w:tcPr>
          <w:p>
            <w:r>
              <w:rPr>
                <w:sz w:val="15"/>
              </w:rPr>
              <w:t>48 %</w:t>
            </w:r>
          </w:p>
        </w:tc>
        <w:tc>
          <w:tcPr>
            <w:tcW w:type="dxa" w:w="1247"/>
          </w:tcPr>
          <w:p>
            <w:r>
              <w:rPr>
                <w:sz w:val="15"/>
              </w:rPr>
              <w:t>0</w:t>
            </w:r>
          </w:p>
        </w:tc>
        <w:tc>
          <w:tcPr>
            <w:tcW w:type="dxa" w:w="2268"/>
          </w:tcPr>
          <w:p>
            <w:r>
              <w:rPr>
                <w:sz w:val="15"/>
              </w:rPr>
              <w:t>keiner</w:t>
            </w:r>
          </w:p>
        </w:tc>
      </w:tr>
    </w:tbl>
    <w:p/>
    <w:p>
      <w:pPr>
        <w:pStyle w:val="Heading1"/>
      </w:pPr>
      <w:r>
        <w:t>4. Diskussion und Ergebnisse</w:t>
      </w:r>
    </w:p>
    <w:p>
      <w:pPr>
        <w:pStyle w:val="Heading2"/>
      </w:pPr>
      <w:r>
        <w:t>4.1 Meilenstein M-07, Zielbild ERP-Konsolidierung</w:t>
      </w:r>
    </w:p>
    <w:p>
      <w:r>
        <w:rPr>
          <w:sz w:val="19"/>
        </w:rPr>
        <w:t>T. Bergström berichtet, dass das Zielbild der ERP-Konsolidierung nicht zum Basistermin 07.10.2016 freigegeben werden kann. Ursache ist nicht die Integrationsarbeit selbst, sondern die parallel laufende Modernisierung des Altsystems beim Zielunternehmen: beide Vorhaben benoetigen dieselben Architekturentscheidungen und dieselben Personen.</w:t>
      </w:r>
    </w:p>
    <w:p>
      <w:r>
        <w:rPr>
          <w:sz w:val="19"/>
        </w:rPr>
        <w:t>Als Prognosetermin wird 14.10.2016 festgehalten. G. Aydin weist darauf hin, dass dieser Termin nur dann haltbar ist, wenn die erneute Extraktion der Materialstammdaten bis 21.10.2016 verwertbar vorliegt; andernfalls verschiebt sich das Zielbild ein zweites Mal.</w:t>
      </w:r>
    </w:p>
    <w:p>
      <w:r>
        <w:rPr>
          <w:sz w:val="19"/>
        </w:rPr>
        <w:t>K. Matsuda hebt hervor, dass die Abhaengigkeit D-02 damit unmittelbar betroffen ist. Die Lieferkette kann die Stammdatenbereinigung nicht abschliessen, solange das Zielsystem nicht entschieden ist.</w:t>
      </w:r>
    </w:p>
    <w:p>
      <w:r>
        <w:rPr>
          <w:i/>
          <w:color w:val="75787B"/>
          <w:sz w:val="16"/>
        </w:rPr>
        <w:t>Anmerkung der Protokollfuehrung: Der hier festgehaltene Prognosetermin wurde nach der Sitzung im Mailverlauf erneut angepasst. Das Protokoll wurde nicht nachgezogen.</w:t>
      </w:r>
    </w:p>
    <w:p>
      <w:pPr>
        <w:pStyle w:val="Heading2"/>
      </w:pPr>
      <w:r>
        <w:t>4.2 Meilenstein M-13, Anhoerung der Betriebsraete DACH</w:t>
      </w:r>
    </w:p>
    <w:p>
      <w:r>
        <w:rPr>
          <w:sz w:val="19"/>
        </w:rPr>
        <w:t>W. Kempowski berichtet, dass die Anhoerung nach den einschlaegigen Vorschriften des Betriebsverfassungsgesetzes nicht bis zum Basistermin 28.10.2016 abgeschlossen werden kann. Der Prognosetermin lautet 11.11.2016.</w:t>
      </w:r>
    </w:p>
    <w:p>
      <w:r>
        <w:rPr>
          <w:sz w:val="19"/>
        </w:rPr>
        <w:t>B. Steinmüller stellt klar, dass es sich um ein rechtliches Tor handelt und nicht um eine Kommunikationspraeferenz. Eine Veroeffentlichung der Zielstruktur vor Abschluss der Anhoerung wuerde ein Compliance-Risiko erzeugen.</w:t>
      </w:r>
    </w:p>
    <w:p>
      <w:r>
        <w:rPr>
          <w:sz w:val="19"/>
        </w:rPr>
        <w:t>L. Kowalczyk weist auf die Folgewirkung hin: das Verguetungsmodell im Vertrieb (M-09) haengt an derselben Freigabe, und davon wiederum die Gebiets- und Quotenzuordnung.</w:t>
      </w:r>
    </w:p>
    <w:p>
      <w:pPr>
        <w:pStyle w:val="Heading2"/>
      </w:pPr>
      <w:r>
        <w:t>4.3 Vorbereitung der Steering-Committee-Sitzung 02</w:t>
      </w:r>
    </w:p>
    <w:p>
      <w:r>
        <w:rPr>
          <w:sz w:val="19"/>
        </w:rPr>
        <w:t>D. Okonjo fasst zusammen: dem Steering Committee wird am 29.09.2016 ein Beschluss vorgelegt, den Termin des Wertrealisierungsberichts zu Day 100 zu halten und stattdessen den Umfang neu zu takten. Die Alternative, den Termin zu verschieben, wird ausdruecklich nicht empfohlen, weil es sich um eine Zusage an den Sponsor handelt.</w:t>
      </w:r>
    </w:p>
    <w:p>
      <w:r>
        <w:rPr>
          <w:sz w:val="19"/>
        </w:rPr>
        <w:t>C. Ferreira ergaenzt, dass die Priorisierung nach dem Wertpriorisierungsrahmen bereits die Grundlage liefert, um zu bestimmen, welcher Umfang verschoben werden kann, ohne den wesentlichen Teil des Wertbeitrags zu gefaehrden.</w:t>
      </w:r>
    </w:p>
    <w:p>
      <w:pPr>
        <w:pStyle w:val="Heading1"/>
      </w:pPr>
      <w:r>
        <w:t>5. Beschluesse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680"/>
            <w:shd w:val="clear" w:color="auto" w:fill="046A38"/>
          </w:tcPr>
          <w:p>
            <w:r>
              <w:rPr>
                <w:b/>
                <w:color w:val="FFFFFF"/>
                <w:sz w:val="15"/>
              </w:rPr>
              <w:t>Nr.</w:t>
            </w:r>
          </w:p>
        </w:tc>
        <w:tc>
          <w:tcPr>
            <w:tcW w:type="dxa" w:w="2835"/>
            <w:shd w:val="clear" w:color="auto" w:fill="046A38"/>
          </w:tcPr>
          <w:p>
            <w:r>
              <w:rPr>
                <w:b/>
                <w:color w:val="FFFFFF"/>
                <w:sz w:val="15"/>
              </w:rPr>
              <w:t>Beschluss</w:t>
            </w:r>
          </w:p>
        </w:tc>
        <w:tc>
          <w:tcPr>
            <w:tcW w:type="dxa" w:w="2494"/>
            <w:shd w:val="clear" w:color="auto" w:fill="046A38"/>
          </w:tcPr>
          <w:p>
            <w:r>
              <w:rPr>
                <w:b/>
                <w:color w:val="FFFFFF"/>
                <w:sz w:val="15"/>
              </w:rPr>
              <w:t>Begruendung</w:t>
            </w:r>
          </w:p>
        </w:tc>
        <w:tc>
          <w:tcPr>
            <w:tcW w:type="dxa" w:w="1134"/>
            <w:shd w:val="clear" w:color="auto" w:fill="046A38"/>
          </w:tcPr>
          <w:p>
            <w:r>
              <w:rPr>
                <w:b/>
                <w:color w:val="FFFFFF"/>
                <w:sz w:val="15"/>
              </w:rPr>
              <w:t>Gremium</w:t>
            </w:r>
          </w:p>
        </w:tc>
        <w:tc>
          <w:tcPr>
            <w:tcW w:type="dxa" w:w="1134"/>
            <w:shd w:val="clear" w:color="auto" w:fill="046A38"/>
          </w:tcPr>
          <w:p>
            <w:r>
              <w:rPr>
                <w:b/>
                <w:color w:val="FFFFFF"/>
                <w:sz w:val="15"/>
              </w:rPr>
              <w:t>Datum</w:t>
            </w:r>
          </w:p>
        </w:tc>
        <w:tc>
          <w:tcPr>
            <w:tcW w:type="dxa" w:w="1361"/>
            <w:shd w:val="clear" w:color="auto" w:fill="046A38"/>
          </w:tcPr>
          <w:p>
            <w:r>
              <w:rPr>
                <w:b/>
                <w:color w:val="FFFFFF"/>
                <w:sz w:val="15"/>
              </w:rPr>
              <w:t>Betroffen</w:t>
            </w:r>
          </w:p>
        </w:tc>
      </w:tr>
      <w:tr>
        <w:tc>
          <w:tcPr>
            <w:tcW w:type="dxa" w:w="680"/>
          </w:tcPr>
          <w:p>
            <w:r>
              <w:rPr>
                <w:sz w:val="15"/>
              </w:rPr>
              <w:t>B-01</w:t>
            </w:r>
          </w:p>
        </w:tc>
        <w:tc>
          <w:tcPr>
            <w:tcW w:type="dxa" w:w="2835"/>
          </w:tcPr>
          <w:p>
            <w:r>
              <w:rPr>
                <w:sz w:val="15"/>
              </w:rPr>
              <w:t>Den Wertpriorisierungsrahmen als alleinige Grundlage fuer die Reihenfolge der In</w:t>
            </w:r>
          </w:p>
        </w:tc>
        <w:tc>
          <w:tcPr>
            <w:tcW w:type="dxa" w:w="2494"/>
          </w:tcPr>
          <w:p>
            <w:r>
              <w:rPr>
                <w:sz w:val="15"/>
              </w:rPr>
              <w:t>Focus the office on the fifth of the opportunities that carries most o</w:t>
            </w:r>
          </w:p>
        </w:tc>
        <w:tc>
          <w:tcPr>
            <w:tcW w:type="dxa" w:w="1134"/>
          </w:tcPr>
          <w:p>
            <w:r>
              <w:rPr>
                <w:sz w:val="15"/>
              </w:rPr>
              <w:t>Steering Committee</w:t>
            </w:r>
          </w:p>
        </w:tc>
        <w:tc>
          <w:tcPr>
            <w:tcW w:type="dxa" w:w="1134"/>
          </w:tcPr>
          <w:p>
            <w:r>
              <w:rPr>
                <w:sz w:val="15"/>
              </w:rPr>
              <w:t>15.09.2016</w:t>
            </w:r>
          </w:p>
        </w:tc>
        <w:tc>
          <w:tcPr>
            <w:tcW w:type="dxa" w:w="1361"/>
          </w:tcPr>
          <w:p>
            <w:r>
              <w:rPr>
                <w:sz w:val="15"/>
              </w:rPr>
              <w:t>all</w:t>
            </w:r>
          </w:p>
        </w:tc>
      </w:tr>
      <w:tr>
        <w:tc>
          <w:tcPr>
            <w:tcW w:type="dxa" w:w="680"/>
          </w:tcPr>
          <w:p>
            <w:r>
              <w:rPr>
                <w:sz w:val="15"/>
              </w:rPr>
              <w:t>B-02</w:t>
            </w:r>
          </w:p>
        </w:tc>
        <w:tc>
          <w:tcPr>
            <w:tcW w:type="dxa" w:w="2835"/>
          </w:tcPr>
          <w:p>
            <w:r>
              <w:rPr>
                <w:sz w:val="15"/>
              </w:rPr>
              <w:t>Den Integration Tracker als alleinige Quelle fuer Aufgaben, Meilensteine und Ter</w:t>
            </w:r>
          </w:p>
        </w:tc>
        <w:tc>
          <w:tcPr>
            <w:tcW w:type="dxa" w:w="2494"/>
          </w:tcPr>
          <w:p>
            <w:r>
              <w:rPr>
                <w:sz w:val="15"/>
              </w:rPr>
              <w:t xml:space="preserve">Six reporting formats were reaching the office and reconciliation was </w:t>
            </w:r>
          </w:p>
        </w:tc>
        <w:tc>
          <w:tcPr>
            <w:tcW w:type="dxa" w:w="1134"/>
          </w:tcPr>
          <w:p>
            <w:r>
              <w:rPr>
                <w:sz w:val="15"/>
              </w:rPr>
              <w:t>Steering Committee</w:t>
            </w:r>
          </w:p>
        </w:tc>
        <w:tc>
          <w:tcPr>
            <w:tcW w:type="dxa" w:w="1134"/>
          </w:tcPr>
          <w:p>
            <w:r>
              <w:rPr>
                <w:sz w:val="15"/>
              </w:rPr>
              <w:t>15.09.2016</w:t>
            </w:r>
          </w:p>
        </w:tc>
        <w:tc>
          <w:tcPr>
            <w:tcW w:type="dxa" w:w="1361"/>
          </w:tcPr>
          <w:p>
            <w:r>
              <w:rPr>
                <w:sz w:val="15"/>
              </w:rPr>
              <w:t>all</w:t>
            </w:r>
          </w:p>
        </w:tc>
      </w:tr>
      <w:tr>
        <w:tc>
          <w:tcPr>
            <w:tcW w:type="dxa" w:w="680"/>
          </w:tcPr>
          <w:p>
            <w:r>
              <w:rPr>
                <w:sz w:val="15"/>
              </w:rPr>
              <w:t>B-03</w:t>
            </w:r>
          </w:p>
        </w:tc>
        <w:tc>
          <w:tcPr>
            <w:tcW w:type="dxa" w:w="2835"/>
          </w:tcPr>
          <w:p>
            <w:r>
              <w:rPr>
                <w:sz w:val="15"/>
              </w:rPr>
              <w:t xml:space="preserve">Jeden Uebergabetermin zwischen Teilprojekten von beiden Teilprojektleitungen im </w:t>
            </w:r>
          </w:p>
        </w:tc>
        <w:tc>
          <w:tcPr>
            <w:tcW w:type="dxa" w:w="2494"/>
          </w:tcPr>
          <w:p>
            <w:r>
              <w:rPr>
                <w:sz w:val="15"/>
              </w:rPr>
              <w:t>Teams understand their own responsibilities but not how their activiti</w:t>
            </w:r>
          </w:p>
        </w:tc>
        <w:tc>
          <w:tcPr>
            <w:tcW w:type="dxa" w:w="1134"/>
          </w:tcPr>
          <w:p>
            <w:r>
              <w:rPr>
                <w:sz w:val="15"/>
              </w:rPr>
              <w:t>Steering Committee</w:t>
            </w:r>
          </w:p>
        </w:tc>
        <w:tc>
          <w:tcPr>
            <w:tcW w:type="dxa" w:w="1134"/>
          </w:tcPr>
          <w:p>
            <w:r>
              <w:rPr>
                <w:sz w:val="15"/>
              </w:rPr>
              <w:t>15.09.2016</w:t>
            </w:r>
          </w:p>
        </w:tc>
        <w:tc>
          <w:tcPr>
            <w:tcW w:type="dxa" w:w="1361"/>
          </w:tcPr>
          <w:p>
            <w:r>
              <w:rPr>
                <w:sz w:val="15"/>
              </w:rPr>
              <w:t>all</w:t>
            </w:r>
          </w:p>
        </w:tc>
      </w:tr>
      <w:tr>
        <w:tc>
          <w:tcPr>
            <w:tcW w:type="dxa" w:w="680"/>
          </w:tcPr>
          <w:p>
            <w:r>
              <w:rPr>
                <w:sz w:val="15"/>
              </w:rPr>
              <w:t>B-04</w:t>
            </w:r>
          </w:p>
        </w:tc>
        <w:tc>
          <w:tcPr>
            <w:tcW w:type="dxa" w:w="2835"/>
          </w:tcPr>
          <w:p>
            <w:r>
              <w:rPr>
                <w:sz w:val="15"/>
              </w:rPr>
              <w:t>Den Umfang der laufenden ERP-Modernisierung beim Zielunternehmen einfrieren, bis</w:t>
            </w:r>
          </w:p>
        </w:tc>
        <w:tc>
          <w:tcPr>
            <w:tcW w:type="dxa" w:w="2494"/>
          </w:tcPr>
          <w:p>
            <w:r>
              <w:rPr>
                <w:sz w:val="15"/>
              </w:rPr>
              <w:t>The upgrade and the integration design were competing for the same arc</w:t>
            </w:r>
          </w:p>
        </w:tc>
        <w:tc>
          <w:tcPr>
            <w:tcW w:type="dxa" w:w="1134"/>
          </w:tcPr>
          <w:p>
            <w:r>
              <w:rPr>
                <w:sz w:val="15"/>
              </w:rPr>
              <w:t>VCIO</w:t>
            </w:r>
          </w:p>
        </w:tc>
        <w:tc>
          <w:tcPr>
            <w:tcW w:type="dxa" w:w="1134"/>
          </w:tcPr>
          <w:p>
            <w:r>
              <w:rPr>
                <w:sz w:val="15"/>
              </w:rPr>
              <w:t>21.09.2016</w:t>
            </w:r>
          </w:p>
        </w:tc>
        <w:tc>
          <w:tcPr>
            <w:tcW w:type="dxa" w:w="1361"/>
          </w:tcPr>
          <w:p>
            <w:r>
              <w:rPr>
                <w:sz w:val="15"/>
              </w:rPr>
              <w:t>WS3, WS1, WS5</w:t>
            </w:r>
          </w:p>
        </w:tc>
      </w:tr>
      <w:tr>
        <w:tc>
          <w:tcPr>
            <w:tcW w:type="dxa" w:w="680"/>
          </w:tcPr>
          <w:p>
            <w:r>
              <w:rPr>
                <w:sz w:val="15"/>
              </w:rPr>
              <w:t>B-05</w:t>
            </w:r>
          </w:p>
        </w:tc>
        <w:tc>
          <w:tcPr>
            <w:tcW w:type="dxa" w:w="2835"/>
          </w:tcPr>
          <w:p>
            <w:r>
              <w:rPr>
                <w:sz w:val="15"/>
              </w:rPr>
              <w:t>Mitbestimmte Einheiten aus der ersten Organisationsankuendigung ausnehmen</w:t>
            </w:r>
          </w:p>
        </w:tc>
        <w:tc>
          <w:tcPr>
            <w:tcW w:type="dxa" w:w="2494"/>
          </w:tcPr>
          <w:p>
            <w:r>
              <w:rPr>
                <w:sz w:val="15"/>
              </w:rPr>
              <w:t>German consultation is a legal gate, not a communication preference; a</w:t>
            </w:r>
          </w:p>
        </w:tc>
        <w:tc>
          <w:tcPr>
            <w:tcW w:type="dxa" w:w="1134"/>
          </w:tcPr>
          <w:p>
            <w:r>
              <w:rPr>
                <w:sz w:val="15"/>
              </w:rPr>
              <w:t>VCIO</w:t>
            </w:r>
          </w:p>
        </w:tc>
        <w:tc>
          <w:tcPr>
            <w:tcW w:type="dxa" w:w="1134"/>
          </w:tcPr>
          <w:p>
            <w:r>
              <w:rPr>
                <w:sz w:val="15"/>
              </w:rPr>
              <w:t>27.09.2016</w:t>
            </w:r>
          </w:p>
        </w:tc>
        <w:tc>
          <w:tcPr>
            <w:tcW w:type="dxa" w:w="1361"/>
          </w:tcPr>
          <w:p>
            <w:r>
              <w:rPr>
                <w:sz w:val="15"/>
              </w:rPr>
              <w:t>WS4</w:t>
            </w:r>
          </w:p>
        </w:tc>
      </w:tr>
      <w:tr>
        <w:tc>
          <w:tcPr>
            <w:tcW w:type="dxa" w:w="680"/>
          </w:tcPr>
          <w:p>
            <w:r>
              <w:rPr>
                <w:sz w:val="15"/>
              </w:rPr>
              <w:t>B-06</w:t>
            </w:r>
          </w:p>
        </w:tc>
        <w:tc>
          <w:tcPr>
            <w:tcW w:type="dxa" w:w="2835"/>
          </w:tcPr>
          <w:p>
            <w:r>
              <w:rPr>
                <w:sz w:val="15"/>
              </w:rPr>
              <w:t>Nur von Finance validierte Initiativen als gesicherte Synergie ausweisen</w:t>
            </w:r>
          </w:p>
        </w:tc>
        <w:tc>
          <w:tcPr>
            <w:tcW w:type="dxa" w:w="2494"/>
          </w:tcPr>
          <w:p>
            <w:r>
              <w:rPr>
                <w:sz w:val="15"/>
              </w:rPr>
              <w:t>Reported secured value was running ahead of what the baseline could su</w:t>
            </w:r>
          </w:p>
        </w:tc>
        <w:tc>
          <w:tcPr>
            <w:tcW w:type="dxa" w:w="1134"/>
          </w:tcPr>
          <w:p>
            <w:r>
              <w:rPr>
                <w:sz w:val="15"/>
              </w:rPr>
              <w:t>Steering Committee</w:t>
            </w:r>
          </w:p>
        </w:tc>
        <w:tc>
          <w:tcPr>
            <w:tcW w:type="dxa" w:w="1134"/>
          </w:tcPr>
          <w:p>
            <w:r>
              <w:rPr>
                <w:sz w:val="15"/>
              </w:rPr>
              <w:t>15.09.2016</w:t>
            </w:r>
          </w:p>
        </w:tc>
        <w:tc>
          <w:tcPr>
            <w:tcW w:type="dxa" w:w="1361"/>
          </w:tcPr>
          <w:p>
            <w:r>
              <w:rPr>
                <w:sz w:val="15"/>
              </w:rPr>
              <w:t>all</w:t>
            </w:r>
          </w:p>
        </w:tc>
      </w:tr>
      <w:tr>
        <w:tc>
          <w:tcPr>
            <w:tcW w:type="dxa" w:w="680"/>
          </w:tcPr>
          <w:p>
            <w:r>
              <w:rPr>
                <w:sz w:val="15"/>
              </w:rPr>
              <w:t>B-08</w:t>
            </w:r>
          </w:p>
        </w:tc>
        <w:tc>
          <w:tcPr>
            <w:tcW w:type="dxa" w:w="2835"/>
          </w:tcPr>
          <w:p>
            <w:r>
              <w:rPr>
                <w:sz w:val="15"/>
              </w:rPr>
              <w:t>Bis zum Inkrafttreten des Betreuungsmodells woechentlich eine vorlaeufige Kunden</w:t>
            </w:r>
          </w:p>
        </w:tc>
        <w:tc>
          <w:tcPr>
            <w:tcW w:type="dxa" w:w="2494"/>
          </w:tcPr>
          <w:p>
            <w:r>
              <w:rPr>
                <w:sz w:val="15"/>
              </w:rPr>
              <w:t>Two field organisations were calling on the same accounts</w:t>
            </w:r>
          </w:p>
        </w:tc>
        <w:tc>
          <w:tcPr>
            <w:tcW w:type="dxa" w:w="1134"/>
          </w:tcPr>
          <w:p>
            <w:r>
              <w:rPr>
                <w:sz w:val="15"/>
              </w:rPr>
              <w:t>VCIO</w:t>
            </w:r>
          </w:p>
        </w:tc>
        <w:tc>
          <w:tcPr>
            <w:tcW w:type="dxa" w:w="1134"/>
          </w:tcPr>
          <w:p>
            <w:r>
              <w:rPr>
                <w:sz w:val="15"/>
              </w:rPr>
              <w:t>20.09.2016</w:t>
            </w:r>
          </w:p>
        </w:tc>
        <w:tc>
          <w:tcPr>
            <w:tcW w:type="dxa" w:w="1361"/>
          </w:tcPr>
          <w:p>
            <w:r>
              <w:rPr>
                <w:sz w:val="15"/>
              </w:rPr>
              <w:t>WS6</w:t>
            </w:r>
          </w:p>
        </w:tc>
      </w:tr>
    </w:tbl>
    <w:p/>
    <w:p>
      <w:pPr>
        <w:pStyle w:val="Heading1"/>
      </w:pPr>
      <w:r>
        <w:t>6. Aufgaben und Massnahmen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794"/>
            <w:shd w:val="clear" w:color="auto" w:fill="046A38"/>
          </w:tcPr>
          <w:p>
            <w:r>
              <w:rPr>
                <w:b/>
                <w:color w:val="FFFFFF"/>
                <w:sz w:val="15"/>
              </w:rPr>
              <w:t>Nr.</w:t>
            </w:r>
          </w:p>
        </w:tc>
        <w:tc>
          <w:tcPr>
            <w:tcW w:type="dxa" w:w="3628"/>
            <w:shd w:val="clear" w:color="auto" w:fill="046A38"/>
          </w:tcPr>
          <w:p>
            <w:r>
              <w:rPr>
                <w:b/>
                <w:color w:val="FFFFFF"/>
                <w:sz w:val="15"/>
              </w:rPr>
              <w:t>Aufgabe</w:t>
            </w:r>
          </w:p>
        </w:tc>
        <w:tc>
          <w:tcPr>
            <w:tcW w:type="dxa" w:w="1587"/>
            <w:shd w:val="clear" w:color="auto" w:fill="046A38"/>
          </w:tcPr>
          <w:p>
            <w:r>
              <w:rPr>
                <w:b/>
                <w:color w:val="FFFFFF"/>
                <w:sz w:val="15"/>
              </w:rPr>
              <w:t>Verantwortlich</w:t>
            </w:r>
          </w:p>
        </w:tc>
        <w:tc>
          <w:tcPr>
            <w:tcW w:type="dxa" w:w="1134"/>
            <w:shd w:val="clear" w:color="auto" w:fill="046A38"/>
          </w:tcPr>
          <w:p>
            <w:r>
              <w:rPr>
                <w:b/>
                <w:color w:val="FFFFFF"/>
                <w:sz w:val="15"/>
              </w:rPr>
              <w:t>Teilprojekt</w:t>
            </w:r>
          </w:p>
        </w:tc>
        <w:tc>
          <w:tcPr>
            <w:tcW w:type="dxa" w:w="1247"/>
            <w:shd w:val="clear" w:color="auto" w:fill="046A38"/>
          </w:tcPr>
          <w:p>
            <w:r>
              <w:rPr>
                <w:b/>
                <w:color w:val="FFFFFF"/>
                <w:sz w:val="15"/>
              </w:rPr>
              <w:t>Faellig am</w:t>
            </w:r>
          </w:p>
        </w:tc>
        <w:tc>
          <w:tcPr>
            <w:tcW w:type="dxa" w:w="1247"/>
            <w:shd w:val="clear" w:color="auto" w:fill="046A38"/>
          </w:tcPr>
          <w:p>
            <w:r>
              <w:rPr>
                <w:b/>
                <w:color w:val="FFFFFF"/>
                <w:sz w:val="15"/>
              </w:rPr>
              <w:t>Status</w:t>
            </w:r>
          </w:p>
        </w:tc>
      </w:tr>
      <w:tr>
        <w:tc>
          <w:tcPr>
            <w:tcW w:type="dxa" w:w="794"/>
          </w:tcPr>
          <w:p>
            <w:r>
              <w:rPr>
                <w:sz w:val="15"/>
              </w:rPr>
              <w:t>OP-01</w:t>
            </w:r>
          </w:p>
        </w:tc>
        <w:tc>
          <w:tcPr>
            <w:tcW w:type="dxa" w:w="3628"/>
          </w:tcPr>
          <w:p>
            <w:r>
              <w:rPr>
                <w:sz w:val="15"/>
              </w:rPr>
              <w:t>Die aktualisierte Abhaengigkeitskarte an alle Teilprojektleitungen versend</w:t>
            </w:r>
          </w:p>
        </w:tc>
        <w:tc>
          <w:tcPr>
            <w:tcW w:type="dxa" w:w="1587"/>
          </w:tcPr>
          <w:p>
            <w:r>
              <w:rPr>
                <w:sz w:val="15"/>
              </w:rPr>
              <w:t>D. Okonjo</w:t>
            </w:r>
          </w:p>
        </w:tc>
        <w:tc>
          <w:tcPr>
            <w:tcW w:type="dxa" w:w="1134"/>
          </w:tcPr>
          <w:p>
            <w:r>
              <w:rPr>
                <w:sz w:val="15"/>
              </w:rPr>
              <w:t>WS3</w:t>
            </w:r>
          </w:p>
        </w:tc>
        <w:tc>
          <w:tcPr>
            <w:tcW w:type="dxa" w:w="1247"/>
          </w:tcPr>
          <w:p>
            <w:r>
              <w:rPr>
                <w:sz w:val="15"/>
              </w:rPr>
              <w:t>30.09.2016</w:t>
            </w:r>
          </w:p>
        </w:tc>
        <w:tc>
          <w:tcPr>
            <w:tcW w:type="dxa" w:w="1247"/>
          </w:tcPr>
          <w:p>
            <w:r>
              <w:rPr>
                <w:sz w:val="15"/>
              </w:rPr>
              <w:t>In Arbeit</w:t>
            </w:r>
          </w:p>
        </w:tc>
      </w:tr>
      <w:tr>
        <w:tc>
          <w:tcPr>
            <w:tcW w:type="dxa" w:w="794"/>
          </w:tcPr>
          <w:p>
            <w:r>
              <w:rPr>
                <w:sz w:val="15"/>
              </w:rPr>
              <w:t>OP-02</w:t>
            </w:r>
          </w:p>
        </w:tc>
        <w:tc>
          <w:tcPr>
            <w:tcW w:type="dxa" w:w="3628"/>
          </w:tcPr>
          <w:p>
            <w:r>
              <w:rPr>
                <w:sz w:val="15"/>
              </w:rPr>
              <w:t>Wiederanlaufplan fuer das ERP-Zielbild mit datierter Prognose vorlegen</w:t>
            </w:r>
          </w:p>
        </w:tc>
        <w:tc>
          <w:tcPr>
            <w:tcW w:type="dxa" w:w="1587"/>
          </w:tcPr>
          <w:p>
            <w:r>
              <w:rPr>
                <w:sz w:val="15"/>
              </w:rPr>
              <w:t>T. Bergström</w:t>
            </w:r>
          </w:p>
        </w:tc>
        <w:tc>
          <w:tcPr>
            <w:tcW w:type="dxa" w:w="1134"/>
          </w:tcPr>
          <w:p>
            <w:r>
              <w:rPr>
                <w:sz w:val="15"/>
              </w:rPr>
              <w:t>WS3</w:t>
            </w:r>
          </w:p>
        </w:tc>
        <w:tc>
          <w:tcPr>
            <w:tcW w:type="dxa" w:w="1247"/>
          </w:tcPr>
          <w:p>
            <w:r>
              <w:rPr>
                <w:sz w:val="15"/>
              </w:rPr>
              <w:t>29.09.2016</w:t>
            </w:r>
          </w:p>
        </w:tc>
        <w:tc>
          <w:tcPr>
            <w:tcW w:type="dxa" w:w="1247"/>
          </w:tcPr>
          <w:p>
            <w:r>
              <w:rPr>
                <w:sz w:val="15"/>
              </w:rPr>
              <w:t>In Arbeit</w:t>
            </w:r>
          </w:p>
        </w:tc>
      </w:tr>
      <w:tr>
        <w:tc>
          <w:tcPr>
            <w:tcW w:type="dxa" w:w="794"/>
          </w:tcPr>
          <w:p>
            <w:r>
              <w:rPr>
                <w:sz w:val="15"/>
              </w:rPr>
              <w:t>OP-03</w:t>
            </w:r>
          </w:p>
        </w:tc>
        <w:tc>
          <w:tcPr>
            <w:tcW w:type="dxa" w:w="3628"/>
          </w:tcPr>
          <w:p>
            <w:r>
              <w:rPr>
                <w:sz w:val="15"/>
              </w:rPr>
              <w:t>Den Zeitplan der Betriebsratsanhoerung schriftlich bestaetigen</w:t>
            </w:r>
          </w:p>
        </w:tc>
        <w:tc>
          <w:tcPr>
            <w:tcW w:type="dxa" w:w="1587"/>
          </w:tcPr>
          <w:p>
            <w:r>
              <w:rPr>
                <w:sz w:val="15"/>
              </w:rPr>
              <w:t>W. Kempowski</w:t>
            </w:r>
          </w:p>
        </w:tc>
        <w:tc>
          <w:tcPr>
            <w:tcW w:type="dxa" w:w="1134"/>
          </w:tcPr>
          <w:p>
            <w:r>
              <w:rPr>
                <w:sz w:val="15"/>
              </w:rPr>
              <w:t>WS4</w:t>
            </w:r>
          </w:p>
        </w:tc>
        <w:tc>
          <w:tcPr>
            <w:tcW w:type="dxa" w:w="1247"/>
          </w:tcPr>
          <w:p>
            <w:r>
              <w:rPr>
                <w:sz w:val="15"/>
              </w:rPr>
              <w:t>30.09.2016</w:t>
            </w:r>
          </w:p>
        </w:tc>
        <w:tc>
          <w:tcPr>
            <w:tcW w:type="dxa" w:w="1247"/>
          </w:tcPr>
          <w:p>
            <w:r>
              <w:rPr>
                <w:sz w:val="15"/>
              </w:rPr>
              <w:t>In Arbeit</w:t>
            </w:r>
          </w:p>
        </w:tc>
      </w:tr>
      <w:tr>
        <w:tc>
          <w:tcPr>
            <w:tcW w:type="dxa" w:w="794"/>
          </w:tcPr>
          <w:p>
            <w:r>
              <w:rPr>
                <w:sz w:val="15"/>
              </w:rPr>
              <w:t>OP-04</w:t>
            </w:r>
          </w:p>
        </w:tc>
        <w:tc>
          <w:tcPr>
            <w:tcW w:type="dxa" w:w="3628"/>
          </w:tcPr>
          <w:p>
            <w:r>
              <w:rPr>
                <w:sz w:val="15"/>
              </w:rPr>
              <w:t>Die berichtete gesicherte Synergie auf den von Finance validierten Wert ab</w:t>
            </w:r>
          </w:p>
        </w:tc>
        <w:tc>
          <w:tcPr>
            <w:tcW w:type="dxa" w:w="1587"/>
          </w:tcPr>
          <w:p>
            <w:r>
              <w:rPr>
                <w:sz w:val="15"/>
              </w:rPr>
              <w:t>M. Haddad</w:t>
            </w:r>
          </w:p>
        </w:tc>
        <w:tc>
          <w:tcPr>
            <w:tcW w:type="dxa" w:w="1134"/>
          </w:tcPr>
          <w:p>
            <w:r>
              <w:rPr>
                <w:sz w:val="15"/>
              </w:rPr>
              <w:t>WS1</w:t>
            </w:r>
          </w:p>
        </w:tc>
        <w:tc>
          <w:tcPr>
            <w:tcW w:type="dxa" w:w="1247"/>
          </w:tcPr>
          <w:p>
            <w:r>
              <w:rPr>
                <w:sz w:val="15"/>
              </w:rPr>
              <w:t>28.09.2016</w:t>
            </w:r>
          </w:p>
        </w:tc>
        <w:tc>
          <w:tcPr>
            <w:tcW w:type="dxa" w:w="1247"/>
          </w:tcPr>
          <w:p>
            <w:r>
              <w:rPr>
                <w:sz w:val="15"/>
              </w:rPr>
              <w:t>Erledigt</w:t>
            </w:r>
          </w:p>
        </w:tc>
      </w:tr>
      <w:tr>
        <w:tc>
          <w:tcPr>
            <w:tcW w:type="dxa" w:w="794"/>
          </w:tcPr>
          <w:p>
            <w:r>
              <w:rPr>
                <w:sz w:val="15"/>
              </w:rPr>
              <w:t>OP-05</w:t>
            </w:r>
          </w:p>
        </w:tc>
        <w:tc>
          <w:tcPr>
            <w:tcW w:type="dxa" w:w="3628"/>
          </w:tcPr>
          <w:p>
            <w:r>
              <w:rPr>
                <w:sz w:val="15"/>
              </w:rPr>
              <w:t xml:space="preserve">Die steuerliche Pruefung der EMEA-Gesellschaftskette eskalieren und einen </w:t>
            </w:r>
          </w:p>
        </w:tc>
        <w:tc>
          <w:tcPr>
            <w:tcW w:type="dxa" w:w="1587"/>
          </w:tcPr>
          <w:p>
            <w:r>
              <w:rPr>
                <w:sz w:val="15"/>
              </w:rPr>
              <w:t>N. Devereux</w:t>
            </w:r>
          </w:p>
        </w:tc>
        <w:tc>
          <w:tcPr>
            <w:tcW w:type="dxa" w:w="1134"/>
          </w:tcPr>
          <w:p>
            <w:r>
              <w:rPr>
                <w:sz w:val="15"/>
              </w:rPr>
              <w:t>WS2</w:t>
            </w:r>
          </w:p>
        </w:tc>
        <w:tc>
          <w:tcPr>
            <w:tcW w:type="dxa" w:w="1247"/>
          </w:tcPr>
          <w:p>
            <w:r>
              <w:rPr>
                <w:sz w:val="15"/>
              </w:rPr>
              <w:t>03.10.2016</w:t>
            </w:r>
          </w:p>
        </w:tc>
        <w:tc>
          <w:tcPr>
            <w:tcW w:type="dxa" w:w="1247"/>
          </w:tcPr>
          <w:p>
            <w:r>
              <w:rPr>
                <w:sz w:val="15"/>
              </w:rPr>
              <w:t>Offen</w:t>
            </w:r>
          </w:p>
        </w:tc>
      </w:tr>
      <w:tr>
        <w:tc>
          <w:tcPr>
            <w:tcW w:type="dxa" w:w="794"/>
          </w:tcPr>
          <w:p>
            <w:r>
              <w:rPr>
                <w:sz w:val="15"/>
              </w:rPr>
              <w:t>OP-06</w:t>
            </w:r>
          </w:p>
        </w:tc>
        <w:tc>
          <w:tcPr>
            <w:tcW w:type="dxa" w:w="3628"/>
          </w:tcPr>
          <w:p>
            <w:r>
              <w:rPr>
                <w:sz w:val="15"/>
              </w:rPr>
              <w:t>Vor jeder Migrationswelle ein Datenqualitaetstor einziehen</w:t>
            </w:r>
          </w:p>
        </w:tc>
        <w:tc>
          <w:tcPr>
            <w:tcW w:type="dxa" w:w="1587"/>
          </w:tcPr>
          <w:p>
            <w:r>
              <w:rPr>
                <w:sz w:val="15"/>
              </w:rPr>
              <w:t>G. Aydin</w:t>
            </w:r>
          </w:p>
        </w:tc>
        <w:tc>
          <w:tcPr>
            <w:tcW w:type="dxa" w:w="1134"/>
          </w:tcPr>
          <w:p>
            <w:r>
              <w:rPr>
                <w:sz w:val="15"/>
              </w:rPr>
              <w:t>WS3</w:t>
            </w:r>
          </w:p>
        </w:tc>
        <w:tc>
          <w:tcPr>
            <w:tcW w:type="dxa" w:w="1247"/>
          </w:tcPr>
          <w:p>
            <w:r>
              <w:rPr>
                <w:sz w:val="15"/>
              </w:rPr>
              <w:t>05.10.2016</w:t>
            </w:r>
          </w:p>
        </w:tc>
        <w:tc>
          <w:tcPr>
            <w:tcW w:type="dxa" w:w="1247"/>
          </w:tcPr>
          <w:p>
            <w:r>
              <w:rPr>
                <w:sz w:val="15"/>
              </w:rPr>
              <w:t>In Arbeit</w:t>
            </w:r>
          </w:p>
        </w:tc>
      </w:tr>
      <w:tr>
        <w:tc>
          <w:tcPr>
            <w:tcW w:type="dxa" w:w="794"/>
          </w:tcPr>
          <w:p>
            <w:r>
              <w:rPr>
                <w:sz w:val="15"/>
              </w:rPr>
              <w:t>OP-07</w:t>
            </w:r>
          </w:p>
        </w:tc>
        <w:tc>
          <w:tcPr>
            <w:tcW w:type="dxa" w:w="3628"/>
          </w:tcPr>
          <w:p>
            <w:r>
              <w:rPr>
                <w:sz w:val="15"/>
              </w:rPr>
              <w:t>Die Kommunikation des Betreuungsmodells um zwei Wochen vorziehen</w:t>
            </w:r>
          </w:p>
        </w:tc>
        <w:tc>
          <w:tcPr>
            <w:tcW w:type="dxa" w:w="1587"/>
          </w:tcPr>
          <w:p>
            <w:r>
              <w:rPr>
                <w:sz w:val="15"/>
              </w:rPr>
              <w:t>L. Kowalczyk</w:t>
            </w:r>
          </w:p>
        </w:tc>
        <w:tc>
          <w:tcPr>
            <w:tcW w:type="dxa" w:w="1134"/>
          </w:tcPr>
          <w:p>
            <w:r>
              <w:rPr>
                <w:sz w:val="15"/>
              </w:rPr>
              <w:t>WS6</w:t>
            </w:r>
          </w:p>
        </w:tc>
        <w:tc>
          <w:tcPr>
            <w:tcW w:type="dxa" w:w="1247"/>
          </w:tcPr>
          <w:p>
            <w:r>
              <w:rPr>
                <w:sz w:val="15"/>
              </w:rPr>
              <w:t>07.10.2016</w:t>
            </w:r>
          </w:p>
        </w:tc>
        <w:tc>
          <w:tcPr>
            <w:tcW w:type="dxa" w:w="1247"/>
          </w:tcPr>
          <w:p>
            <w:r>
              <w:rPr>
                <w:sz w:val="15"/>
              </w:rPr>
              <w:t>Offen</w:t>
            </w:r>
          </w:p>
        </w:tc>
      </w:tr>
      <w:tr>
        <w:tc>
          <w:tcPr>
            <w:tcW w:type="dxa" w:w="794"/>
          </w:tcPr>
          <w:p>
            <w:r>
              <w:rPr>
                <w:sz w:val="15"/>
              </w:rPr>
              <w:t>OP-08</w:t>
            </w:r>
          </w:p>
        </w:tc>
        <w:tc>
          <w:tcPr>
            <w:tcW w:type="dxa" w:w="3628"/>
          </w:tcPr>
          <w:p>
            <w:r>
              <w:rPr>
                <w:sz w:val="15"/>
              </w:rPr>
              <w:t>Die Tabelle der Rolleninhaber nach dem Wechsel der Teilprojektleitung Pers</w:t>
            </w:r>
          </w:p>
        </w:tc>
        <w:tc>
          <w:tcPr>
            <w:tcW w:type="dxa" w:w="1587"/>
          </w:tcPr>
          <w:p>
            <w:r>
              <w:rPr>
                <w:sz w:val="15"/>
              </w:rPr>
              <w:t>D. Okonjo</w:t>
            </w:r>
          </w:p>
        </w:tc>
        <w:tc>
          <w:tcPr>
            <w:tcW w:type="dxa" w:w="1134"/>
          </w:tcPr>
          <w:p>
            <w:r>
              <w:rPr>
                <w:sz w:val="15"/>
              </w:rPr>
              <w:t>WS4</w:t>
            </w:r>
          </w:p>
        </w:tc>
        <w:tc>
          <w:tcPr>
            <w:tcW w:type="dxa" w:w="1247"/>
          </w:tcPr>
          <w:p>
            <w:r>
              <w:rPr>
                <w:sz w:val="15"/>
              </w:rPr>
              <w:t>30.09.2016</w:t>
            </w:r>
          </w:p>
        </w:tc>
        <w:tc>
          <w:tcPr>
            <w:tcW w:type="dxa" w:w="1247"/>
          </w:tcPr>
          <w:p>
            <w:r>
              <w:rPr>
                <w:sz w:val="15"/>
              </w:rPr>
              <w:t>In Arbeit</w:t>
            </w:r>
          </w:p>
        </w:tc>
      </w:tr>
      <w:tr>
        <w:tc>
          <w:tcPr>
            <w:tcW w:type="dxa" w:w="794"/>
          </w:tcPr>
          <w:p>
            <w:r>
              <w:rPr>
                <w:sz w:val="15"/>
              </w:rPr>
              <w:t>OP-09</w:t>
            </w:r>
          </w:p>
        </w:tc>
        <w:tc>
          <w:tcPr>
            <w:tcW w:type="dxa" w:w="3628"/>
          </w:tcPr>
          <w:p>
            <w:r>
              <w:rPr>
                <w:sz w:val="15"/>
              </w:rPr>
              <w:t>Die versicherungsmathematische Pruefung der Pensionsverpflichtung beauftra</w:t>
            </w:r>
          </w:p>
        </w:tc>
        <w:tc>
          <w:tcPr>
            <w:tcW w:type="dxa" w:w="1587"/>
          </w:tcPr>
          <w:p>
            <w:r>
              <w:rPr>
                <w:sz w:val="15"/>
              </w:rPr>
              <w:t>R. Whitfield</w:t>
            </w:r>
          </w:p>
        </w:tc>
        <w:tc>
          <w:tcPr>
            <w:tcW w:type="dxa" w:w="1134"/>
          </w:tcPr>
          <w:p>
            <w:r>
              <w:rPr>
                <w:sz w:val="15"/>
              </w:rPr>
              <w:t>WS1</w:t>
            </w:r>
          </w:p>
        </w:tc>
        <w:tc>
          <w:tcPr>
            <w:tcW w:type="dxa" w:w="1247"/>
          </w:tcPr>
          <w:p>
            <w:r>
              <w:rPr>
                <w:sz w:val="15"/>
              </w:rPr>
              <w:t>03.10.2016</w:t>
            </w:r>
          </w:p>
        </w:tc>
        <w:tc>
          <w:tcPr>
            <w:tcW w:type="dxa" w:w="1247"/>
          </w:tcPr>
          <w:p>
            <w:r>
              <w:rPr>
                <w:sz w:val="15"/>
              </w:rPr>
              <w:t>Offen</w:t>
            </w:r>
          </w:p>
        </w:tc>
      </w:tr>
      <w:tr>
        <w:tc>
          <w:tcPr>
            <w:tcW w:type="dxa" w:w="794"/>
          </w:tcPr>
          <w:p>
            <w:r>
              <w:rPr>
                <w:sz w:val="15"/>
              </w:rPr>
              <w:t>OP-10</w:t>
            </w:r>
          </w:p>
        </w:tc>
        <w:tc>
          <w:tcPr>
            <w:tcW w:type="dxa" w:w="3628"/>
          </w:tcPr>
          <w:p>
            <w:r>
              <w:rPr>
                <w:sz w:val="15"/>
              </w:rPr>
              <w:t>Die vorlaeufige Kundenzuordnung erstmals veroeffentlichen</w:t>
            </w:r>
          </w:p>
        </w:tc>
        <w:tc>
          <w:tcPr>
            <w:tcW w:type="dxa" w:w="1587"/>
          </w:tcPr>
          <w:p>
            <w:r>
              <w:rPr>
                <w:sz w:val="15"/>
              </w:rPr>
              <w:t>L. Kowalczyk</w:t>
            </w:r>
          </w:p>
        </w:tc>
        <w:tc>
          <w:tcPr>
            <w:tcW w:type="dxa" w:w="1134"/>
          </w:tcPr>
          <w:p>
            <w:r>
              <w:rPr>
                <w:sz w:val="15"/>
              </w:rPr>
              <w:t>WS6</w:t>
            </w:r>
          </w:p>
        </w:tc>
        <w:tc>
          <w:tcPr>
            <w:tcW w:type="dxa" w:w="1247"/>
          </w:tcPr>
          <w:p>
            <w:r>
              <w:rPr>
                <w:sz w:val="15"/>
              </w:rPr>
              <w:t>26.09.2016</w:t>
            </w:r>
          </w:p>
        </w:tc>
        <w:tc>
          <w:tcPr>
            <w:tcW w:type="dxa" w:w="1247"/>
          </w:tcPr>
          <w:p>
            <w:r>
              <w:rPr>
                <w:sz w:val="15"/>
              </w:rPr>
              <w:t>Erledigt</w:t>
            </w:r>
          </w:p>
        </w:tc>
      </w:tr>
      <w:tr>
        <w:tc>
          <w:tcPr>
            <w:tcW w:type="dxa" w:w="794"/>
          </w:tcPr>
          <w:p>
            <w:r>
              <w:rPr>
                <w:sz w:val="15"/>
              </w:rPr>
              <w:t>OP-11</w:t>
            </w:r>
          </w:p>
        </w:tc>
        <w:tc>
          <w:tcPr>
            <w:tcW w:type="dxa" w:w="3628"/>
          </w:tcPr>
          <w:p>
            <w:r>
              <w:rPr>
                <w:sz w:val="15"/>
              </w:rPr>
              <w:t>Umsetzungskosten fuer Initiativen ausserhalb des kritischen Pfades neu tak</w:t>
            </w:r>
          </w:p>
        </w:tc>
        <w:tc>
          <w:tcPr>
            <w:tcW w:type="dxa" w:w="1587"/>
          </w:tcPr>
          <w:p>
            <w:r>
              <w:rPr>
                <w:sz w:val="15"/>
              </w:rPr>
              <w:t>R. Whitfield</w:t>
            </w:r>
          </w:p>
        </w:tc>
        <w:tc>
          <w:tcPr>
            <w:tcW w:type="dxa" w:w="1134"/>
          </w:tcPr>
          <w:p>
            <w:r>
              <w:rPr>
                <w:sz w:val="15"/>
              </w:rPr>
              <w:t>WS1</w:t>
            </w:r>
          </w:p>
        </w:tc>
        <w:tc>
          <w:tcPr>
            <w:tcW w:type="dxa" w:w="1247"/>
          </w:tcPr>
          <w:p>
            <w:r>
              <w:rPr>
                <w:sz w:val="15"/>
              </w:rPr>
              <w:t>14.10.2016</w:t>
            </w:r>
          </w:p>
        </w:tc>
        <w:tc>
          <w:tcPr>
            <w:tcW w:type="dxa" w:w="1247"/>
          </w:tcPr>
          <w:p>
            <w:r>
              <w:rPr>
                <w:sz w:val="15"/>
              </w:rPr>
              <w:t>Offen</w:t>
            </w:r>
          </w:p>
        </w:tc>
      </w:tr>
      <w:tr>
        <w:tc>
          <w:tcPr>
            <w:tcW w:type="dxa" w:w="794"/>
          </w:tcPr>
          <w:p>
            <w:r>
              <w:rPr>
                <w:sz w:val="15"/>
              </w:rPr>
              <w:t>OP-12</w:t>
            </w:r>
          </w:p>
        </w:tc>
        <w:tc>
          <w:tcPr>
            <w:tcW w:type="dxa" w:w="3628"/>
          </w:tcPr>
          <w:p>
            <w:r>
              <w:rPr>
                <w:sz w:val="15"/>
              </w:rPr>
              <w:t>Den Vertrieb vor der Leitveranstaltung zur Portfolio-Konkordanz briefen</w:t>
            </w:r>
          </w:p>
        </w:tc>
        <w:tc>
          <w:tcPr>
            <w:tcW w:type="dxa" w:w="1587"/>
          </w:tcPr>
          <w:p>
            <w:r>
              <w:rPr>
                <w:sz w:val="15"/>
              </w:rPr>
              <w:t>E. Brannigan</w:t>
            </w:r>
          </w:p>
        </w:tc>
        <w:tc>
          <w:tcPr>
            <w:tcW w:type="dxa" w:w="1134"/>
          </w:tcPr>
          <w:p>
            <w:r>
              <w:rPr>
                <w:sz w:val="15"/>
              </w:rPr>
              <w:t>WS6</w:t>
            </w:r>
          </w:p>
        </w:tc>
        <w:tc>
          <w:tcPr>
            <w:tcW w:type="dxa" w:w="1247"/>
          </w:tcPr>
          <w:p>
            <w:r>
              <w:rPr>
                <w:sz w:val="15"/>
              </w:rPr>
              <w:t>07.10.2016</w:t>
            </w:r>
          </w:p>
        </w:tc>
        <w:tc>
          <w:tcPr>
            <w:tcW w:type="dxa" w:w="1247"/>
          </w:tcPr>
          <w:p>
            <w:r>
              <w:rPr>
                <w:sz w:val="15"/>
              </w:rPr>
              <w:t>In Arbeit</w:t>
            </w:r>
          </w:p>
        </w:tc>
      </w:tr>
    </w:tbl>
    <w:p/>
    <w:p>
      <w:pPr>
        <w:pStyle w:val="Heading1"/>
      </w:pPr>
      <w:r>
        <w:t>7. Risiken und Eskalationen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680"/>
            <w:shd w:val="clear" w:color="auto" w:fill="046A38"/>
          </w:tcPr>
          <w:p>
            <w:r>
              <w:rPr>
                <w:b/>
                <w:color w:val="FFFFFF"/>
                <w:sz w:val="15"/>
              </w:rPr>
              <w:t>Nr.</w:t>
            </w:r>
          </w:p>
        </w:tc>
        <w:tc>
          <w:tcPr>
            <w:tcW w:type="dxa" w:w="3402"/>
            <w:shd w:val="clear" w:color="auto" w:fill="046A38"/>
          </w:tcPr>
          <w:p>
            <w:r>
              <w:rPr>
                <w:b/>
                <w:color w:val="FFFFFF"/>
                <w:sz w:val="15"/>
              </w:rPr>
              <w:t>Risiko</w:t>
            </w:r>
          </w:p>
        </w:tc>
        <w:tc>
          <w:tcPr>
            <w:tcW w:type="dxa" w:w="907"/>
            <w:shd w:val="clear" w:color="auto" w:fill="046A38"/>
          </w:tcPr>
          <w:p>
            <w:r>
              <w:rPr>
                <w:b/>
                <w:color w:val="FFFFFF"/>
                <w:sz w:val="15"/>
              </w:rPr>
              <w:t>Wahrsch.</w:t>
            </w:r>
          </w:p>
        </w:tc>
        <w:tc>
          <w:tcPr>
            <w:tcW w:type="dxa" w:w="1020"/>
            <w:shd w:val="clear" w:color="auto" w:fill="046A38"/>
          </w:tcPr>
          <w:p>
            <w:r>
              <w:rPr>
                <w:b/>
                <w:color w:val="FFFFFF"/>
                <w:sz w:val="15"/>
              </w:rPr>
              <w:t>Auswirkung</w:t>
            </w:r>
          </w:p>
        </w:tc>
        <w:tc>
          <w:tcPr>
            <w:tcW w:type="dxa" w:w="907"/>
            <w:shd w:val="clear" w:color="auto" w:fill="046A38"/>
          </w:tcPr>
          <w:p>
            <w:r>
              <w:rPr>
                <w:b/>
                <w:color w:val="FFFFFF"/>
                <w:sz w:val="15"/>
              </w:rPr>
              <w:t>Schwere</w:t>
            </w:r>
          </w:p>
        </w:tc>
        <w:tc>
          <w:tcPr>
            <w:tcW w:type="dxa" w:w="1474"/>
            <w:shd w:val="clear" w:color="auto" w:fill="046A38"/>
          </w:tcPr>
          <w:p>
            <w:r>
              <w:rPr>
                <w:b/>
                <w:color w:val="FFFFFF"/>
                <w:sz w:val="15"/>
              </w:rPr>
              <w:t>Verantwortlich</w:t>
            </w:r>
          </w:p>
        </w:tc>
        <w:tc>
          <w:tcPr>
            <w:tcW w:type="dxa" w:w="1247"/>
            <w:shd w:val="clear" w:color="auto" w:fill="046A38"/>
          </w:tcPr>
          <w:p>
            <w:r>
              <w:rPr>
                <w:b/>
                <w:color w:val="FFFFFF"/>
                <w:sz w:val="15"/>
              </w:rPr>
              <w:t>Eskalation an</w:t>
            </w:r>
          </w:p>
        </w:tc>
      </w:tr>
      <w:tr>
        <w:tc>
          <w:tcPr>
            <w:tcW w:type="dxa" w:w="680"/>
          </w:tcPr>
          <w:p>
            <w:r>
              <w:rPr>
                <w:sz w:val="15"/>
              </w:rPr>
              <w:t>R-01</w:t>
            </w:r>
          </w:p>
        </w:tc>
        <w:tc>
          <w:tcPr>
            <w:tcW w:type="dxa" w:w="3402"/>
          </w:tcPr>
          <w:p>
            <w:r>
              <w:rPr>
                <w:sz w:val="15"/>
              </w:rPr>
              <w:t>Die laufende ERP-Modernisierung beim Zielunternehmen kollidiert mit dem In</w:t>
            </w:r>
          </w:p>
        </w:tc>
        <w:tc>
          <w:tcPr>
            <w:tcW w:type="dxa" w:w="907"/>
          </w:tcPr>
          <w:p>
            <w:r>
              <w:rPr>
                <w:sz w:val="15"/>
              </w:rPr>
              <w:t>4</w:t>
            </w:r>
          </w:p>
        </w:tc>
        <w:tc>
          <w:tcPr>
            <w:tcW w:type="dxa" w:w="1020"/>
          </w:tcPr>
          <w:p>
            <w:r>
              <w:rPr>
                <w:sz w:val="15"/>
              </w:rPr>
              <w:t>5</w:t>
            </w:r>
          </w:p>
        </w:tc>
        <w:tc>
          <w:tcPr>
            <w:tcW w:type="dxa" w:w="907"/>
          </w:tcPr>
          <w:p>
            <w:r>
              <w:rPr>
                <w:sz w:val="15"/>
              </w:rPr>
              <w:t>20</w:t>
            </w:r>
          </w:p>
        </w:tc>
        <w:tc>
          <w:tcPr>
            <w:tcW w:type="dxa" w:w="1474"/>
          </w:tcPr>
          <w:p>
            <w:r>
              <w:rPr>
                <w:sz w:val="15"/>
              </w:rPr>
              <w:t>T. Bergström</w:t>
            </w:r>
          </w:p>
        </w:tc>
        <w:tc>
          <w:tcPr>
            <w:tcW w:type="dxa" w:w="1247"/>
          </w:tcPr>
          <w:p>
            <w:r>
              <w:rPr>
                <w:sz w:val="15"/>
              </w:rPr>
              <w:t>Steering Committee</w:t>
            </w:r>
          </w:p>
        </w:tc>
      </w:tr>
      <w:tr>
        <w:tc>
          <w:tcPr>
            <w:tcW w:type="dxa" w:w="680"/>
          </w:tcPr>
          <w:p>
            <w:r>
              <w:rPr>
                <w:sz w:val="15"/>
              </w:rPr>
              <w:t>R-03</w:t>
            </w:r>
          </w:p>
        </w:tc>
        <w:tc>
          <w:tcPr>
            <w:tcW w:type="dxa" w:w="3402"/>
          </w:tcPr>
          <w:p>
            <w:r>
              <w:rPr>
                <w:sz w:val="15"/>
              </w:rPr>
              <w:t>Die Datenqualitaet in Lieferanten- und Materialstammdaten verhindert einen</w:t>
            </w:r>
          </w:p>
        </w:tc>
        <w:tc>
          <w:tcPr>
            <w:tcW w:type="dxa" w:w="907"/>
          </w:tcPr>
          <w:p>
            <w:r>
              <w:rPr>
                <w:sz w:val="15"/>
              </w:rPr>
              <w:t>4</w:t>
            </w:r>
          </w:p>
        </w:tc>
        <w:tc>
          <w:tcPr>
            <w:tcW w:type="dxa" w:w="1020"/>
          </w:tcPr>
          <w:p>
            <w:r>
              <w:rPr>
                <w:sz w:val="15"/>
              </w:rPr>
              <w:t>4</w:t>
            </w:r>
          </w:p>
        </w:tc>
        <w:tc>
          <w:tcPr>
            <w:tcW w:type="dxa" w:w="907"/>
          </w:tcPr>
          <w:p>
            <w:r>
              <w:rPr>
                <w:sz w:val="15"/>
              </w:rPr>
              <w:t>16</w:t>
            </w:r>
          </w:p>
        </w:tc>
        <w:tc>
          <w:tcPr>
            <w:tcW w:type="dxa" w:w="1474"/>
          </w:tcPr>
          <w:p>
            <w:r>
              <w:rPr>
                <w:sz w:val="15"/>
              </w:rPr>
              <w:t>G. Aydin</w:t>
            </w:r>
          </w:p>
        </w:tc>
        <w:tc>
          <w:tcPr>
            <w:tcW w:type="dxa" w:w="1247"/>
          </w:tcPr>
          <w:p>
            <w:r>
              <w:rPr>
                <w:sz w:val="15"/>
              </w:rPr>
              <w:t>VCIO</w:t>
            </w:r>
          </w:p>
        </w:tc>
      </w:tr>
      <w:tr>
        <w:tc>
          <w:tcPr>
            <w:tcW w:type="dxa" w:w="680"/>
          </w:tcPr>
          <w:p>
            <w:r>
              <w:rPr>
                <w:sz w:val="15"/>
              </w:rPr>
              <w:t>R-04</w:t>
            </w:r>
          </w:p>
        </w:tc>
        <w:tc>
          <w:tcPr>
            <w:tcW w:type="dxa" w:w="3402"/>
          </w:tcPr>
          <w:p>
            <w:r>
              <w:rPr>
                <w:sz w:val="15"/>
              </w:rPr>
              <w:t>Abwanderung von Schluesselkraeften in der kombinierten Vertriebsorganisati</w:t>
            </w:r>
          </w:p>
        </w:tc>
        <w:tc>
          <w:tcPr>
            <w:tcW w:type="dxa" w:w="907"/>
          </w:tcPr>
          <w:p>
            <w:r>
              <w:rPr>
                <w:sz w:val="15"/>
              </w:rPr>
              <w:t>3</w:t>
            </w:r>
          </w:p>
        </w:tc>
        <w:tc>
          <w:tcPr>
            <w:tcW w:type="dxa" w:w="1020"/>
          </w:tcPr>
          <w:p>
            <w:r>
              <w:rPr>
                <w:sz w:val="15"/>
              </w:rPr>
              <w:t>5</w:t>
            </w:r>
          </w:p>
        </w:tc>
        <w:tc>
          <w:tcPr>
            <w:tcW w:type="dxa" w:w="907"/>
          </w:tcPr>
          <w:p>
            <w:r>
              <w:rPr>
                <w:sz w:val="15"/>
              </w:rPr>
              <w:t>15</w:t>
            </w:r>
          </w:p>
        </w:tc>
        <w:tc>
          <w:tcPr>
            <w:tcW w:type="dxa" w:w="1474"/>
          </w:tcPr>
          <w:p>
            <w:r>
              <w:rPr>
                <w:sz w:val="15"/>
              </w:rPr>
              <w:t>J. Adeyemi</w:t>
            </w:r>
          </w:p>
        </w:tc>
        <w:tc>
          <w:tcPr>
            <w:tcW w:type="dxa" w:w="1247"/>
          </w:tcPr>
          <w:p>
            <w:r>
              <w:rPr>
                <w:sz w:val="15"/>
              </w:rPr>
              <w:t>Steering Committee</w:t>
            </w:r>
          </w:p>
        </w:tc>
      </w:tr>
      <w:tr>
        <w:tc>
          <w:tcPr>
            <w:tcW w:type="dxa" w:w="680"/>
          </w:tcPr>
          <w:p>
            <w:r>
              <w:rPr>
                <w:sz w:val="15"/>
              </w:rPr>
              <w:t>R-02</w:t>
            </w:r>
          </w:p>
        </w:tc>
        <w:tc>
          <w:tcPr>
            <w:tcW w:type="dxa" w:w="3402"/>
          </w:tcPr>
          <w:p>
            <w:r>
              <w:rPr>
                <w:sz w:val="15"/>
              </w:rPr>
              <w:t>Die Anhoerung des Betriebsrats in Deutschland wird nicht vor der Organisat</w:t>
            </w:r>
          </w:p>
        </w:tc>
        <w:tc>
          <w:tcPr>
            <w:tcW w:type="dxa" w:w="907"/>
          </w:tcPr>
          <w:p>
            <w:r>
              <w:rPr>
                <w:sz w:val="15"/>
              </w:rPr>
              <w:t>4</w:t>
            </w:r>
          </w:p>
        </w:tc>
        <w:tc>
          <w:tcPr>
            <w:tcW w:type="dxa" w:w="1020"/>
          </w:tcPr>
          <w:p>
            <w:r>
              <w:rPr>
                <w:sz w:val="15"/>
              </w:rPr>
              <w:t>3</w:t>
            </w:r>
          </w:p>
        </w:tc>
        <w:tc>
          <w:tcPr>
            <w:tcW w:type="dxa" w:w="907"/>
          </w:tcPr>
          <w:p>
            <w:r>
              <w:rPr>
                <w:sz w:val="15"/>
              </w:rPr>
              <w:t>12</w:t>
            </w:r>
          </w:p>
        </w:tc>
        <w:tc>
          <w:tcPr>
            <w:tcW w:type="dxa" w:w="1474"/>
          </w:tcPr>
          <w:p>
            <w:r>
              <w:rPr>
                <w:sz w:val="15"/>
              </w:rPr>
              <w:t>W. Kempowski</w:t>
            </w:r>
          </w:p>
        </w:tc>
        <w:tc>
          <w:tcPr>
            <w:tcW w:type="dxa" w:w="1247"/>
          </w:tcPr>
          <w:p>
            <w:r>
              <w:rPr>
                <w:sz w:val="15"/>
              </w:rPr>
              <w:t>VCIO</w:t>
            </w:r>
          </w:p>
        </w:tc>
      </w:tr>
      <w:tr>
        <w:tc>
          <w:tcPr>
            <w:tcW w:type="dxa" w:w="680"/>
          </w:tcPr>
          <w:p>
            <w:r>
              <w:rPr>
                <w:sz w:val="15"/>
              </w:rPr>
              <w:t>R-05</w:t>
            </w:r>
          </w:p>
        </w:tc>
        <w:tc>
          <w:tcPr>
            <w:tcW w:type="dxa" w:w="3402"/>
          </w:tcPr>
          <w:p>
            <w:r>
              <w:rPr>
                <w:sz w:val="15"/>
              </w:rPr>
              <w:t>Unklarheit beim Portfolioübergang druckt den Kunden-NPS vor der Leitverans</w:t>
            </w:r>
          </w:p>
        </w:tc>
        <w:tc>
          <w:tcPr>
            <w:tcW w:type="dxa" w:w="907"/>
          </w:tcPr>
          <w:p>
            <w:r>
              <w:rPr>
                <w:sz w:val="15"/>
              </w:rPr>
              <w:t>3</w:t>
            </w:r>
          </w:p>
        </w:tc>
        <w:tc>
          <w:tcPr>
            <w:tcW w:type="dxa" w:w="1020"/>
          </w:tcPr>
          <w:p>
            <w:r>
              <w:rPr>
                <w:sz w:val="15"/>
              </w:rPr>
              <w:t>4</w:t>
            </w:r>
          </w:p>
        </w:tc>
        <w:tc>
          <w:tcPr>
            <w:tcW w:type="dxa" w:w="907"/>
          </w:tcPr>
          <w:p>
            <w:r>
              <w:rPr>
                <w:sz w:val="15"/>
              </w:rPr>
              <w:t>12</w:t>
            </w:r>
          </w:p>
        </w:tc>
        <w:tc>
          <w:tcPr>
            <w:tcW w:type="dxa" w:w="1474"/>
          </w:tcPr>
          <w:p>
            <w:r>
              <w:rPr>
                <w:sz w:val="15"/>
              </w:rPr>
              <w:t>L. Kowalczyk</w:t>
            </w:r>
          </w:p>
        </w:tc>
        <w:tc>
          <w:tcPr>
            <w:tcW w:type="dxa" w:w="1247"/>
          </w:tcPr>
          <w:p>
            <w:r>
              <w:rPr>
                <w:sz w:val="15"/>
              </w:rPr>
              <w:t>keine</w:t>
            </w:r>
          </w:p>
        </w:tc>
      </w:tr>
      <w:tr>
        <w:tc>
          <w:tcPr>
            <w:tcW w:type="dxa" w:w="680"/>
          </w:tcPr>
          <w:p>
            <w:r>
              <w:rPr>
                <w:sz w:val="15"/>
              </w:rPr>
              <w:t>R-06</w:t>
            </w:r>
          </w:p>
        </w:tc>
        <w:tc>
          <w:tcPr>
            <w:tcW w:type="dxa" w:w="3402"/>
          </w:tcPr>
          <w:p>
            <w:r>
              <w:rPr>
                <w:sz w:val="15"/>
              </w:rPr>
              <w:t>Die gesellschaftsrechtliche Straffung verzoegert das Verrechnungspreismode</w:t>
            </w:r>
          </w:p>
        </w:tc>
        <w:tc>
          <w:tcPr>
            <w:tcW w:type="dxa" w:w="907"/>
          </w:tcPr>
          <w:p>
            <w:r>
              <w:rPr>
                <w:sz w:val="15"/>
              </w:rPr>
              <w:t>3</w:t>
            </w:r>
          </w:p>
        </w:tc>
        <w:tc>
          <w:tcPr>
            <w:tcW w:type="dxa" w:w="1020"/>
          </w:tcPr>
          <w:p>
            <w:r>
              <w:rPr>
                <w:sz w:val="15"/>
              </w:rPr>
              <w:t>4</w:t>
            </w:r>
          </w:p>
        </w:tc>
        <w:tc>
          <w:tcPr>
            <w:tcW w:type="dxa" w:w="907"/>
          </w:tcPr>
          <w:p>
            <w:r>
              <w:rPr>
                <w:sz w:val="15"/>
              </w:rPr>
              <w:t>12</w:t>
            </w:r>
          </w:p>
        </w:tc>
        <w:tc>
          <w:tcPr>
            <w:tcW w:type="dxa" w:w="1474"/>
          </w:tcPr>
          <w:p>
            <w:r>
              <w:rPr>
                <w:sz w:val="15"/>
              </w:rPr>
              <w:t>N. Devereux</w:t>
            </w:r>
          </w:p>
        </w:tc>
        <w:tc>
          <w:tcPr>
            <w:tcW w:type="dxa" w:w="1247"/>
          </w:tcPr>
          <w:p>
            <w:r>
              <w:rPr>
                <w:sz w:val="15"/>
              </w:rPr>
              <w:t>Steering Committee</w:t>
            </w:r>
          </w:p>
        </w:tc>
      </w:tr>
    </w:tbl>
    <w:p/>
    <w:p>
      <w:r>
        <w:rPr>
          <w:i/>
          <w:color w:val="75787B"/>
          <w:sz w:val="16"/>
        </w:rPr>
        <w:t>Eskalationsschwelle laut Integration Charter: ab Schwere 15 an das Steering Committee. Derzeit erfuellen 3 Risiken diese Schwelle.</w:t>
      </w:r>
    </w:p>
    <w:p>
      <w:pPr>
        <w:pStyle w:val="Heading1"/>
      </w:pPr>
      <w:r>
        <w:t>8. Offene Punkte aus der Vorwoche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680"/>
            <w:shd w:val="clear" w:color="auto" w:fill="046A38"/>
          </w:tcPr>
          <w:p>
            <w:r>
              <w:rPr>
                <w:b/>
                <w:color w:val="FFFFFF"/>
                <w:sz w:val="15"/>
              </w:rPr>
              <w:t>Nr.</w:t>
            </w:r>
          </w:p>
        </w:tc>
        <w:tc>
          <w:tcPr>
            <w:tcW w:type="dxa" w:w="2948"/>
            <w:shd w:val="clear" w:color="auto" w:fill="046A38"/>
          </w:tcPr>
          <w:p>
            <w:r>
              <w:rPr>
                <w:b/>
                <w:color w:val="FFFFFF"/>
                <w:sz w:val="15"/>
              </w:rPr>
              <w:t>Offener Punkt</w:t>
            </w:r>
          </w:p>
        </w:tc>
        <w:tc>
          <w:tcPr>
            <w:tcW w:type="dxa" w:w="1474"/>
            <w:shd w:val="clear" w:color="auto" w:fill="046A38"/>
          </w:tcPr>
          <w:p>
            <w:r>
              <w:rPr>
                <w:b/>
                <w:color w:val="FFFFFF"/>
                <w:sz w:val="15"/>
              </w:rPr>
              <w:t>Verantwortlich</w:t>
            </w:r>
          </w:p>
        </w:tc>
        <w:tc>
          <w:tcPr>
            <w:tcW w:type="dxa" w:w="1474"/>
            <w:shd w:val="clear" w:color="auto" w:fill="046A38"/>
          </w:tcPr>
          <w:p>
            <w:r>
              <w:rPr>
                <w:b/>
                <w:color w:val="FFFFFF"/>
                <w:sz w:val="15"/>
              </w:rPr>
              <w:t>Urspruenglich faellig</w:t>
            </w:r>
          </w:p>
        </w:tc>
        <w:tc>
          <w:tcPr>
            <w:tcW w:type="dxa" w:w="1247"/>
            <w:shd w:val="clear" w:color="auto" w:fill="046A38"/>
          </w:tcPr>
          <w:p>
            <w:r>
              <w:rPr>
                <w:b/>
                <w:color w:val="FFFFFF"/>
                <w:sz w:val="15"/>
              </w:rPr>
              <w:t>Neuer Termin</w:t>
            </w:r>
          </w:p>
        </w:tc>
        <w:tc>
          <w:tcPr>
            <w:tcW w:type="dxa" w:w="1134"/>
            <w:shd w:val="clear" w:color="auto" w:fill="046A38"/>
          </w:tcPr>
          <w:p>
            <w:r>
              <w:rPr>
                <w:b/>
                <w:color w:val="FFFFFF"/>
                <w:sz w:val="15"/>
              </w:rPr>
              <w:t>Verschiebungen</w:t>
            </w:r>
          </w:p>
        </w:tc>
        <w:tc>
          <w:tcPr>
            <w:tcW w:type="dxa" w:w="1247"/>
            <w:shd w:val="clear" w:color="auto" w:fill="046A38"/>
          </w:tcPr>
          <w:p>
            <w:r>
              <w:rPr>
                <w:b/>
                <w:color w:val="FFFFFF"/>
                <w:sz w:val="15"/>
              </w:rPr>
              <w:t>Status</w:t>
            </w:r>
          </w:p>
        </w:tc>
      </w:tr>
      <w:tr>
        <w:tc>
          <w:tcPr>
            <w:tcW w:type="dxa" w:w="680"/>
          </w:tcPr>
          <w:p>
            <w:r>
              <w:rPr>
                <w:sz w:val="15"/>
              </w:rPr>
              <w:t>OP-01</w:t>
            </w:r>
          </w:p>
        </w:tc>
        <w:tc>
          <w:tcPr>
            <w:tcW w:type="dxa" w:w="2948"/>
          </w:tcPr>
          <w:p>
            <w:r>
              <w:rPr>
                <w:sz w:val="15"/>
              </w:rPr>
              <w:t>Die aktualisierte Abhaengigkeitskarte an alle Teilprojektleitungen ver</w:t>
            </w:r>
          </w:p>
        </w:tc>
        <w:tc>
          <w:tcPr>
            <w:tcW w:type="dxa" w:w="1474"/>
          </w:tcPr>
          <w:p>
            <w:r>
              <w:rPr>
                <w:sz w:val="15"/>
              </w:rPr>
              <w:t>D. Okonjo</w:t>
            </w:r>
          </w:p>
        </w:tc>
        <w:tc>
          <w:tcPr>
            <w:tcW w:type="dxa" w:w="1474"/>
          </w:tcPr>
          <w:p>
            <w:r>
              <w:rPr>
                <w:sz w:val="15"/>
              </w:rPr>
              <w:t>23.09.2016</w:t>
            </w:r>
          </w:p>
        </w:tc>
        <w:tc>
          <w:tcPr>
            <w:tcW w:type="dxa" w:w="1247"/>
          </w:tcPr>
          <w:p>
            <w:r>
              <w:rPr>
                <w:sz w:val="15"/>
              </w:rPr>
              <w:t>30.09.2016</w:t>
            </w:r>
          </w:p>
        </w:tc>
        <w:tc>
          <w:tcPr>
            <w:tcW w:type="dxa" w:w="1134"/>
          </w:tcPr>
          <w:p>
            <w:r>
              <w:rPr>
                <w:sz w:val="15"/>
              </w:rPr>
              <w:t>1</w:t>
            </w:r>
          </w:p>
        </w:tc>
        <w:tc>
          <w:tcPr>
            <w:tcW w:type="dxa" w:w="1247"/>
          </w:tcPr>
          <w:p>
            <w:r>
              <w:rPr>
                <w:sz w:val="15"/>
              </w:rPr>
              <w:t>In Arbeit</w:t>
            </w:r>
          </w:p>
        </w:tc>
      </w:tr>
      <w:tr>
        <w:tc>
          <w:tcPr>
            <w:tcW w:type="dxa" w:w="680"/>
          </w:tcPr>
          <w:p>
            <w:r>
              <w:rPr>
                <w:sz w:val="15"/>
              </w:rPr>
              <w:t>OP-08</w:t>
            </w:r>
          </w:p>
        </w:tc>
        <w:tc>
          <w:tcPr>
            <w:tcW w:type="dxa" w:w="2948"/>
          </w:tcPr>
          <w:p>
            <w:r>
              <w:rPr>
                <w:sz w:val="15"/>
              </w:rPr>
              <w:t xml:space="preserve">Die Tabelle der Rolleninhaber nach dem Wechsel der Teilprojektleitung </w:t>
            </w:r>
          </w:p>
        </w:tc>
        <w:tc>
          <w:tcPr>
            <w:tcW w:type="dxa" w:w="1474"/>
          </w:tcPr>
          <w:p>
            <w:r>
              <w:rPr>
                <w:sz w:val="15"/>
              </w:rPr>
              <w:t>D. Okonjo</w:t>
            </w:r>
          </w:p>
        </w:tc>
        <w:tc>
          <w:tcPr>
            <w:tcW w:type="dxa" w:w="1474"/>
          </w:tcPr>
          <w:p>
            <w:r>
              <w:rPr>
                <w:sz w:val="15"/>
              </w:rPr>
              <w:t>23.09.2016</w:t>
            </w:r>
          </w:p>
        </w:tc>
        <w:tc>
          <w:tcPr>
            <w:tcW w:type="dxa" w:w="1247"/>
          </w:tcPr>
          <w:p>
            <w:r>
              <w:rPr>
                <w:sz w:val="15"/>
              </w:rPr>
              <w:t>30.09.2016</w:t>
            </w:r>
          </w:p>
        </w:tc>
        <w:tc>
          <w:tcPr>
            <w:tcW w:type="dxa" w:w="1134"/>
          </w:tcPr>
          <w:p>
            <w:r>
              <w:rPr>
                <w:sz w:val="15"/>
              </w:rPr>
              <w:t>1</w:t>
            </w:r>
          </w:p>
        </w:tc>
        <w:tc>
          <w:tcPr>
            <w:tcW w:type="dxa" w:w="1247"/>
          </w:tcPr>
          <w:p>
            <w:r>
              <w:rPr>
                <w:sz w:val="15"/>
              </w:rPr>
              <w:t>In Arbeit</w:t>
            </w:r>
          </w:p>
        </w:tc>
      </w:tr>
    </w:tbl>
    <w:p/>
    <w:p>
      <w:pPr>
        <w:pStyle w:val="Heading1"/>
      </w:pPr>
      <w:r>
        <w:t>9. Naechste Sitzung</w:t>
      </w:r>
    </w:p>
    <w:tbl>
      <w:tblPr>
        <w:tblStyle w:val="TableGrid"/>
        <w:tblW w:type="auto" w:w="0"/>
        <w:tblLook w:firstColumn="1" w:firstRow="1" w:lastColumn="0" w:lastRow="0" w:noHBand="0" w:noVBand="1" w:val="04A0"/>
      </w:tblPr>
      <w:tblGrid>
        <w:gridCol w:w="4986"/>
        <w:gridCol w:w="4986"/>
      </w:tblGrid>
      <w:tr>
        <w:tc>
          <w:tcPr>
            <w:tcW w:type="dxa" w:w="2835"/>
            <w:shd w:val="clear" w:color="auto" w:fill="F1F6E4"/>
          </w:tcPr>
          <w:p>
            <w:r>
              <w:rPr>
                <w:b/>
                <w:sz w:val="17"/>
              </w:rPr>
              <w:t>Termin</w:t>
            </w:r>
          </w:p>
        </w:tc>
        <w:tc>
          <w:tcPr>
            <w:tcW w:type="dxa" w:w="6803"/>
          </w:tcPr>
          <w:p>
            <w:r>
              <w:rPr>
                <w:sz w:val="17"/>
              </w:rPr>
              <w:t>04.10.2016, 09:00 Uhr MESZ</w:t>
            </w:r>
          </w:p>
        </w:tc>
      </w:tr>
      <w:tr>
        <w:tc>
          <w:tcPr>
            <w:tcW w:type="dxa" w:w="2835"/>
            <w:shd w:val="clear" w:color="auto" w:fill="F1F6E4"/>
          </w:tcPr>
          <w:p>
            <w:r>
              <w:rPr>
                <w:b/>
                <w:sz w:val="17"/>
              </w:rPr>
              <w:t>Schwerpunkt</w:t>
            </w:r>
          </w:p>
        </w:tc>
        <w:tc>
          <w:tcPr>
            <w:tcW w:type="dxa" w:w="6803"/>
          </w:tcPr>
          <w:p>
            <w:r>
              <w:rPr>
                <w:sz w:val="17"/>
              </w:rPr>
              <w:t>Stand M-07 nach erneuter Stammdatenextraktion, Vorbereitung Day 30</w:t>
            </w:r>
          </w:p>
        </w:tc>
      </w:tr>
      <w:tr>
        <w:tc>
          <w:tcPr>
            <w:tcW w:type="dxa" w:w="2835"/>
            <w:shd w:val="clear" w:color="auto" w:fill="F1F6E4"/>
          </w:tcPr>
          <w:p>
            <w:r>
              <w:rPr>
                <w:b/>
                <w:sz w:val="17"/>
              </w:rPr>
              <w:t>Vorzubereiten von</w:t>
            </w:r>
          </w:p>
        </w:tc>
        <w:tc>
          <w:tcPr>
            <w:tcW w:type="dxa" w:w="6803"/>
          </w:tcPr>
          <w:p>
            <w:r>
              <w:rPr>
                <w:sz w:val="17"/>
              </w:rPr>
              <w:t>T. Bergström und G. Aydin</w:t>
            </w:r>
          </w:p>
        </w:tc>
      </w:tr>
    </w:tbl>
    <w:p/>
    <w:p/>
    <w:p>
      <w:r>
        <w:rPr>
          <w:i/>
          <w:color w:val="75787B"/>
          <w:sz w:val="16"/>
        </w:rPr>
        <w:t>Synthetisches Dokument. Der Fallbezug (Unternehmen, Transaktionswert, Abschlussdatum, Governance-Struktur, Teilprojektzuschnitt) folgt oeffentlich verfuegbaren Quellen. Alle operativen Namen, Zahlen, Risiken, Beschluesse und Synergiewerte sind erfunden, in sich konsistent und stellen keine Aussage darueber dar, was die beteiligten Parteien tatsaechlich getan haben.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46A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46A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