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46A38"/>
          <w:sz w:val="30"/>
        </w:rPr>
        <w:t>Value Creation Integration Office - Weekly Integration Highlight Report</w:t>
      </w:r>
    </w:p>
    <w:p>
      <w:r>
        <w:rPr>
          <w:color w:val="75787B"/>
          <w:sz w:val="19"/>
        </w:rPr>
        <w:t>Dell Inc. and EMC Corporation  |  Reporting week W3 (26 - 30 September 2016)  |  Day 22 after Day 1</w:t>
      </w:r>
    </w:p>
    <w:p/>
    <w:tbl>
      <w:tblPr>
        <w:tblStyle w:val="TableGrid"/>
        <w:tblW w:type="auto" w:w="0"/>
        <w:tblLook w:firstColumn="1" w:firstRow="1" w:lastColumn="0" w:lastRow="0" w:noHBand="0" w:noVBand="1" w:val="04A0"/>
      </w:tblPr>
      <w:tblGrid>
        <w:gridCol w:w="4986"/>
        <w:gridCol w:w="4986"/>
      </w:tblGrid>
      <w:tr>
        <w:tc>
          <w:tcPr>
            <w:tcW w:type="dxa" w:w="2835"/>
            <w:shd w:val="clear" w:color="auto" w:fill="F1F6E4"/>
          </w:tcPr>
          <w:p>
            <w:r>
              <w:rPr>
                <w:b/>
                <w:sz w:val="17"/>
              </w:rPr>
              <w:t>Document</w:t>
            </w:r>
          </w:p>
        </w:tc>
        <w:tc>
          <w:tcPr>
            <w:tcW w:type="dxa" w:w="6803"/>
          </w:tcPr>
          <w:p>
            <w:r>
              <w:rPr>
                <w:sz w:val="17"/>
              </w:rPr>
              <w:t>Weekly Integration Highlight Report</w:t>
            </w:r>
          </w:p>
        </w:tc>
      </w:tr>
      <w:tr>
        <w:tc>
          <w:tcPr>
            <w:tcW w:type="dxa" w:w="2835"/>
            <w:shd w:val="clear" w:color="auto" w:fill="F1F6E4"/>
          </w:tcPr>
          <w:p>
            <w:r>
              <w:rPr>
                <w:b/>
                <w:sz w:val="17"/>
              </w:rPr>
              <w:t>Programme</w:t>
            </w:r>
          </w:p>
        </w:tc>
        <w:tc>
          <w:tcPr>
            <w:tcW w:type="dxa" w:w="6803"/>
          </w:tcPr>
          <w:p>
            <w:r>
              <w:rPr>
                <w:sz w:val="17"/>
              </w:rPr>
              <w:t>Dell Technologies Integration, run by the Value Creation Integration Office (VCIO)</w:t>
            </w:r>
          </w:p>
        </w:tc>
      </w:tr>
      <w:tr>
        <w:tc>
          <w:tcPr>
            <w:tcW w:type="dxa" w:w="2835"/>
            <w:shd w:val="clear" w:color="auto" w:fill="F1F6E4"/>
          </w:tcPr>
          <w:p>
            <w:r>
              <w:rPr>
                <w:b/>
                <w:sz w:val="17"/>
              </w:rPr>
              <w:t>Reporting period</w:t>
            </w:r>
          </w:p>
        </w:tc>
        <w:tc>
          <w:tcPr>
            <w:tcW w:type="dxa" w:w="6803"/>
          </w:tcPr>
          <w:p>
            <w:r>
              <w:rPr>
                <w:sz w:val="17"/>
              </w:rPr>
              <w:t>26 September 2016 to 30 September 2016</w:t>
            </w:r>
          </w:p>
        </w:tc>
      </w:tr>
      <w:tr>
        <w:tc>
          <w:tcPr>
            <w:tcW w:type="dxa" w:w="2835"/>
            <w:shd w:val="clear" w:color="auto" w:fill="F1F6E4"/>
          </w:tcPr>
          <w:p>
            <w:r>
              <w:rPr>
                <w:b/>
                <w:sz w:val="17"/>
              </w:rPr>
              <w:t>Prepared by</w:t>
            </w:r>
          </w:p>
        </w:tc>
        <w:tc>
          <w:tcPr>
            <w:tcW w:type="dxa" w:w="6803"/>
          </w:tcPr>
          <w:p>
            <w:r>
              <w:rPr>
                <w:sz w:val="17"/>
              </w:rPr>
              <w:t>S. Lindqvist, VCIO Reporting Lead</w:t>
            </w:r>
          </w:p>
        </w:tc>
      </w:tr>
      <w:tr>
        <w:tc>
          <w:tcPr>
            <w:tcW w:type="dxa" w:w="2835"/>
            <w:shd w:val="clear" w:color="auto" w:fill="F1F6E4"/>
          </w:tcPr>
          <w:p>
            <w:r>
              <w:rPr>
                <w:b/>
                <w:sz w:val="17"/>
              </w:rPr>
              <w:t>Reviewed by</w:t>
            </w:r>
          </w:p>
        </w:tc>
        <w:tc>
          <w:tcPr>
            <w:tcW w:type="dxa" w:w="6803"/>
          </w:tcPr>
          <w:p>
            <w:r>
              <w:rPr>
                <w:sz w:val="17"/>
              </w:rPr>
              <w:t>A. Vasquez, VCIO Programme Director</w:t>
            </w:r>
          </w:p>
        </w:tc>
      </w:tr>
      <w:tr>
        <w:tc>
          <w:tcPr>
            <w:tcW w:type="dxa" w:w="2835"/>
            <w:shd w:val="clear" w:color="auto" w:fill="F1F6E4"/>
          </w:tcPr>
          <w:p>
            <w:r>
              <w:rPr>
                <w:b/>
                <w:sz w:val="17"/>
              </w:rPr>
              <w:t>Distribution</w:t>
            </w:r>
          </w:p>
        </w:tc>
        <w:tc>
          <w:tcPr>
            <w:tcW w:type="dxa" w:w="6803"/>
          </w:tcPr>
          <w:p>
            <w:r>
              <w:rPr>
                <w:sz w:val="17"/>
              </w:rPr>
              <w:t>Steering Committee, workstream leads, executive sponsor</w:t>
            </w:r>
          </w:p>
        </w:tc>
      </w:tr>
      <w:tr>
        <w:tc>
          <w:tcPr>
            <w:tcW w:type="dxa" w:w="2835"/>
            <w:shd w:val="clear" w:color="auto" w:fill="F1F6E4"/>
          </w:tcPr>
          <w:p>
            <w:r>
              <w:rPr>
                <w:b/>
                <w:sz w:val="17"/>
              </w:rPr>
              <w:t>Classification</w:t>
            </w:r>
          </w:p>
        </w:tc>
        <w:tc>
          <w:tcPr>
            <w:tcW w:type="dxa" w:w="6803"/>
          </w:tcPr>
          <w:p>
            <w:r>
              <w:rPr>
                <w:sz w:val="17"/>
              </w:rPr>
              <w:t>Strictly confidential</w:t>
            </w:r>
          </w:p>
        </w:tc>
      </w:tr>
      <w:tr>
        <w:tc>
          <w:tcPr>
            <w:tcW w:type="dxa" w:w="2835"/>
            <w:shd w:val="clear" w:color="auto" w:fill="F1F6E4"/>
          </w:tcPr>
          <w:p>
            <w:r>
              <w:rPr>
                <w:b/>
                <w:sz w:val="17"/>
              </w:rPr>
              <w:t>Version and status</w:t>
            </w:r>
          </w:p>
        </w:tc>
        <w:tc>
          <w:tcPr>
            <w:tcW w:type="dxa" w:w="6803"/>
          </w:tcPr>
          <w:p>
            <w:r>
              <w:rPr>
                <w:sz w:val="17"/>
              </w:rPr>
              <w:t>v1.0, issued</w:t>
            </w:r>
          </w:p>
        </w:tc>
      </w:tr>
    </w:tbl>
    <w:p/>
    <w:p>
      <w:pPr>
        <w:pStyle w:val="Heading1"/>
      </w:pPr>
      <w:r>
        <w:t>1. Overall assessment</w:t>
      </w:r>
    </w:p>
    <w:p>
      <w:r>
        <w:rPr>
          <w:sz w:val="19"/>
        </w:rPr>
        <w:t>The programme is Amber. The Day 100 commitment of 16 December 2016 is still credible, but for the first time since close three workstreams carry a delayed gate milestone at the same time: WS2 Tax, WS3 IT, WS4 Human Capital. Two of those delays share a single root cause, which is that decisions taken outside the integration programme, namely the legacy ERP upgrade at the target and the pace of the EMEA entity review, are setting the pace of work inside it.</w:t>
      </w:r>
    </w:p>
    <w:p>
      <w:r>
        <w:rPr>
          <w:sz w:val="19"/>
        </w:rPr>
        <w:t>Nothing this week requires the Day 100 date to move. What it does require is a decision on scope, which is why B-07 is on the Steering Committee agenda for 29 September 2016.</w:t>
      </w:r>
    </w:p>
    <w:tbl>
      <w:tblPr>
        <w:tblStyle w:val="TableGrid"/>
        <w:tblW w:type="auto" w:w="0"/>
        <w:tblLook w:firstColumn="1" w:firstRow="1" w:lastColumn="0" w:lastRow="0" w:noHBand="0" w:noVBand="1" w:val="04A0"/>
      </w:tblPr>
      <w:tblGrid>
        <w:gridCol w:w="4986"/>
        <w:gridCol w:w="4986"/>
      </w:tblGrid>
      <w:tr>
        <w:tc>
          <w:tcPr>
            <w:tcW w:type="dxa" w:w="2835"/>
            <w:shd w:val="clear" w:color="auto" w:fill="F1F6E4"/>
          </w:tcPr>
          <w:p>
            <w:r>
              <w:rPr>
                <w:b/>
                <w:sz w:val="17"/>
              </w:rPr>
              <w:t>Overall RAG this week</w:t>
            </w:r>
          </w:p>
        </w:tc>
        <w:tc>
          <w:tcPr>
            <w:tcW w:type="dxa" w:w="6803"/>
          </w:tcPr>
          <w:p>
            <w:r>
              <w:rPr>
                <w:sz w:val="17"/>
              </w:rPr>
              <w:t>Amber</w:t>
            </w:r>
          </w:p>
        </w:tc>
      </w:tr>
      <w:tr>
        <w:tc>
          <w:tcPr>
            <w:tcW w:type="dxa" w:w="2835"/>
            <w:shd w:val="clear" w:color="auto" w:fill="F1F6E4"/>
          </w:tcPr>
          <w:p>
            <w:r>
              <w:rPr>
                <w:b/>
                <w:sz w:val="17"/>
              </w:rPr>
              <w:t>Overall RAG last week</w:t>
            </w:r>
          </w:p>
        </w:tc>
        <w:tc>
          <w:tcPr>
            <w:tcW w:type="dxa" w:w="6803"/>
          </w:tcPr>
          <w:p>
            <w:r>
              <w:rPr>
                <w:sz w:val="17"/>
              </w:rPr>
              <w:t>Green</w:t>
            </w:r>
          </w:p>
        </w:tc>
      </w:tr>
      <w:tr>
        <w:tc>
          <w:tcPr>
            <w:tcW w:type="dxa" w:w="2835"/>
            <w:shd w:val="clear" w:color="auto" w:fill="F1F6E4"/>
          </w:tcPr>
          <w:p>
            <w:r>
              <w:rPr>
                <w:b/>
                <w:sz w:val="17"/>
              </w:rPr>
              <w:t>Reason for the change</w:t>
            </w:r>
          </w:p>
        </w:tc>
        <w:tc>
          <w:tcPr>
            <w:tcW w:type="dxa" w:w="6803"/>
          </w:tcPr>
          <w:p>
            <w:r>
              <w:rPr>
                <w:sz w:val="17"/>
              </w:rPr>
              <w:t>M-05 and M-07 both moved from at risk to delayed, and M-13 slipped 14 days</w:t>
            </w:r>
          </w:p>
        </w:tc>
      </w:tr>
      <w:tr>
        <w:tc>
          <w:tcPr>
            <w:tcW w:type="dxa" w:w="2835"/>
            <w:shd w:val="clear" w:color="auto" w:fill="F1F6E4"/>
          </w:tcPr>
          <w:p>
            <w:r>
              <w:rPr>
                <w:b/>
                <w:sz w:val="17"/>
              </w:rPr>
              <w:t>Milestones on track</w:t>
            </w:r>
          </w:p>
        </w:tc>
        <w:tc>
          <w:tcPr>
            <w:tcW w:type="dxa" w:w="6803"/>
          </w:tcPr>
          <w:p>
            <w:r>
              <w:rPr>
                <w:sz w:val="17"/>
              </w:rPr>
              <w:t>14 of 18 (3 complete, 3 delayed, 1 at risk)</w:t>
            </w:r>
          </w:p>
        </w:tc>
      </w:tr>
      <w:tr>
        <w:tc>
          <w:tcPr>
            <w:tcW w:type="dxa" w:w="2835"/>
            <w:shd w:val="clear" w:color="auto" w:fill="F1F6E4"/>
          </w:tcPr>
          <w:p>
            <w:r>
              <w:rPr>
                <w:b/>
                <w:sz w:val="17"/>
              </w:rPr>
              <w:t>Tasks</w:t>
            </w:r>
          </w:p>
        </w:tc>
        <w:tc>
          <w:tcPr>
            <w:tcW w:type="dxa" w:w="6803"/>
          </w:tcPr>
          <w:p>
            <w:r>
              <w:rPr>
                <w:sz w:val="17"/>
              </w:rPr>
              <w:t>38 tracked, 4 done, 20 in progress, 10 open, 2 overdue, 2 blocked</w:t>
            </w:r>
          </w:p>
        </w:tc>
      </w:tr>
      <w:tr>
        <w:tc>
          <w:tcPr>
            <w:tcW w:type="dxa" w:w="2835"/>
            <w:shd w:val="clear" w:color="auto" w:fill="F1F6E4"/>
          </w:tcPr>
          <w:p>
            <w:r>
              <w:rPr>
                <w:b/>
                <w:sz w:val="17"/>
              </w:rPr>
              <w:t>Overall progress</w:t>
            </w:r>
          </w:p>
        </w:tc>
        <w:tc>
          <w:tcPr>
            <w:tcW w:type="dxa" w:w="6803"/>
          </w:tcPr>
          <w:p>
            <w:r>
              <w:rPr>
                <w:sz w:val="17"/>
              </w:rPr>
              <w:t>49 percent, weighted mean across all tasks</w:t>
            </w:r>
          </w:p>
        </w:tc>
      </w:tr>
      <w:tr>
        <w:tc>
          <w:tcPr>
            <w:tcW w:type="dxa" w:w="2835"/>
            <w:shd w:val="clear" w:color="auto" w:fill="F1F6E4"/>
          </w:tcPr>
          <w:p>
            <w:r>
              <w:rPr>
                <w:b/>
                <w:sz w:val="17"/>
              </w:rPr>
              <w:t>Open risks</w:t>
            </w:r>
          </w:p>
        </w:tc>
        <w:tc>
          <w:tcPr>
            <w:tcW w:type="dxa" w:w="6803"/>
          </w:tcPr>
          <w:p>
            <w:r>
              <w:rPr>
                <w:sz w:val="17"/>
              </w:rPr>
              <w:t>14, of which 3 at or above the escalation threshold of severity 15</w:t>
            </w:r>
          </w:p>
        </w:tc>
      </w:tr>
      <w:tr>
        <w:tc>
          <w:tcPr>
            <w:tcW w:type="dxa" w:w="2835"/>
            <w:shd w:val="clear" w:color="auto" w:fill="F1F6E4"/>
          </w:tcPr>
          <w:p>
            <w:r>
              <w:rPr>
                <w:b/>
                <w:sz w:val="17"/>
              </w:rPr>
              <w:t>Synergy secured</w:t>
            </w:r>
          </w:p>
        </w:tc>
        <w:tc>
          <w:tcPr>
            <w:tcW w:type="dxa" w:w="6803"/>
          </w:tcPr>
          <w:p>
            <w:r>
              <w:rPr>
                <w:sz w:val="17"/>
              </w:rPr>
              <w:t>USD 2354 m of USD 7252 m register target (32 percent), of which USD 711 m is Finance validated</w:t>
            </w:r>
          </w:p>
        </w:tc>
      </w:tr>
    </w:tbl>
    <w:p/>
    <w:p>
      <w:pPr>
        <w:pStyle w:val="Heading1"/>
      </w:pPr>
      <w:r>
        <w:t>2. Achievements this week</w:t>
      </w:r>
    </w:p>
    <w:p>
      <w:pPr>
        <w:pStyle w:val="ListBullet"/>
      </w:pPr>
      <w:r>
        <w:t>WS1 Finance: Produce purchase price allocation input pack (task A-004, owner R. Whitfield, closed by 28 September 2016)</w:t>
      </w:r>
    </w:p>
    <w:p>
      <w:pPr>
        <w:pStyle w:val="ListBullet"/>
      </w:pPr>
      <w:r>
        <w:t>WS3 IT: Complete application landscape inventory for both estates (task A-021, owner T. Bergström, closed by 23 September 2016)</w:t>
      </w:r>
    </w:p>
    <w:p>
      <w:pPr>
        <w:pStyle w:val="ListBullet"/>
      </w:pPr>
      <w:r>
        <w:t>WS6 Go-to-Market: Publish combined product portfolio cross-reference (task A-051, owner L. Kowalczyk, closed by 26 September 2016)</w:t>
      </w:r>
    </w:p>
    <w:p>
      <w:pPr>
        <w:pStyle w:val="ListBullet"/>
      </w:pPr>
      <w:r>
        <w:t>WS1 Finance: Publish the value prioritisation framework scoring (task A-071, owner M. Haddad, closed by 23 September 2016)</w:t>
      </w:r>
    </w:p>
    <w:p>
      <w:pPr>
        <w:pStyle w:val="ListBullet"/>
      </w:pPr>
      <w:r>
        <w:t>Steering Committee decision B-06 took effect: from session 02 onward only Finance-validated initiatives count towards secured synergy, which closed issue I-03.</w:t>
      </w:r>
    </w:p>
    <w:p>
      <w:pPr>
        <w:pStyle w:val="Heading1"/>
      </w:pPr>
      <w:r>
        <w:t>3. Status by workstream</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680"/>
            <w:shd w:val="clear" w:color="auto" w:fill="046A38"/>
          </w:tcPr>
          <w:p>
            <w:r>
              <w:rPr>
                <w:b/>
                <w:color w:val="FFFFFF"/>
                <w:sz w:val="15"/>
              </w:rPr>
              <w:t>WS</w:t>
            </w:r>
          </w:p>
        </w:tc>
        <w:tc>
          <w:tcPr>
            <w:tcW w:type="dxa" w:w="1587"/>
            <w:shd w:val="clear" w:color="auto" w:fill="046A38"/>
          </w:tcPr>
          <w:p>
            <w:r>
              <w:rPr>
                <w:b/>
                <w:color w:val="FFFFFF"/>
                <w:sz w:val="15"/>
              </w:rPr>
              <w:t>Workstream</w:t>
            </w:r>
          </w:p>
        </w:tc>
        <w:tc>
          <w:tcPr>
            <w:tcW w:type="dxa" w:w="1361"/>
            <w:shd w:val="clear" w:color="auto" w:fill="046A38"/>
          </w:tcPr>
          <w:p>
            <w:r>
              <w:rPr>
                <w:b/>
                <w:color w:val="FFFFFF"/>
                <w:sz w:val="15"/>
              </w:rPr>
              <w:t>Lead</w:t>
            </w:r>
          </w:p>
        </w:tc>
        <w:tc>
          <w:tcPr>
            <w:tcW w:type="dxa" w:w="794"/>
            <w:shd w:val="clear" w:color="auto" w:fill="046A38"/>
          </w:tcPr>
          <w:p>
            <w:r>
              <w:rPr>
                <w:b/>
                <w:color w:val="FFFFFF"/>
                <w:sz w:val="15"/>
              </w:rPr>
              <w:t>RAG</w:t>
            </w:r>
          </w:p>
        </w:tc>
        <w:tc>
          <w:tcPr>
            <w:tcW w:type="dxa" w:w="907"/>
            <w:shd w:val="clear" w:color="auto" w:fill="046A38"/>
          </w:tcPr>
          <w:p>
            <w:r>
              <w:rPr>
                <w:b/>
                <w:color w:val="FFFFFF"/>
                <w:sz w:val="15"/>
              </w:rPr>
              <w:t>Progress</w:t>
            </w:r>
          </w:p>
        </w:tc>
        <w:tc>
          <w:tcPr>
            <w:tcW w:type="dxa" w:w="1361"/>
            <w:shd w:val="clear" w:color="auto" w:fill="046A38"/>
          </w:tcPr>
          <w:p>
            <w:r>
              <w:rPr>
                <w:b/>
                <w:color w:val="FFFFFF"/>
                <w:sz w:val="15"/>
              </w:rPr>
              <w:t>Closed this week</w:t>
            </w:r>
          </w:p>
        </w:tc>
        <w:tc>
          <w:tcPr>
            <w:tcW w:type="dxa" w:w="907"/>
            <w:shd w:val="clear" w:color="auto" w:fill="046A38"/>
          </w:tcPr>
          <w:p>
            <w:r>
              <w:rPr>
                <w:b/>
                <w:color w:val="FFFFFF"/>
                <w:sz w:val="15"/>
              </w:rPr>
              <w:t>Next due</w:t>
            </w:r>
          </w:p>
        </w:tc>
        <w:tc>
          <w:tcPr>
            <w:tcW w:type="dxa" w:w="1814"/>
            <w:shd w:val="clear" w:color="auto" w:fill="046A38"/>
          </w:tcPr>
          <w:p>
            <w:r>
              <w:rPr>
                <w:b/>
                <w:color w:val="FFFFFF"/>
                <w:sz w:val="15"/>
              </w:rPr>
              <w:t>Milestones</w:t>
            </w:r>
          </w:p>
        </w:tc>
      </w:tr>
      <w:tr>
        <w:tc>
          <w:tcPr>
            <w:tcW w:type="dxa" w:w="680"/>
          </w:tcPr>
          <w:p>
            <w:r>
              <w:rPr>
                <w:sz w:val="15"/>
              </w:rPr>
              <w:t>WS1</w:t>
            </w:r>
          </w:p>
        </w:tc>
        <w:tc>
          <w:tcPr>
            <w:tcW w:type="dxa" w:w="1587"/>
          </w:tcPr>
          <w:p>
            <w:r>
              <w:rPr>
                <w:sz w:val="15"/>
              </w:rPr>
              <w:t>Finance</w:t>
            </w:r>
          </w:p>
        </w:tc>
        <w:tc>
          <w:tcPr>
            <w:tcW w:type="dxa" w:w="1361"/>
          </w:tcPr>
          <w:p>
            <w:r>
              <w:rPr>
                <w:sz w:val="15"/>
              </w:rPr>
              <w:t>R. Whitfield</w:t>
            </w:r>
          </w:p>
        </w:tc>
        <w:tc>
          <w:tcPr>
            <w:tcW w:type="dxa" w:w="794"/>
          </w:tcPr>
          <w:p>
            <w:r>
              <w:rPr>
                <w:sz w:val="15"/>
              </w:rPr>
              <w:t>Green</w:t>
            </w:r>
          </w:p>
        </w:tc>
        <w:tc>
          <w:tcPr>
            <w:tcW w:type="dxa" w:w="907"/>
          </w:tcPr>
          <w:p>
            <w:r>
              <w:rPr>
                <w:sz w:val="15"/>
              </w:rPr>
              <w:t>57%</w:t>
            </w:r>
          </w:p>
        </w:tc>
        <w:tc>
          <w:tcPr>
            <w:tcW w:type="dxa" w:w="1361"/>
          </w:tcPr>
          <w:p>
            <w:r>
              <w:rPr>
                <w:sz w:val="15"/>
              </w:rPr>
              <w:t>A-004</w:t>
            </w:r>
          </w:p>
        </w:tc>
        <w:tc>
          <w:tcPr>
            <w:tcW w:type="dxa" w:w="907"/>
          </w:tcPr>
          <w:p>
            <w:r>
              <w:rPr>
                <w:sz w:val="15"/>
              </w:rPr>
              <w:t>A-001</w:t>
            </w:r>
          </w:p>
        </w:tc>
        <w:tc>
          <w:tcPr>
            <w:tcW w:type="dxa" w:w="1814"/>
          </w:tcPr>
          <w:p>
            <w:r>
              <w:rPr>
                <w:sz w:val="15"/>
              </w:rPr>
              <w:t>0 delayed of 3</w:t>
            </w:r>
          </w:p>
        </w:tc>
      </w:tr>
      <w:tr>
        <w:tc>
          <w:tcPr>
            <w:tcW w:type="dxa" w:w="680"/>
          </w:tcPr>
          <w:p>
            <w:r>
              <w:rPr>
                <w:sz w:val="15"/>
              </w:rPr>
              <w:t>WS2</w:t>
            </w:r>
          </w:p>
        </w:tc>
        <w:tc>
          <w:tcPr>
            <w:tcW w:type="dxa" w:w="1587"/>
          </w:tcPr>
          <w:p>
            <w:r>
              <w:rPr>
                <w:sz w:val="15"/>
              </w:rPr>
              <w:t>Tax</w:t>
            </w:r>
          </w:p>
        </w:tc>
        <w:tc>
          <w:tcPr>
            <w:tcW w:type="dxa" w:w="1361"/>
          </w:tcPr>
          <w:p>
            <w:r>
              <w:rPr>
                <w:sz w:val="15"/>
              </w:rPr>
              <w:t>N. Devereux</w:t>
            </w:r>
          </w:p>
        </w:tc>
        <w:tc>
          <w:tcPr>
            <w:tcW w:type="dxa" w:w="794"/>
          </w:tcPr>
          <w:p>
            <w:r>
              <w:rPr>
                <w:b/>
                <w:color w:val="DA291C"/>
                <w:sz w:val="15"/>
              </w:rPr>
              <w:t>Red</w:t>
            </w:r>
          </w:p>
        </w:tc>
        <w:tc>
          <w:tcPr>
            <w:tcW w:type="dxa" w:w="907"/>
          </w:tcPr>
          <w:p>
            <w:r>
              <w:rPr>
                <w:sz w:val="15"/>
              </w:rPr>
              <w:t>32%</w:t>
            </w:r>
          </w:p>
        </w:tc>
        <w:tc>
          <w:tcPr>
            <w:tcW w:type="dxa" w:w="1361"/>
          </w:tcPr>
          <w:p>
            <w:r>
              <w:rPr>
                <w:sz w:val="15"/>
              </w:rPr>
              <w:t>none this week</w:t>
            </w:r>
          </w:p>
        </w:tc>
        <w:tc>
          <w:tcPr>
            <w:tcW w:type="dxa" w:w="907"/>
          </w:tcPr>
          <w:p>
            <w:r>
              <w:rPr>
                <w:sz w:val="15"/>
              </w:rPr>
              <w:t>A-013</w:t>
            </w:r>
          </w:p>
        </w:tc>
        <w:tc>
          <w:tcPr>
            <w:tcW w:type="dxa" w:w="1814"/>
          </w:tcPr>
          <w:p>
            <w:r>
              <w:rPr>
                <w:sz w:val="15"/>
              </w:rPr>
              <w:t>1 delayed of 2</w:t>
            </w:r>
          </w:p>
        </w:tc>
      </w:tr>
      <w:tr>
        <w:tc>
          <w:tcPr>
            <w:tcW w:type="dxa" w:w="680"/>
          </w:tcPr>
          <w:p>
            <w:r>
              <w:rPr>
                <w:sz w:val="15"/>
              </w:rPr>
              <w:t>WS3</w:t>
            </w:r>
          </w:p>
        </w:tc>
        <w:tc>
          <w:tcPr>
            <w:tcW w:type="dxa" w:w="1587"/>
          </w:tcPr>
          <w:p>
            <w:r>
              <w:rPr>
                <w:sz w:val="15"/>
              </w:rPr>
              <w:t>IT</w:t>
            </w:r>
          </w:p>
        </w:tc>
        <w:tc>
          <w:tcPr>
            <w:tcW w:type="dxa" w:w="1361"/>
          </w:tcPr>
          <w:p>
            <w:r>
              <w:rPr>
                <w:sz w:val="15"/>
              </w:rPr>
              <w:t>T. Bergström</w:t>
            </w:r>
          </w:p>
        </w:tc>
        <w:tc>
          <w:tcPr>
            <w:tcW w:type="dxa" w:w="794"/>
          </w:tcPr>
          <w:p>
            <w:r>
              <w:rPr>
                <w:b/>
                <w:color w:val="DA291C"/>
                <w:sz w:val="15"/>
              </w:rPr>
              <w:t>Red</w:t>
            </w:r>
          </w:p>
        </w:tc>
        <w:tc>
          <w:tcPr>
            <w:tcW w:type="dxa" w:w="907"/>
          </w:tcPr>
          <w:p>
            <w:r>
              <w:rPr>
                <w:sz w:val="15"/>
              </w:rPr>
              <w:t>59%</w:t>
            </w:r>
          </w:p>
        </w:tc>
        <w:tc>
          <w:tcPr>
            <w:tcW w:type="dxa" w:w="1361"/>
          </w:tcPr>
          <w:p>
            <w:r>
              <w:rPr>
                <w:sz w:val="15"/>
              </w:rPr>
              <w:t>A-021</w:t>
            </w:r>
          </w:p>
        </w:tc>
        <w:tc>
          <w:tcPr>
            <w:tcW w:type="dxa" w:w="907"/>
          </w:tcPr>
          <w:p>
            <w:r>
              <w:rPr>
                <w:sz w:val="15"/>
              </w:rPr>
              <w:t>A-023</w:t>
            </w:r>
          </w:p>
        </w:tc>
        <w:tc>
          <w:tcPr>
            <w:tcW w:type="dxa" w:w="1814"/>
          </w:tcPr>
          <w:p>
            <w:r>
              <w:rPr>
                <w:sz w:val="15"/>
              </w:rPr>
              <w:t>1 delayed of 2</w:t>
            </w:r>
          </w:p>
        </w:tc>
      </w:tr>
      <w:tr>
        <w:tc>
          <w:tcPr>
            <w:tcW w:type="dxa" w:w="680"/>
          </w:tcPr>
          <w:p>
            <w:r>
              <w:rPr>
                <w:sz w:val="15"/>
              </w:rPr>
              <w:t>WS4</w:t>
            </w:r>
          </w:p>
        </w:tc>
        <w:tc>
          <w:tcPr>
            <w:tcW w:type="dxa" w:w="1587"/>
          </w:tcPr>
          <w:p>
            <w:r>
              <w:rPr>
                <w:sz w:val="15"/>
              </w:rPr>
              <w:t>Human Capital</w:t>
            </w:r>
          </w:p>
        </w:tc>
        <w:tc>
          <w:tcPr>
            <w:tcW w:type="dxa" w:w="1361"/>
          </w:tcPr>
          <w:p>
            <w:r>
              <w:rPr>
                <w:sz w:val="15"/>
              </w:rPr>
              <w:t>J. Adeyemi</w:t>
            </w:r>
          </w:p>
        </w:tc>
        <w:tc>
          <w:tcPr>
            <w:tcW w:type="dxa" w:w="794"/>
          </w:tcPr>
          <w:p>
            <w:r>
              <w:rPr>
                <w:b/>
                <w:color w:val="DA291C"/>
                <w:sz w:val="15"/>
              </w:rPr>
              <w:t>Red</w:t>
            </w:r>
          </w:p>
        </w:tc>
        <w:tc>
          <w:tcPr>
            <w:tcW w:type="dxa" w:w="907"/>
          </w:tcPr>
          <w:p>
            <w:r>
              <w:rPr>
                <w:sz w:val="15"/>
              </w:rPr>
              <w:t>49%</w:t>
            </w:r>
          </w:p>
        </w:tc>
        <w:tc>
          <w:tcPr>
            <w:tcW w:type="dxa" w:w="1361"/>
          </w:tcPr>
          <w:p>
            <w:r>
              <w:rPr>
                <w:sz w:val="15"/>
              </w:rPr>
              <w:t>none this week</w:t>
            </w:r>
          </w:p>
        </w:tc>
        <w:tc>
          <w:tcPr>
            <w:tcW w:type="dxa" w:w="907"/>
          </w:tcPr>
          <w:p>
            <w:r>
              <w:rPr>
                <w:sz w:val="15"/>
              </w:rPr>
              <w:t>A-032</w:t>
            </w:r>
          </w:p>
        </w:tc>
        <w:tc>
          <w:tcPr>
            <w:tcW w:type="dxa" w:w="1814"/>
          </w:tcPr>
          <w:p>
            <w:r>
              <w:rPr>
                <w:sz w:val="15"/>
              </w:rPr>
              <w:t>1 delayed of 4</w:t>
            </w:r>
          </w:p>
        </w:tc>
      </w:tr>
      <w:tr>
        <w:tc>
          <w:tcPr>
            <w:tcW w:type="dxa" w:w="680"/>
          </w:tcPr>
          <w:p>
            <w:r>
              <w:rPr>
                <w:sz w:val="15"/>
              </w:rPr>
              <w:t>WS5</w:t>
            </w:r>
          </w:p>
        </w:tc>
        <w:tc>
          <w:tcPr>
            <w:tcW w:type="dxa" w:w="1587"/>
          </w:tcPr>
          <w:p>
            <w:r>
              <w:rPr>
                <w:sz w:val="15"/>
              </w:rPr>
              <w:t>Supply Chain</w:t>
            </w:r>
          </w:p>
        </w:tc>
        <w:tc>
          <w:tcPr>
            <w:tcW w:type="dxa" w:w="1361"/>
          </w:tcPr>
          <w:p>
            <w:r>
              <w:rPr>
                <w:sz w:val="15"/>
              </w:rPr>
              <w:t>K. Matsuda</w:t>
            </w:r>
          </w:p>
        </w:tc>
        <w:tc>
          <w:tcPr>
            <w:tcW w:type="dxa" w:w="794"/>
          </w:tcPr>
          <w:p>
            <w:r>
              <w:rPr>
                <w:sz w:val="15"/>
              </w:rPr>
              <w:t>Green</w:t>
            </w:r>
          </w:p>
        </w:tc>
        <w:tc>
          <w:tcPr>
            <w:tcW w:type="dxa" w:w="907"/>
          </w:tcPr>
          <w:p>
            <w:r>
              <w:rPr>
                <w:sz w:val="15"/>
              </w:rPr>
              <w:t>37%</w:t>
            </w:r>
          </w:p>
        </w:tc>
        <w:tc>
          <w:tcPr>
            <w:tcW w:type="dxa" w:w="1361"/>
          </w:tcPr>
          <w:p>
            <w:r>
              <w:rPr>
                <w:sz w:val="15"/>
              </w:rPr>
              <w:t>none this week</w:t>
            </w:r>
          </w:p>
        </w:tc>
        <w:tc>
          <w:tcPr>
            <w:tcW w:type="dxa" w:w="907"/>
          </w:tcPr>
          <w:p>
            <w:r>
              <w:rPr>
                <w:sz w:val="15"/>
              </w:rPr>
              <w:t>A-041</w:t>
            </w:r>
          </w:p>
        </w:tc>
        <w:tc>
          <w:tcPr>
            <w:tcW w:type="dxa" w:w="1814"/>
          </w:tcPr>
          <w:p>
            <w:r>
              <w:rPr>
                <w:sz w:val="15"/>
              </w:rPr>
              <w:t>0 delayed of 2</w:t>
            </w:r>
          </w:p>
        </w:tc>
      </w:tr>
      <w:tr>
        <w:tc>
          <w:tcPr>
            <w:tcW w:type="dxa" w:w="680"/>
          </w:tcPr>
          <w:p>
            <w:r>
              <w:rPr>
                <w:sz w:val="15"/>
              </w:rPr>
              <w:t>WS6</w:t>
            </w:r>
          </w:p>
        </w:tc>
        <w:tc>
          <w:tcPr>
            <w:tcW w:type="dxa" w:w="1587"/>
          </w:tcPr>
          <w:p>
            <w:r>
              <w:rPr>
                <w:sz w:val="15"/>
              </w:rPr>
              <w:t>Go-to-Market</w:t>
            </w:r>
          </w:p>
        </w:tc>
        <w:tc>
          <w:tcPr>
            <w:tcW w:type="dxa" w:w="1361"/>
          </w:tcPr>
          <w:p>
            <w:r>
              <w:rPr>
                <w:sz w:val="15"/>
              </w:rPr>
              <w:t>L. Kowalczyk</w:t>
            </w:r>
          </w:p>
        </w:tc>
        <w:tc>
          <w:tcPr>
            <w:tcW w:type="dxa" w:w="794"/>
          </w:tcPr>
          <w:p>
            <w:r>
              <w:rPr>
                <w:sz w:val="15"/>
              </w:rPr>
              <w:t>Green</w:t>
            </w:r>
          </w:p>
        </w:tc>
        <w:tc>
          <w:tcPr>
            <w:tcW w:type="dxa" w:w="907"/>
          </w:tcPr>
          <w:p>
            <w:r>
              <w:rPr>
                <w:sz w:val="15"/>
              </w:rPr>
              <w:t>47%</w:t>
            </w:r>
          </w:p>
        </w:tc>
        <w:tc>
          <w:tcPr>
            <w:tcW w:type="dxa" w:w="1361"/>
          </w:tcPr>
          <w:p>
            <w:r>
              <w:rPr>
                <w:sz w:val="15"/>
              </w:rPr>
              <w:t>A-051</w:t>
            </w:r>
          </w:p>
        </w:tc>
        <w:tc>
          <w:tcPr>
            <w:tcW w:type="dxa" w:w="907"/>
          </w:tcPr>
          <w:p>
            <w:r>
              <w:rPr>
                <w:sz w:val="15"/>
              </w:rPr>
              <w:t>A-052</w:t>
            </w:r>
          </w:p>
        </w:tc>
        <w:tc>
          <w:tcPr>
            <w:tcW w:type="dxa" w:w="1814"/>
          </w:tcPr>
          <w:p>
            <w:r>
              <w:rPr>
                <w:sz w:val="15"/>
              </w:rPr>
              <w:t>0 delayed of 4</w:t>
            </w:r>
          </w:p>
        </w:tc>
      </w:tr>
      <w:tr>
        <w:tc>
          <w:tcPr>
            <w:tcW w:type="dxa" w:w="680"/>
          </w:tcPr>
          <w:p>
            <w:r>
              <w:rPr>
                <w:sz w:val="15"/>
              </w:rPr>
              <w:t>WS7</w:t>
            </w:r>
          </w:p>
        </w:tc>
        <w:tc>
          <w:tcPr>
            <w:tcW w:type="dxa" w:w="1587"/>
          </w:tcPr>
          <w:p>
            <w:r>
              <w:rPr>
                <w:sz w:val="15"/>
              </w:rPr>
              <w:t>Real Estate</w:t>
            </w:r>
          </w:p>
        </w:tc>
        <w:tc>
          <w:tcPr>
            <w:tcW w:type="dxa" w:w="1361"/>
          </w:tcPr>
          <w:p>
            <w:r>
              <w:rPr>
                <w:sz w:val="15"/>
              </w:rPr>
              <w:t>F. Ricciardi</w:t>
            </w:r>
          </w:p>
        </w:tc>
        <w:tc>
          <w:tcPr>
            <w:tcW w:type="dxa" w:w="794"/>
          </w:tcPr>
          <w:p>
            <w:r>
              <w:rPr>
                <w:sz w:val="15"/>
              </w:rPr>
              <w:t>Green</w:t>
            </w:r>
          </w:p>
        </w:tc>
        <w:tc>
          <w:tcPr>
            <w:tcW w:type="dxa" w:w="907"/>
          </w:tcPr>
          <w:p>
            <w:r>
              <w:rPr>
                <w:sz w:val="15"/>
              </w:rPr>
              <w:t>48%</w:t>
            </w:r>
          </w:p>
        </w:tc>
        <w:tc>
          <w:tcPr>
            <w:tcW w:type="dxa" w:w="1361"/>
          </w:tcPr>
          <w:p>
            <w:r>
              <w:rPr>
                <w:sz w:val="15"/>
              </w:rPr>
              <w:t>none this week</w:t>
            </w:r>
          </w:p>
        </w:tc>
        <w:tc>
          <w:tcPr>
            <w:tcW w:type="dxa" w:w="907"/>
          </w:tcPr>
          <w:p>
            <w:r>
              <w:rPr>
                <w:sz w:val="15"/>
              </w:rPr>
              <w:t>A-061</w:t>
            </w:r>
          </w:p>
        </w:tc>
        <w:tc>
          <w:tcPr>
            <w:tcW w:type="dxa" w:w="1814"/>
          </w:tcPr>
          <w:p>
            <w:r>
              <w:rPr>
                <w:sz w:val="15"/>
              </w:rPr>
              <w:t>0 delayed of 1</w:t>
            </w:r>
          </w:p>
        </w:tc>
      </w:tr>
    </w:tbl>
    <w:p/>
    <w:p>
      <w:pPr>
        <w:pStyle w:val="Heading1"/>
      </w:pPr>
      <w:r>
        <w:t>4. Deviations and delays</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680"/>
            <w:shd w:val="clear" w:color="auto" w:fill="046A38"/>
          </w:tcPr>
          <w:p>
            <w:r>
              <w:rPr>
                <w:b/>
                <w:color w:val="FFFFFF"/>
                <w:sz w:val="15"/>
              </w:rPr>
              <w:t>ID</w:t>
            </w:r>
          </w:p>
        </w:tc>
        <w:tc>
          <w:tcPr>
            <w:tcW w:type="dxa" w:w="2268"/>
            <w:shd w:val="clear" w:color="auto" w:fill="046A38"/>
          </w:tcPr>
          <w:p>
            <w:r>
              <w:rPr>
                <w:b/>
                <w:color w:val="FFFFFF"/>
                <w:sz w:val="15"/>
              </w:rPr>
              <w:t>Milestone</w:t>
            </w:r>
          </w:p>
        </w:tc>
        <w:tc>
          <w:tcPr>
            <w:tcW w:type="dxa" w:w="567"/>
            <w:shd w:val="clear" w:color="auto" w:fill="046A38"/>
          </w:tcPr>
          <w:p>
            <w:r>
              <w:rPr>
                <w:b/>
                <w:color w:val="FFFFFF"/>
                <w:sz w:val="15"/>
              </w:rPr>
              <w:t>WS</w:t>
            </w:r>
          </w:p>
        </w:tc>
        <w:tc>
          <w:tcPr>
            <w:tcW w:type="dxa" w:w="1247"/>
            <w:shd w:val="clear" w:color="auto" w:fill="046A38"/>
          </w:tcPr>
          <w:p>
            <w:r>
              <w:rPr>
                <w:b/>
                <w:color w:val="FFFFFF"/>
                <w:sz w:val="15"/>
              </w:rPr>
              <w:t>Owner</w:t>
            </w:r>
          </w:p>
        </w:tc>
        <w:tc>
          <w:tcPr>
            <w:tcW w:type="dxa" w:w="1134"/>
            <w:shd w:val="clear" w:color="auto" w:fill="046A38"/>
          </w:tcPr>
          <w:p>
            <w:r>
              <w:rPr>
                <w:b/>
                <w:color w:val="FFFFFF"/>
                <w:sz w:val="15"/>
              </w:rPr>
              <w:t>Baseline</w:t>
            </w:r>
          </w:p>
        </w:tc>
        <w:tc>
          <w:tcPr>
            <w:tcW w:type="dxa" w:w="1134"/>
            <w:shd w:val="clear" w:color="auto" w:fill="046A38"/>
          </w:tcPr>
          <w:p>
            <w:r>
              <w:rPr>
                <w:b/>
                <w:color w:val="FFFFFF"/>
                <w:sz w:val="15"/>
              </w:rPr>
              <w:t>Forecast</w:t>
            </w:r>
          </w:p>
        </w:tc>
        <w:tc>
          <w:tcPr>
            <w:tcW w:type="dxa" w:w="794"/>
            <w:shd w:val="clear" w:color="auto" w:fill="046A38"/>
          </w:tcPr>
          <w:p>
            <w:r>
              <w:rPr>
                <w:b/>
                <w:color w:val="FFFFFF"/>
                <w:sz w:val="15"/>
              </w:rPr>
              <w:t>Slip (days)</w:t>
            </w:r>
          </w:p>
        </w:tc>
        <w:tc>
          <w:tcPr>
            <w:tcW w:type="dxa" w:w="2154"/>
            <w:shd w:val="clear" w:color="auto" w:fill="046A38"/>
          </w:tcPr>
          <w:p>
            <w:r>
              <w:rPr>
                <w:b/>
                <w:color w:val="FFFFFF"/>
                <w:sz w:val="15"/>
              </w:rPr>
              <w:t>Root cause and recovery</w:t>
            </w:r>
          </w:p>
        </w:tc>
      </w:tr>
      <w:tr>
        <w:tc>
          <w:tcPr>
            <w:tcW w:type="dxa" w:w="680"/>
          </w:tcPr>
          <w:p>
            <w:r>
              <w:rPr>
                <w:sz w:val="15"/>
              </w:rPr>
              <w:t>M-05</w:t>
            </w:r>
          </w:p>
        </w:tc>
        <w:tc>
          <w:tcPr>
            <w:tcW w:type="dxa" w:w="2268"/>
          </w:tcPr>
          <w:p>
            <w:r>
              <w:rPr>
                <w:sz w:val="15"/>
              </w:rPr>
              <w:t>Legal entity rationalisation plan approved</w:t>
            </w:r>
          </w:p>
        </w:tc>
        <w:tc>
          <w:tcPr>
            <w:tcW w:type="dxa" w:w="567"/>
          </w:tcPr>
          <w:p>
            <w:r>
              <w:rPr>
                <w:sz w:val="15"/>
              </w:rPr>
              <w:t>WS2</w:t>
            </w:r>
          </w:p>
        </w:tc>
        <w:tc>
          <w:tcPr>
            <w:tcW w:type="dxa" w:w="1247"/>
          </w:tcPr>
          <w:p>
            <w:r>
              <w:rPr>
                <w:sz w:val="15"/>
              </w:rPr>
              <w:t>N. Devereux</w:t>
            </w:r>
          </w:p>
        </w:tc>
        <w:tc>
          <w:tcPr>
            <w:tcW w:type="dxa" w:w="1134"/>
          </w:tcPr>
          <w:p>
            <w:r>
              <w:rPr>
                <w:sz w:val="15"/>
              </w:rPr>
              <w:t>7 October 2016</w:t>
            </w:r>
          </w:p>
        </w:tc>
        <w:tc>
          <w:tcPr>
            <w:tcW w:type="dxa" w:w="1134"/>
          </w:tcPr>
          <w:p>
            <w:r>
              <w:rPr>
                <w:sz w:val="15"/>
              </w:rPr>
              <w:t>14 October 2016</w:t>
            </w:r>
          </w:p>
        </w:tc>
        <w:tc>
          <w:tcPr>
            <w:tcW w:type="dxa" w:w="794"/>
          </w:tcPr>
          <w:p>
            <w:r>
              <w:rPr>
                <w:sz w:val="15"/>
              </w:rPr>
              <w:t>7</w:t>
            </w:r>
          </w:p>
        </w:tc>
        <w:tc>
          <w:tcPr>
            <w:tcW w:type="dxa" w:w="2154"/>
          </w:tcPr>
          <w:p>
            <w:r>
              <w:rPr>
                <w:sz w:val="15"/>
              </w:rPr>
              <w:t>Slipped one week. Tax review of the EMEA entity chain is not complete.</w:t>
            </w:r>
          </w:p>
        </w:tc>
      </w:tr>
      <w:tr>
        <w:tc>
          <w:tcPr>
            <w:tcW w:type="dxa" w:w="680"/>
          </w:tcPr>
          <w:p>
            <w:r>
              <w:rPr>
                <w:sz w:val="15"/>
              </w:rPr>
              <w:t>M-07</w:t>
            </w:r>
          </w:p>
        </w:tc>
        <w:tc>
          <w:tcPr>
            <w:tcW w:type="dxa" w:w="2268"/>
          </w:tcPr>
          <w:p>
            <w:r>
              <w:rPr>
                <w:sz w:val="15"/>
              </w:rPr>
              <w:t>ERP consolidation blueprint signed off</w:t>
            </w:r>
          </w:p>
        </w:tc>
        <w:tc>
          <w:tcPr>
            <w:tcW w:type="dxa" w:w="567"/>
          </w:tcPr>
          <w:p>
            <w:r>
              <w:rPr>
                <w:sz w:val="15"/>
              </w:rPr>
              <w:t>WS3</w:t>
            </w:r>
          </w:p>
        </w:tc>
        <w:tc>
          <w:tcPr>
            <w:tcW w:type="dxa" w:w="1247"/>
          </w:tcPr>
          <w:p>
            <w:r>
              <w:rPr>
                <w:sz w:val="15"/>
              </w:rPr>
              <w:t>T. Bergström</w:t>
            </w:r>
          </w:p>
        </w:tc>
        <w:tc>
          <w:tcPr>
            <w:tcW w:type="dxa" w:w="1134"/>
          </w:tcPr>
          <w:p>
            <w:r>
              <w:rPr>
                <w:sz w:val="15"/>
              </w:rPr>
              <w:t>7 October 2016</w:t>
            </w:r>
          </w:p>
        </w:tc>
        <w:tc>
          <w:tcPr>
            <w:tcW w:type="dxa" w:w="1134"/>
          </w:tcPr>
          <w:p>
            <w:r>
              <w:rPr>
                <w:sz w:val="15"/>
              </w:rPr>
              <w:t>21 October 2016</w:t>
            </w:r>
          </w:p>
        </w:tc>
        <w:tc>
          <w:tcPr>
            <w:tcW w:type="dxa" w:w="794"/>
          </w:tcPr>
          <w:p>
            <w:r>
              <w:rPr>
                <w:sz w:val="15"/>
              </w:rPr>
              <w:t>14</w:t>
            </w:r>
          </w:p>
        </w:tc>
        <w:tc>
          <w:tcPr>
            <w:tcW w:type="dxa" w:w="2154"/>
          </w:tcPr>
          <w:p>
            <w:r>
              <w:rPr>
                <w:sz w:val="15"/>
              </w:rPr>
              <w:t>Two weeks late. Legacy ERP upgrade at the target ran into the integrat</w:t>
            </w:r>
          </w:p>
        </w:tc>
      </w:tr>
      <w:tr>
        <w:tc>
          <w:tcPr>
            <w:tcW w:type="dxa" w:w="680"/>
          </w:tcPr>
          <w:p>
            <w:r>
              <w:rPr>
                <w:sz w:val="15"/>
              </w:rPr>
              <w:t>M-09</w:t>
            </w:r>
          </w:p>
        </w:tc>
        <w:tc>
          <w:tcPr>
            <w:tcW w:type="dxa" w:w="2268"/>
          </w:tcPr>
          <w:p>
            <w:r>
              <w:rPr>
                <w:sz w:val="15"/>
              </w:rPr>
              <w:t>Harmonised sales compensation plan communicated</w:t>
            </w:r>
          </w:p>
        </w:tc>
        <w:tc>
          <w:tcPr>
            <w:tcW w:type="dxa" w:w="567"/>
          </w:tcPr>
          <w:p>
            <w:r>
              <w:rPr>
                <w:sz w:val="15"/>
              </w:rPr>
              <w:t>WS4</w:t>
            </w:r>
          </w:p>
        </w:tc>
        <w:tc>
          <w:tcPr>
            <w:tcW w:type="dxa" w:w="1247"/>
          </w:tcPr>
          <w:p>
            <w:r>
              <w:rPr>
                <w:sz w:val="15"/>
              </w:rPr>
              <w:t>J. Adeyemi</w:t>
            </w:r>
          </w:p>
        </w:tc>
        <w:tc>
          <w:tcPr>
            <w:tcW w:type="dxa" w:w="1134"/>
          </w:tcPr>
          <w:p>
            <w:r>
              <w:rPr>
                <w:sz w:val="15"/>
              </w:rPr>
              <w:t>7 October 2016</w:t>
            </w:r>
          </w:p>
        </w:tc>
        <w:tc>
          <w:tcPr>
            <w:tcW w:type="dxa" w:w="1134"/>
          </w:tcPr>
          <w:p>
            <w:r>
              <w:rPr>
                <w:sz w:val="15"/>
              </w:rPr>
              <w:t>11 October 2016</w:t>
            </w:r>
          </w:p>
        </w:tc>
        <w:tc>
          <w:tcPr>
            <w:tcW w:type="dxa" w:w="794"/>
          </w:tcPr>
          <w:p>
            <w:r>
              <w:rPr>
                <w:sz w:val="15"/>
              </w:rPr>
              <w:t>4</w:t>
            </w:r>
          </w:p>
        </w:tc>
        <w:tc>
          <w:tcPr>
            <w:tcW w:type="dxa" w:w="2154"/>
          </w:tcPr>
          <w:p>
            <w:r>
              <w:rPr>
                <w:sz w:val="15"/>
              </w:rPr>
              <w:t>Depends on works council consultation in DACH concluding first.</w:t>
            </w:r>
          </w:p>
        </w:tc>
      </w:tr>
      <w:tr>
        <w:tc>
          <w:tcPr>
            <w:tcW w:type="dxa" w:w="680"/>
          </w:tcPr>
          <w:p>
            <w:r>
              <w:rPr>
                <w:sz w:val="15"/>
              </w:rPr>
              <w:t>M-13</w:t>
            </w:r>
          </w:p>
        </w:tc>
        <w:tc>
          <w:tcPr>
            <w:tcW w:type="dxa" w:w="2268"/>
          </w:tcPr>
          <w:p>
            <w:r>
              <w:rPr>
                <w:sz w:val="15"/>
              </w:rPr>
              <w:t>Works council consultation DACH concluded</w:t>
            </w:r>
          </w:p>
        </w:tc>
        <w:tc>
          <w:tcPr>
            <w:tcW w:type="dxa" w:w="567"/>
          </w:tcPr>
          <w:p>
            <w:r>
              <w:rPr>
                <w:sz w:val="15"/>
              </w:rPr>
              <w:t>WS4</w:t>
            </w:r>
          </w:p>
        </w:tc>
        <w:tc>
          <w:tcPr>
            <w:tcW w:type="dxa" w:w="1247"/>
          </w:tcPr>
          <w:p>
            <w:r>
              <w:rPr>
                <w:sz w:val="15"/>
              </w:rPr>
              <w:t>B. Steinmüller</w:t>
            </w:r>
          </w:p>
        </w:tc>
        <w:tc>
          <w:tcPr>
            <w:tcW w:type="dxa" w:w="1134"/>
          </w:tcPr>
          <w:p>
            <w:r>
              <w:rPr>
                <w:sz w:val="15"/>
              </w:rPr>
              <w:t>28 October 2016</w:t>
            </w:r>
          </w:p>
        </w:tc>
        <w:tc>
          <w:tcPr>
            <w:tcW w:type="dxa" w:w="1134"/>
          </w:tcPr>
          <w:p>
            <w:r>
              <w:rPr>
                <w:sz w:val="15"/>
              </w:rPr>
              <w:t>11 November 2016</w:t>
            </w:r>
          </w:p>
        </w:tc>
        <w:tc>
          <w:tcPr>
            <w:tcW w:type="dxa" w:w="794"/>
          </w:tcPr>
          <w:p>
            <w:r>
              <w:rPr>
                <w:sz w:val="15"/>
              </w:rPr>
              <w:t>14</w:t>
            </w:r>
          </w:p>
        </w:tc>
        <w:tc>
          <w:tcPr>
            <w:tcW w:type="dxa" w:w="2154"/>
          </w:tcPr>
          <w:p>
            <w:r>
              <w:rPr>
                <w:sz w:val="15"/>
              </w:rPr>
              <w:t>Two weeks late. Consultation under German co-determination law is a ha</w:t>
            </w:r>
          </w:p>
        </w:tc>
      </w:tr>
    </w:tbl>
    <w:p/>
    <w:p>
      <w:pPr>
        <w:pStyle w:val="Heading1"/>
      </w:pPr>
      <w:r>
        <w:t>5. Risks at or above the escalation threshold</w:t>
      </w:r>
    </w:p>
    <w:tbl>
      <w:tblPr>
        <w:tblStyle w:val="TableGrid"/>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567"/>
            <w:shd w:val="clear" w:color="auto" w:fill="046A38"/>
          </w:tcPr>
          <w:p>
            <w:r>
              <w:rPr>
                <w:b/>
                <w:color w:val="FFFFFF"/>
                <w:sz w:val="15"/>
              </w:rPr>
              <w:t>ID</w:t>
            </w:r>
          </w:p>
        </w:tc>
        <w:tc>
          <w:tcPr>
            <w:tcW w:type="dxa" w:w="2041"/>
            <w:shd w:val="clear" w:color="auto" w:fill="046A38"/>
          </w:tcPr>
          <w:p>
            <w:r>
              <w:rPr>
                <w:b/>
                <w:color w:val="FFFFFF"/>
                <w:sz w:val="15"/>
              </w:rPr>
              <w:t>Risk</w:t>
            </w:r>
          </w:p>
        </w:tc>
        <w:tc>
          <w:tcPr>
            <w:tcW w:type="dxa" w:w="510"/>
            <w:shd w:val="clear" w:color="auto" w:fill="046A38"/>
          </w:tcPr>
          <w:p>
            <w:r>
              <w:rPr>
                <w:b/>
                <w:color w:val="FFFFFF"/>
                <w:sz w:val="15"/>
              </w:rPr>
              <w:t>WS</w:t>
            </w:r>
          </w:p>
        </w:tc>
        <w:tc>
          <w:tcPr>
            <w:tcW w:type="dxa" w:w="794"/>
            <w:shd w:val="clear" w:color="auto" w:fill="046A38"/>
          </w:tcPr>
          <w:p>
            <w:r>
              <w:rPr>
                <w:b/>
                <w:color w:val="FFFFFF"/>
                <w:sz w:val="15"/>
              </w:rPr>
              <w:t>L x I</w:t>
            </w:r>
          </w:p>
        </w:tc>
        <w:tc>
          <w:tcPr>
            <w:tcW w:type="dxa" w:w="624"/>
            <w:shd w:val="clear" w:color="auto" w:fill="046A38"/>
          </w:tcPr>
          <w:p>
            <w:r>
              <w:rPr>
                <w:b/>
                <w:color w:val="FFFFFF"/>
                <w:sz w:val="15"/>
              </w:rPr>
              <w:t>Band</w:t>
            </w:r>
          </w:p>
        </w:tc>
        <w:tc>
          <w:tcPr>
            <w:tcW w:type="dxa" w:w="907"/>
            <w:shd w:val="clear" w:color="auto" w:fill="046A38"/>
          </w:tcPr>
          <w:p>
            <w:r>
              <w:rPr>
                <w:b/>
                <w:color w:val="FFFFFF"/>
                <w:sz w:val="15"/>
              </w:rPr>
              <w:t>Trend</w:t>
            </w:r>
          </w:p>
        </w:tc>
        <w:tc>
          <w:tcPr>
            <w:tcW w:type="dxa" w:w="1928"/>
            <w:shd w:val="clear" w:color="auto" w:fill="046A38"/>
          </w:tcPr>
          <w:p>
            <w:r>
              <w:rPr>
                <w:b/>
                <w:color w:val="FFFFFF"/>
                <w:sz w:val="15"/>
              </w:rPr>
              <w:t>Mitigation</w:t>
            </w:r>
          </w:p>
        </w:tc>
        <w:tc>
          <w:tcPr>
            <w:tcW w:type="dxa" w:w="1134"/>
            <w:shd w:val="clear" w:color="auto" w:fill="046A38"/>
          </w:tcPr>
          <w:p>
            <w:r>
              <w:rPr>
                <w:b/>
                <w:color w:val="FFFFFF"/>
                <w:sz w:val="15"/>
              </w:rPr>
              <w:t>Owner</w:t>
            </w:r>
          </w:p>
        </w:tc>
        <w:tc>
          <w:tcPr>
            <w:tcW w:type="dxa" w:w="1020"/>
            <w:shd w:val="clear" w:color="auto" w:fill="046A38"/>
          </w:tcPr>
          <w:p>
            <w:r>
              <w:rPr>
                <w:b/>
                <w:color w:val="FFFFFF"/>
                <w:sz w:val="15"/>
              </w:rPr>
              <w:t>Due</w:t>
            </w:r>
          </w:p>
        </w:tc>
      </w:tr>
      <w:tr>
        <w:tc>
          <w:tcPr>
            <w:tcW w:type="dxa" w:w="567"/>
          </w:tcPr>
          <w:p>
            <w:r>
              <w:rPr>
                <w:sz w:val="15"/>
              </w:rPr>
              <w:t>R-01</w:t>
            </w:r>
          </w:p>
        </w:tc>
        <w:tc>
          <w:tcPr>
            <w:tcW w:type="dxa" w:w="2041"/>
          </w:tcPr>
          <w:p>
            <w:r>
              <w:rPr>
                <w:sz w:val="15"/>
              </w:rPr>
              <w:t>Legacy ERP upgrade at the target collides with the integration design,</w:t>
            </w:r>
          </w:p>
        </w:tc>
        <w:tc>
          <w:tcPr>
            <w:tcW w:type="dxa" w:w="510"/>
          </w:tcPr>
          <w:p>
            <w:r>
              <w:rPr>
                <w:sz w:val="15"/>
              </w:rPr>
              <w:t>WS3</w:t>
            </w:r>
          </w:p>
        </w:tc>
        <w:tc>
          <w:tcPr>
            <w:tcW w:type="dxa" w:w="794"/>
          </w:tcPr>
          <w:p>
            <w:r>
              <w:rPr>
                <w:sz w:val="15"/>
              </w:rPr>
              <w:t>4 x 5 = 20</w:t>
            </w:r>
          </w:p>
        </w:tc>
        <w:tc>
          <w:tcPr>
            <w:tcW w:type="dxa" w:w="624"/>
          </w:tcPr>
          <w:p>
            <w:r>
              <w:rPr>
                <w:sz w:val="15"/>
              </w:rPr>
              <w:t>High</w:t>
            </w:r>
          </w:p>
        </w:tc>
        <w:tc>
          <w:tcPr>
            <w:tcW w:type="dxa" w:w="907"/>
          </w:tcPr>
          <w:p>
            <w:r>
              <w:rPr>
                <w:sz w:val="15"/>
              </w:rPr>
              <w:t>Increasing</w:t>
            </w:r>
          </w:p>
        </w:tc>
        <w:tc>
          <w:tcPr>
            <w:tcW w:type="dxa" w:w="1928"/>
          </w:tcPr>
          <w:p>
            <w:r>
              <w:rPr>
                <w:sz w:val="15"/>
              </w:rPr>
              <w:t>Freeze the legacy upgrade scope, run a joint architecture session,</w:t>
            </w:r>
          </w:p>
        </w:tc>
        <w:tc>
          <w:tcPr>
            <w:tcW w:type="dxa" w:w="1134"/>
          </w:tcPr>
          <w:p>
            <w:r>
              <w:rPr>
                <w:sz w:val="15"/>
              </w:rPr>
              <w:t>T. Bergström</w:t>
            </w:r>
          </w:p>
        </w:tc>
        <w:tc>
          <w:tcPr>
            <w:tcW w:type="dxa" w:w="1020"/>
          </w:tcPr>
          <w:p>
            <w:r>
              <w:rPr>
                <w:sz w:val="15"/>
              </w:rPr>
              <w:t>14 October 2016</w:t>
            </w:r>
          </w:p>
        </w:tc>
      </w:tr>
      <w:tr>
        <w:tc>
          <w:tcPr>
            <w:tcW w:type="dxa" w:w="567"/>
          </w:tcPr>
          <w:p>
            <w:r>
              <w:rPr>
                <w:sz w:val="15"/>
              </w:rPr>
              <w:t>R-03</w:t>
            </w:r>
          </w:p>
        </w:tc>
        <w:tc>
          <w:tcPr>
            <w:tcW w:type="dxa" w:w="2041"/>
          </w:tcPr>
          <w:p>
            <w:r>
              <w:rPr>
                <w:sz w:val="15"/>
              </w:rPr>
              <w:t>Master data quality in the supplier and material records prevents a cl</w:t>
            </w:r>
          </w:p>
        </w:tc>
        <w:tc>
          <w:tcPr>
            <w:tcW w:type="dxa" w:w="510"/>
          </w:tcPr>
          <w:p>
            <w:r>
              <w:rPr>
                <w:sz w:val="15"/>
              </w:rPr>
              <w:t>WS3</w:t>
            </w:r>
          </w:p>
        </w:tc>
        <w:tc>
          <w:tcPr>
            <w:tcW w:type="dxa" w:w="794"/>
          </w:tcPr>
          <w:p>
            <w:r>
              <w:rPr>
                <w:sz w:val="15"/>
              </w:rPr>
              <w:t>4 x 4 = 16</w:t>
            </w:r>
          </w:p>
        </w:tc>
        <w:tc>
          <w:tcPr>
            <w:tcW w:type="dxa" w:w="624"/>
          </w:tcPr>
          <w:p>
            <w:r>
              <w:rPr>
                <w:sz w:val="15"/>
              </w:rPr>
              <w:t>High</w:t>
            </w:r>
          </w:p>
        </w:tc>
        <w:tc>
          <w:tcPr>
            <w:tcW w:type="dxa" w:w="907"/>
          </w:tcPr>
          <w:p>
            <w:r>
              <w:rPr>
                <w:sz w:val="15"/>
              </w:rPr>
              <w:t>Stable</w:t>
            </w:r>
          </w:p>
        </w:tc>
        <w:tc>
          <w:tcPr>
            <w:tcW w:type="dxa" w:w="1928"/>
          </w:tcPr>
          <w:p>
            <w:r>
              <w:rPr>
                <w:sz w:val="15"/>
              </w:rPr>
              <w:t>Re-extract with a corrected field mapping, add a data quality gate</w:t>
            </w:r>
          </w:p>
        </w:tc>
        <w:tc>
          <w:tcPr>
            <w:tcW w:type="dxa" w:w="1134"/>
          </w:tcPr>
          <w:p>
            <w:r>
              <w:rPr>
                <w:sz w:val="15"/>
              </w:rPr>
              <w:t>G. Aydin</w:t>
            </w:r>
          </w:p>
        </w:tc>
        <w:tc>
          <w:tcPr>
            <w:tcW w:type="dxa" w:w="1020"/>
          </w:tcPr>
          <w:p>
            <w:r>
              <w:rPr>
                <w:sz w:val="15"/>
              </w:rPr>
              <w:t>5 October 2016</w:t>
            </w:r>
          </w:p>
        </w:tc>
      </w:tr>
      <w:tr>
        <w:tc>
          <w:tcPr>
            <w:tcW w:type="dxa" w:w="567"/>
          </w:tcPr>
          <w:p>
            <w:r>
              <w:rPr>
                <w:sz w:val="15"/>
              </w:rPr>
              <w:t>R-04</w:t>
            </w:r>
          </w:p>
        </w:tc>
        <w:tc>
          <w:tcPr>
            <w:tcW w:type="dxa" w:w="2041"/>
          </w:tcPr>
          <w:p>
            <w:r>
              <w:rPr>
                <w:sz w:val="15"/>
              </w:rPr>
              <w:t>Key talent attrition in the combined field organisation before the cov</w:t>
            </w:r>
          </w:p>
        </w:tc>
        <w:tc>
          <w:tcPr>
            <w:tcW w:type="dxa" w:w="510"/>
          </w:tcPr>
          <w:p>
            <w:r>
              <w:rPr>
                <w:sz w:val="15"/>
              </w:rPr>
              <w:t>WS4</w:t>
            </w:r>
          </w:p>
        </w:tc>
        <w:tc>
          <w:tcPr>
            <w:tcW w:type="dxa" w:w="794"/>
          </w:tcPr>
          <w:p>
            <w:r>
              <w:rPr>
                <w:sz w:val="15"/>
              </w:rPr>
              <w:t>3 x 5 = 15</w:t>
            </w:r>
          </w:p>
        </w:tc>
        <w:tc>
          <w:tcPr>
            <w:tcW w:type="dxa" w:w="624"/>
          </w:tcPr>
          <w:p>
            <w:r>
              <w:rPr>
                <w:sz w:val="15"/>
              </w:rPr>
              <w:t>High</w:t>
            </w:r>
          </w:p>
        </w:tc>
        <w:tc>
          <w:tcPr>
            <w:tcW w:type="dxa" w:w="907"/>
          </w:tcPr>
          <w:p>
            <w:r>
              <w:rPr>
                <w:sz w:val="15"/>
              </w:rPr>
              <w:t>Stable</w:t>
            </w:r>
          </w:p>
        </w:tc>
        <w:tc>
          <w:tcPr>
            <w:tcW w:type="dxa" w:w="1928"/>
          </w:tcPr>
          <w:p>
            <w:r>
              <w:rPr>
                <w:sz w:val="15"/>
              </w:rPr>
              <w:t>Confirm retention packages for named critical roles, bring the cov</w:t>
            </w:r>
          </w:p>
        </w:tc>
        <w:tc>
          <w:tcPr>
            <w:tcW w:type="dxa" w:w="1134"/>
          </w:tcPr>
          <w:p>
            <w:r>
              <w:rPr>
                <w:sz w:val="15"/>
              </w:rPr>
              <w:t>J. Adeyemi</w:t>
            </w:r>
          </w:p>
        </w:tc>
        <w:tc>
          <w:tcPr>
            <w:tcW w:type="dxa" w:w="1020"/>
          </w:tcPr>
          <w:p>
            <w:r>
              <w:rPr>
                <w:sz w:val="15"/>
              </w:rPr>
              <w:t>7 October 2016</w:t>
            </w:r>
          </w:p>
        </w:tc>
      </w:tr>
    </w:tbl>
    <w:p/>
    <w:p>
      <w:r>
        <w:rPr>
          <w:i/>
          <w:color w:val="75787B"/>
          <w:sz w:val="16"/>
        </w:rPr>
        <w:t>Escalation rule from the integration charter: severity 15 and above goes to the Steering Committee. 6 risks currently sit above the workstream level.</w:t>
      </w:r>
    </w:p>
    <w:p>
      <w:pPr>
        <w:pStyle w:val="Heading1"/>
      </w:pPr>
      <w:r>
        <w:t>6. Decisions taken</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color="auto" w:fill="046A38"/>
          </w:tcPr>
          <w:p>
            <w:r>
              <w:rPr>
                <w:b/>
                <w:color w:val="FFFFFF"/>
                <w:sz w:val="15"/>
              </w:rPr>
              <w:t>ID</w:t>
            </w:r>
          </w:p>
        </w:tc>
        <w:tc>
          <w:tcPr>
            <w:tcW w:type="dxa" w:w="2494"/>
            <w:shd w:val="clear" w:color="auto" w:fill="046A38"/>
          </w:tcPr>
          <w:p>
            <w:r>
              <w:rPr>
                <w:b/>
                <w:color w:val="FFFFFF"/>
                <w:sz w:val="15"/>
              </w:rPr>
              <w:t>Decision</w:t>
            </w:r>
          </w:p>
        </w:tc>
        <w:tc>
          <w:tcPr>
            <w:tcW w:type="dxa" w:w="2268"/>
            <w:shd w:val="clear" w:color="auto" w:fill="046A38"/>
          </w:tcPr>
          <w:p>
            <w:r>
              <w:rPr>
                <w:b/>
                <w:color w:val="FFFFFF"/>
                <w:sz w:val="15"/>
              </w:rPr>
              <w:t>Rationale</w:t>
            </w:r>
          </w:p>
        </w:tc>
        <w:tc>
          <w:tcPr>
            <w:tcW w:type="dxa" w:w="1020"/>
            <w:shd w:val="clear" w:color="auto" w:fill="046A38"/>
          </w:tcPr>
          <w:p>
            <w:r>
              <w:rPr>
                <w:b/>
                <w:color w:val="FFFFFF"/>
                <w:sz w:val="15"/>
              </w:rPr>
              <w:t>Body</w:t>
            </w:r>
          </w:p>
        </w:tc>
        <w:tc>
          <w:tcPr>
            <w:tcW w:type="dxa" w:w="1134"/>
            <w:shd w:val="clear" w:color="auto" w:fill="046A38"/>
          </w:tcPr>
          <w:p>
            <w:r>
              <w:rPr>
                <w:b/>
                <w:color w:val="FFFFFF"/>
                <w:sz w:val="15"/>
              </w:rPr>
              <w:t>Date</w:t>
            </w:r>
          </w:p>
        </w:tc>
        <w:tc>
          <w:tcPr>
            <w:tcW w:type="dxa" w:w="1134"/>
            <w:shd w:val="clear" w:color="auto" w:fill="046A38"/>
          </w:tcPr>
          <w:p>
            <w:r>
              <w:rPr>
                <w:b/>
                <w:color w:val="FFFFFF"/>
                <w:sz w:val="15"/>
              </w:rPr>
              <w:t>Affects</w:t>
            </w:r>
          </w:p>
        </w:tc>
        <w:tc>
          <w:tcPr>
            <w:tcW w:type="dxa" w:w="1020"/>
            <w:shd w:val="clear" w:color="auto" w:fill="046A38"/>
          </w:tcPr>
          <w:p>
            <w:r>
              <w:rPr>
                <w:b/>
                <w:color w:val="FFFFFF"/>
                <w:sz w:val="15"/>
              </w:rPr>
              <w:t>Status</w:t>
            </w:r>
          </w:p>
        </w:tc>
      </w:tr>
      <w:tr>
        <w:tc>
          <w:tcPr>
            <w:tcW w:type="dxa" w:w="567"/>
          </w:tcPr>
          <w:p>
            <w:r>
              <w:rPr>
                <w:sz w:val="15"/>
              </w:rPr>
              <w:t>B-01</w:t>
            </w:r>
          </w:p>
        </w:tc>
        <w:tc>
          <w:tcPr>
            <w:tcW w:type="dxa" w:w="2494"/>
          </w:tcPr>
          <w:p>
            <w:r>
              <w:rPr>
                <w:sz w:val="15"/>
              </w:rPr>
              <w:t>Adopt the value prioritisation framework as the single basis for sequencin</w:t>
            </w:r>
          </w:p>
        </w:tc>
        <w:tc>
          <w:tcPr>
            <w:tcW w:type="dxa" w:w="2268"/>
          </w:tcPr>
          <w:p>
            <w:r>
              <w:rPr>
                <w:sz w:val="15"/>
              </w:rPr>
              <w:t>Focus the office on the fifth of the opportunities that carries mo</w:t>
            </w:r>
          </w:p>
        </w:tc>
        <w:tc>
          <w:tcPr>
            <w:tcW w:type="dxa" w:w="1020"/>
          </w:tcPr>
          <w:p>
            <w:r>
              <w:rPr>
                <w:sz w:val="15"/>
              </w:rPr>
              <w:t>Steering Committee</w:t>
            </w:r>
          </w:p>
        </w:tc>
        <w:tc>
          <w:tcPr>
            <w:tcW w:type="dxa" w:w="1134"/>
          </w:tcPr>
          <w:p>
            <w:r>
              <w:rPr>
                <w:sz w:val="15"/>
              </w:rPr>
              <w:t>15 September 2016</w:t>
            </w:r>
          </w:p>
        </w:tc>
        <w:tc>
          <w:tcPr>
            <w:tcW w:type="dxa" w:w="1134"/>
          </w:tcPr>
          <w:p>
            <w:r>
              <w:rPr>
                <w:sz w:val="15"/>
              </w:rPr>
              <w:t>all</w:t>
            </w:r>
          </w:p>
        </w:tc>
        <w:tc>
          <w:tcPr>
            <w:tcW w:type="dxa" w:w="1020"/>
          </w:tcPr>
          <w:p>
            <w:r>
              <w:rPr>
                <w:sz w:val="15"/>
              </w:rPr>
              <w:t>Implemented</w:t>
            </w:r>
          </w:p>
        </w:tc>
      </w:tr>
      <w:tr>
        <w:tc>
          <w:tcPr>
            <w:tcW w:type="dxa" w:w="567"/>
          </w:tcPr>
          <w:p>
            <w:r>
              <w:rPr>
                <w:sz w:val="15"/>
              </w:rPr>
              <w:t>B-02</w:t>
            </w:r>
          </w:p>
        </w:tc>
        <w:tc>
          <w:tcPr>
            <w:tcW w:type="dxa" w:w="2494"/>
          </w:tcPr>
          <w:p>
            <w:r>
              <w:rPr>
                <w:sz w:val="15"/>
              </w:rPr>
              <w:t>Mandate the integration tracker as the single source of truth for tasks, m</w:t>
            </w:r>
          </w:p>
        </w:tc>
        <w:tc>
          <w:tcPr>
            <w:tcW w:type="dxa" w:w="2268"/>
          </w:tcPr>
          <w:p>
            <w:r>
              <w:rPr>
                <w:sz w:val="15"/>
              </w:rPr>
              <w:t xml:space="preserve">Six reporting formats were reaching the office and reconciliation </w:t>
            </w:r>
          </w:p>
        </w:tc>
        <w:tc>
          <w:tcPr>
            <w:tcW w:type="dxa" w:w="1020"/>
          </w:tcPr>
          <w:p>
            <w:r>
              <w:rPr>
                <w:sz w:val="15"/>
              </w:rPr>
              <w:t>Steering Committee</w:t>
            </w:r>
          </w:p>
        </w:tc>
        <w:tc>
          <w:tcPr>
            <w:tcW w:type="dxa" w:w="1134"/>
          </w:tcPr>
          <w:p>
            <w:r>
              <w:rPr>
                <w:sz w:val="15"/>
              </w:rPr>
              <w:t>15 September 2016</w:t>
            </w:r>
          </w:p>
        </w:tc>
        <w:tc>
          <w:tcPr>
            <w:tcW w:type="dxa" w:w="1134"/>
          </w:tcPr>
          <w:p>
            <w:r>
              <w:rPr>
                <w:sz w:val="15"/>
              </w:rPr>
              <w:t>all</w:t>
            </w:r>
          </w:p>
        </w:tc>
        <w:tc>
          <w:tcPr>
            <w:tcW w:type="dxa" w:w="1020"/>
          </w:tcPr>
          <w:p>
            <w:r>
              <w:rPr>
                <w:sz w:val="15"/>
              </w:rPr>
              <w:t>In progress</w:t>
            </w:r>
          </w:p>
        </w:tc>
      </w:tr>
      <w:tr>
        <w:tc>
          <w:tcPr>
            <w:tcW w:type="dxa" w:w="567"/>
          </w:tcPr>
          <w:p>
            <w:r>
              <w:rPr>
                <w:sz w:val="15"/>
              </w:rPr>
              <w:t>B-03</w:t>
            </w:r>
          </w:p>
        </w:tc>
        <w:tc>
          <w:tcPr>
            <w:tcW w:type="dxa" w:w="2494"/>
          </w:tcPr>
          <w:p>
            <w:r>
              <w:rPr>
                <w:sz w:val="15"/>
              </w:rPr>
              <w:t>Require both workstream leads to confirm every cross-workstream handover d</w:t>
            </w:r>
          </w:p>
        </w:tc>
        <w:tc>
          <w:tcPr>
            <w:tcW w:type="dxa" w:w="2268"/>
          </w:tcPr>
          <w:p>
            <w:r>
              <w:rPr>
                <w:sz w:val="15"/>
              </w:rPr>
              <w:t>Teams understand their own responsibilities but not how their acti</w:t>
            </w:r>
          </w:p>
        </w:tc>
        <w:tc>
          <w:tcPr>
            <w:tcW w:type="dxa" w:w="1020"/>
          </w:tcPr>
          <w:p>
            <w:r>
              <w:rPr>
                <w:sz w:val="15"/>
              </w:rPr>
              <w:t>Steering Committee</w:t>
            </w:r>
          </w:p>
        </w:tc>
        <w:tc>
          <w:tcPr>
            <w:tcW w:type="dxa" w:w="1134"/>
          </w:tcPr>
          <w:p>
            <w:r>
              <w:rPr>
                <w:sz w:val="15"/>
              </w:rPr>
              <w:t>15 September 2016</w:t>
            </w:r>
          </w:p>
        </w:tc>
        <w:tc>
          <w:tcPr>
            <w:tcW w:type="dxa" w:w="1134"/>
          </w:tcPr>
          <w:p>
            <w:r>
              <w:rPr>
                <w:sz w:val="15"/>
              </w:rPr>
              <w:t>all</w:t>
            </w:r>
          </w:p>
        </w:tc>
        <w:tc>
          <w:tcPr>
            <w:tcW w:type="dxa" w:w="1020"/>
          </w:tcPr>
          <w:p>
            <w:r>
              <w:rPr>
                <w:sz w:val="15"/>
              </w:rPr>
              <w:t>In progress</w:t>
            </w:r>
          </w:p>
        </w:tc>
      </w:tr>
      <w:tr>
        <w:tc>
          <w:tcPr>
            <w:tcW w:type="dxa" w:w="567"/>
          </w:tcPr>
          <w:p>
            <w:r>
              <w:rPr>
                <w:sz w:val="15"/>
              </w:rPr>
              <w:t>B-04</w:t>
            </w:r>
          </w:p>
        </w:tc>
        <w:tc>
          <w:tcPr>
            <w:tcW w:type="dxa" w:w="2494"/>
          </w:tcPr>
          <w:p>
            <w:r>
              <w:rPr>
                <w:sz w:val="15"/>
              </w:rPr>
              <w:t>Freeze the scope of the legacy ERP upgrade at the target until the consoli</w:t>
            </w:r>
          </w:p>
        </w:tc>
        <w:tc>
          <w:tcPr>
            <w:tcW w:type="dxa" w:w="2268"/>
          </w:tcPr>
          <w:p>
            <w:r>
              <w:rPr>
                <w:sz w:val="15"/>
              </w:rPr>
              <w:t>The upgrade and the integration design were competing for the same</w:t>
            </w:r>
          </w:p>
        </w:tc>
        <w:tc>
          <w:tcPr>
            <w:tcW w:type="dxa" w:w="1020"/>
          </w:tcPr>
          <w:p>
            <w:r>
              <w:rPr>
                <w:sz w:val="15"/>
              </w:rPr>
              <w:t>VCIO</w:t>
            </w:r>
          </w:p>
        </w:tc>
        <w:tc>
          <w:tcPr>
            <w:tcW w:type="dxa" w:w="1134"/>
          </w:tcPr>
          <w:p>
            <w:r>
              <w:rPr>
                <w:sz w:val="15"/>
              </w:rPr>
              <w:t>21 September 2016</w:t>
            </w:r>
          </w:p>
        </w:tc>
        <w:tc>
          <w:tcPr>
            <w:tcW w:type="dxa" w:w="1134"/>
          </w:tcPr>
          <w:p>
            <w:r>
              <w:rPr>
                <w:sz w:val="15"/>
              </w:rPr>
              <w:t>WS3, WS1, WS5</w:t>
            </w:r>
          </w:p>
        </w:tc>
        <w:tc>
          <w:tcPr>
            <w:tcW w:type="dxa" w:w="1020"/>
          </w:tcPr>
          <w:p>
            <w:r>
              <w:rPr>
                <w:sz w:val="15"/>
              </w:rPr>
              <w:t>In progress</w:t>
            </w:r>
          </w:p>
        </w:tc>
      </w:tr>
      <w:tr>
        <w:tc>
          <w:tcPr>
            <w:tcW w:type="dxa" w:w="567"/>
          </w:tcPr>
          <w:p>
            <w:r>
              <w:rPr>
                <w:sz w:val="15"/>
              </w:rPr>
              <w:t>B-06</w:t>
            </w:r>
          </w:p>
        </w:tc>
        <w:tc>
          <w:tcPr>
            <w:tcW w:type="dxa" w:w="2494"/>
          </w:tcPr>
          <w:p>
            <w:r>
              <w:rPr>
                <w:sz w:val="15"/>
              </w:rPr>
              <w:t>Count only Finance-validated initiatives towards secured synergy</w:t>
            </w:r>
          </w:p>
        </w:tc>
        <w:tc>
          <w:tcPr>
            <w:tcW w:type="dxa" w:w="2268"/>
          </w:tcPr>
          <w:p>
            <w:r>
              <w:rPr>
                <w:sz w:val="15"/>
              </w:rPr>
              <w:t>Reported secured value was running ahead of what the baseline coul</w:t>
            </w:r>
          </w:p>
        </w:tc>
        <w:tc>
          <w:tcPr>
            <w:tcW w:type="dxa" w:w="1020"/>
          </w:tcPr>
          <w:p>
            <w:r>
              <w:rPr>
                <w:sz w:val="15"/>
              </w:rPr>
              <w:t>Steering Committee</w:t>
            </w:r>
          </w:p>
        </w:tc>
        <w:tc>
          <w:tcPr>
            <w:tcW w:type="dxa" w:w="1134"/>
          </w:tcPr>
          <w:p>
            <w:r>
              <w:rPr>
                <w:sz w:val="15"/>
              </w:rPr>
              <w:t>15 September 2016</w:t>
            </w:r>
          </w:p>
        </w:tc>
        <w:tc>
          <w:tcPr>
            <w:tcW w:type="dxa" w:w="1134"/>
          </w:tcPr>
          <w:p>
            <w:r>
              <w:rPr>
                <w:sz w:val="15"/>
              </w:rPr>
              <w:t>all</w:t>
            </w:r>
          </w:p>
        </w:tc>
        <w:tc>
          <w:tcPr>
            <w:tcW w:type="dxa" w:w="1020"/>
          </w:tcPr>
          <w:p>
            <w:r>
              <w:rPr>
                <w:sz w:val="15"/>
              </w:rPr>
              <w:t>Implemented</w:t>
            </w:r>
          </w:p>
        </w:tc>
      </w:tr>
      <w:tr>
        <w:tc>
          <w:tcPr>
            <w:tcW w:type="dxa" w:w="567"/>
          </w:tcPr>
          <w:p>
            <w:r>
              <w:rPr>
                <w:sz w:val="15"/>
              </w:rPr>
              <w:t>B-08</w:t>
            </w:r>
          </w:p>
        </w:tc>
        <w:tc>
          <w:tcPr>
            <w:tcW w:type="dxa" w:w="2494"/>
          </w:tcPr>
          <w:p>
            <w:r>
              <w:rPr>
                <w:sz w:val="15"/>
              </w:rPr>
              <w:t xml:space="preserve">Publish an interim account ownership list weekly until the coverage model </w:t>
            </w:r>
          </w:p>
        </w:tc>
        <w:tc>
          <w:tcPr>
            <w:tcW w:type="dxa" w:w="2268"/>
          </w:tcPr>
          <w:p>
            <w:r>
              <w:rPr>
                <w:sz w:val="15"/>
              </w:rPr>
              <w:t>Two field organisations were calling on the same accounts</w:t>
            </w:r>
          </w:p>
        </w:tc>
        <w:tc>
          <w:tcPr>
            <w:tcW w:type="dxa" w:w="1020"/>
          </w:tcPr>
          <w:p>
            <w:r>
              <w:rPr>
                <w:sz w:val="15"/>
              </w:rPr>
              <w:t>VCIO</w:t>
            </w:r>
          </w:p>
        </w:tc>
        <w:tc>
          <w:tcPr>
            <w:tcW w:type="dxa" w:w="1134"/>
          </w:tcPr>
          <w:p>
            <w:r>
              <w:rPr>
                <w:sz w:val="15"/>
              </w:rPr>
              <w:t>20 September 2016</w:t>
            </w:r>
          </w:p>
        </w:tc>
        <w:tc>
          <w:tcPr>
            <w:tcW w:type="dxa" w:w="1134"/>
          </w:tcPr>
          <w:p>
            <w:r>
              <w:rPr>
                <w:sz w:val="15"/>
              </w:rPr>
              <w:t>WS6</w:t>
            </w:r>
          </w:p>
        </w:tc>
        <w:tc>
          <w:tcPr>
            <w:tcW w:type="dxa" w:w="1020"/>
          </w:tcPr>
          <w:p>
            <w:r>
              <w:rPr>
                <w:sz w:val="15"/>
              </w:rPr>
              <w:t>Implemented</w:t>
            </w:r>
          </w:p>
        </w:tc>
      </w:tr>
    </w:tbl>
    <w:p/>
    <w:p>
      <w:pPr>
        <w:pStyle w:val="Heading1"/>
      </w:pPr>
      <w:r>
        <w:t>7. Escalations to the Steering Committee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67"/>
            <w:shd w:val="clear" w:color="auto" w:fill="046A38"/>
          </w:tcPr>
          <w:p>
            <w:r>
              <w:rPr>
                <w:b/>
                <w:color w:val="FFFFFF"/>
                <w:sz w:val="15"/>
              </w:rPr>
              <w:t>ID</w:t>
            </w:r>
          </w:p>
        </w:tc>
        <w:tc>
          <w:tcPr>
            <w:tcW w:type="dxa" w:w="2835"/>
            <w:shd w:val="clear" w:color="auto" w:fill="046A38"/>
          </w:tcPr>
          <w:p>
            <w:r>
              <w:rPr>
                <w:b/>
                <w:color w:val="FFFFFF"/>
                <w:sz w:val="15"/>
              </w:rPr>
              <w:t>Requested decision</w:t>
            </w:r>
          </w:p>
        </w:tc>
        <w:tc>
          <w:tcPr>
            <w:tcW w:type="dxa" w:w="2608"/>
            <w:shd w:val="clear" w:color="auto" w:fill="046A38"/>
          </w:tcPr>
          <w:p>
            <w:r>
              <w:rPr>
                <w:b/>
                <w:color w:val="FFFFFF"/>
                <w:sz w:val="15"/>
              </w:rPr>
              <w:t>Why it needs the committee</w:t>
            </w:r>
          </w:p>
        </w:tc>
        <w:tc>
          <w:tcPr>
            <w:tcW w:type="dxa" w:w="1361"/>
            <w:shd w:val="clear" w:color="auto" w:fill="046A38"/>
          </w:tcPr>
          <w:p>
            <w:r>
              <w:rPr>
                <w:b/>
                <w:color w:val="FFFFFF"/>
                <w:sz w:val="15"/>
              </w:rPr>
              <w:t>Proposed by</w:t>
            </w:r>
          </w:p>
        </w:tc>
        <w:tc>
          <w:tcPr>
            <w:tcW w:type="dxa" w:w="1134"/>
            <w:shd w:val="clear" w:color="auto" w:fill="046A38"/>
          </w:tcPr>
          <w:p>
            <w:r>
              <w:rPr>
                <w:b/>
                <w:color w:val="FFFFFF"/>
                <w:sz w:val="15"/>
              </w:rPr>
              <w:t>Needed by</w:t>
            </w:r>
          </w:p>
        </w:tc>
      </w:tr>
      <w:tr>
        <w:tc>
          <w:tcPr>
            <w:tcW w:type="dxa" w:w="567"/>
          </w:tcPr>
          <w:p>
            <w:r>
              <w:rPr>
                <w:sz w:val="15"/>
              </w:rPr>
              <w:t>B-05</w:t>
            </w:r>
          </w:p>
        </w:tc>
        <w:tc>
          <w:tcPr>
            <w:tcW w:type="dxa" w:w="2835"/>
          </w:tcPr>
          <w:p>
            <w:r>
              <w:rPr>
                <w:sz w:val="15"/>
              </w:rPr>
              <w:t>Exclude co-determined units from the first organisation announcement</w:t>
            </w:r>
          </w:p>
        </w:tc>
        <w:tc>
          <w:tcPr>
            <w:tcW w:type="dxa" w:w="2608"/>
          </w:tcPr>
          <w:p>
            <w:r>
              <w:rPr>
                <w:sz w:val="15"/>
              </w:rPr>
              <w:t>German consultation is a legal gate, not a communication preference; a</w:t>
            </w:r>
          </w:p>
        </w:tc>
        <w:tc>
          <w:tcPr>
            <w:tcW w:type="dxa" w:w="1361"/>
          </w:tcPr>
          <w:p>
            <w:r>
              <w:rPr>
                <w:sz w:val="15"/>
              </w:rPr>
              <w:t>W. Kempowski</w:t>
            </w:r>
          </w:p>
        </w:tc>
        <w:tc>
          <w:tcPr>
            <w:tcW w:type="dxa" w:w="1134"/>
          </w:tcPr>
          <w:p>
            <w:r>
              <w:rPr>
                <w:sz w:val="15"/>
              </w:rPr>
              <w:t>29 September 2016</w:t>
            </w:r>
          </w:p>
        </w:tc>
      </w:tr>
      <w:tr>
        <w:tc>
          <w:tcPr>
            <w:tcW w:type="dxa" w:w="567"/>
          </w:tcPr>
          <w:p>
            <w:r>
              <w:rPr>
                <w:sz w:val="15"/>
              </w:rPr>
              <w:t>B-07</w:t>
            </w:r>
          </w:p>
        </w:tc>
        <w:tc>
          <w:tcPr>
            <w:tcW w:type="dxa" w:w="2835"/>
          </w:tcPr>
          <w:p>
            <w:r>
              <w:rPr>
                <w:sz w:val="15"/>
              </w:rPr>
              <w:t>Hold the Day 100 value realisation review date and re-phase scope instead</w:t>
            </w:r>
          </w:p>
        </w:tc>
        <w:tc>
          <w:tcPr>
            <w:tcW w:type="dxa" w:w="2608"/>
          </w:tcPr>
          <w:p>
            <w:r>
              <w:rPr>
                <w:sz w:val="15"/>
              </w:rPr>
              <w:t>The date is a sponsor commitment; scope is the variable that can move</w:t>
            </w:r>
          </w:p>
        </w:tc>
        <w:tc>
          <w:tcPr>
            <w:tcW w:type="dxa" w:w="1361"/>
          </w:tcPr>
          <w:p>
            <w:r>
              <w:rPr>
                <w:sz w:val="15"/>
              </w:rPr>
              <w:t>A. Vasquez</w:t>
            </w:r>
          </w:p>
        </w:tc>
        <w:tc>
          <w:tcPr>
            <w:tcW w:type="dxa" w:w="1134"/>
          </w:tcPr>
          <w:p>
            <w:r>
              <w:rPr>
                <w:sz w:val="15"/>
              </w:rPr>
              <w:t>29 September 2016</w:t>
            </w:r>
          </w:p>
        </w:tc>
      </w:tr>
    </w:tbl>
    <w:p/>
    <w:p>
      <w:pPr>
        <w:pStyle w:val="Heading1"/>
      </w:pPr>
      <w:r>
        <w:t>8. Look ahead: next two weeks</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color="auto" w:fill="046A38"/>
          </w:tcPr>
          <w:p>
            <w:r>
              <w:rPr>
                <w:b/>
                <w:color w:val="FFFFFF"/>
                <w:sz w:val="15"/>
              </w:rPr>
              <w:t>ID</w:t>
            </w:r>
          </w:p>
        </w:tc>
        <w:tc>
          <w:tcPr>
            <w:tcW w:type="dxa" w:w="2608"/>
            <w:shd w:val="clear" w:color="auto" w:fill="046A38"/>
          </w:tcPr>
          <w:p>
            <w:r>
              <w:rPr>
                <w:b/>
                <w:color w:val="FFFFFF"/>
                <w:sz w:val="15"/>
              </w:rPr>
              <w:t>Milestone</w:t>
            </w:r>
          </w:p>
        </w:tc>
        <w:tc>
          <w:tcPr>
            <w:tcW w:type="dxa" w:w="567"/>
            <w:shd w:val="clear" w:color="auto" w:fill="046A38"/>
          </w:tcPr>
          <w:p>
            <w:r>
              <w:rPr>
                <w:b/>
                <w:color w:val="FFFFFF"/>
                <w:sz w:val="15"/>
              </w:rPr>
              <w:t>WS</w:t>
            </w:r>
          </w:p>
        </w:tc>
        <w:tc>
          <w:tcPr>
            <w:tcW w:type="dxa" w:w="1361"/>
            <w:shd w:val="clear" w:color="auto" w:fill="046A38"/>
          </w:tcPr>
          <w:p>
            <w:r>
              <w:rPr>
                <w:b/>
                <w:color w:val="FFFFFF"/>
                <w:sz w:val="15"/>
              </w:rPr>
              <w:t>Owner</w:t>
            </w:r>
          </w:p>
        </w:tc>
        <w:tc>
          <w:tcPr>
            <w:tcW w:type="dxa" w:w="1247"/>
            <w:shd w:val="clear" w:color="auto" w:fill="046A38"/>
          </w:tcPr>
          <w:p>
            <w:r>
              <w:rPr>
                <w:b/>
                <w:color w:val="FFFFFF"/>
                <w:sz w:val="15"/>
              </w:rPr>
              <w:t>Due</w:t>
            </w:r>
          </w:p>
        </w:tc>
        <w:tc>
          <w:tcPr>
            <w:tcW w:type="dxa" w:w="1020"/>
            <w:shd w:val="clear" w:color="auto" w:fill="046A38"/>
          </w:tcPr>
          <w:p>
            <w:r>
              <w:rPr>
                <w:b/>
                <w:color w:val="FFFFFF"/>
                <w:sz w:val="15"/>
              </w:rPr>
              <w:t>Readiness</w:t>
            </w:r>
          </w:p>
        </w:tc>
        <w:tc>
          <w:tcPr>
            <w:tcW w:type="dxa" w:w="680"/>
            <w:shd w:val="clear" w:color="auto" w:fill="046A38"/>
          </w:tcPr>
          <w:p>
            <w:r>
              <w:rPr>
                <w:b/>
                <w:color w:val="FFFFFF"/>
                <w:sz w:val="15"/>
              </w:rPr>
              <w:t>Gate</w:t>
            </w:r>
          </w:p>
        </w:tc>
      </w:tr>
      <w:tr>
        <w:tc>
          <w:tcPr>
            <w:tcW w:type="dxa" w:w="567"/>
          </w:tcPr>
          <w:p>
            <w:r>
              <w:rPr>
                <w:sz w:val="15"/>
              </w:rPr>
              <w:t>M-04</w:t>
            </w:r>
          </w:p>
        </w:tc>
        <w:tc>
          <w:tcPr>
            <w:tcW w:type="dxa" w:w="2608"/>
          </w:tcPr>
          <w:p>
            <w:r>
              <w:rPr>
                <w:sz w:val="15"/>
              </w:rPr>
              <w:t>Combined opening balance sheet prepared</w:t>
            </w:r>
          </w:p>
        </w:tc>
        <w:tc>
          <w:tcPr>
            <w:tcW w:type="dxa" w:w="567"/>
          </w:tcPr>
          <w:p>
            <w:r>
              <w:rPr>
                <w:sz w:val="15"/>
              </w:rPr>
              <w:t>WS1</w:t>
            </w:r>
          </w:p>
        </w:tc>
        <w:tc>
          <w:tcPr>
            <w:tcW w:type="dxa" w:w="1361"/>
          </w:tcPr>
          <w:p>
            <w:r>
              <w:rPr>
                <w:sz w:val="15"/>
              </w:rPr>
              <w:t>R. Whitfield</w:t>
            </w:r>
          </w:p>
        </w:tc>
        <w:tc>
          <w:tcPr>
            <w:tcW w:type="dxa" w:w="1247"/>
          </w:tcPr>
          <w:p>
            <w:r>
              <w:rPr>
                <w:sz w:val="15"/>
              </w:rPr>
              <w:t>7 October 2016</w:t>
            </w:r>
          </w:p>
        </w:tc>
        <w:tc>
          <w:tcPr>
            <w:tcW w:type="dxa" w:w="1020"/>
          </w:tcPr>
          <w:p>
            <w:r>
              <w:rPr>
                <w:sz w:val="15"/>
              </w:rPr>
              <w:t>On track</w:t>
            </w:r>
          </w:p>
        </w:tc>
        <w:tc>
          <w:tcPr>
            <w:tcW w:type="dxa" w:w="680"/>
          </w:tcPr>
          <w:p>
            <w:r>
              <w:rPr>
                <w:sz w:val="15"/>
              </w:rPr>
              <w:t>Yes</w:t>
            </w:r>
          </w:p>
        </w:tc>
      </w:tr>
      <w:tr>
        <w:tc>
          <w:tcPr>
            <w:tcW w:type="dxa" w:w="567"/>
          </w:tcPr>
          <w:p>
            <w:r>
              <w:rPr>
                <w:sz w:val="15"/>
              </w:rPr>
              <w:t>M-06</w:t>
            </w:r>
          </w:p>
        </w:tc>
        <w:tc>
          <w:tcPr>
            <w:tcW w:type="dxa" w:w="2608"/>
          </w:tcPr>
          <w:p>
            <w:r>
              <w:rPr>
                <w:sz w:val="15"/>
              </w:rPr>
              <w:t>Interim consolidated reporting pack produced</w:t>
            </w:r>
          </w:p>
        </w:tc>
        <w:tc>
          <w:tcPr>
            <w:tcW w:type="dxa" w:w="567"/>
          </w:tcPr>
          <w:p>
            <w:r>
              <w:rPr>
                <w:sz w:val="15"/>
              </w:rPr>
              <w:t>WS1</w:t>
            </w:r>
          </w:p>
        </w:tc>
        <w:tc>
          <w:tcPr>
            <w:tcW w:type="dxa" w:w="1361"/>
          </w:tcPr>
          <w:p>
            <w:r>
              <w:rPr>
                <w:sz w:val="15"/>
              </w:rPr>
              <w:t>R. Whitfield</w:t>
            </w:r>
          </w:p>
        </w:tc>
        <w:tc>
          <w:tcPr>
            <w:tcW w:type="dxa" w:w="1247"/>
          </w:tcPr>
          <w:p>
            <w:r>
              <w:rPr>
                <w:sz w:val="15"/>
              </w:rPr>
              <w:t>7 October 2016</w:t>
            </w:r>
          </w:p>
        </w:tc>
        <w:tc>
          <w:tcPr>
            <w:tcW w:type="dxa" w:w="1020"/>
          </w:tcPr>
          <w:p>
            <w:r>
              <w:rPr>
                <w:sz w:val="15"/>
              </w:rPr>
              <w:t>On track</w:t>
            </w:r>
          </w:p>
        </w:tc>
        <w:tc>
          <w:tcPr>
            <w:tcW w:type="dxa" w:w="680"/>
          </w:tcPr>
          <w:p>
            <w:r>
              <w:rPr>
                <w:sz w:val="15"/>
              </w:rPr>
              <w:t>No</w:t>
            </w:r>
          </w:p>
        </w:tc>
      </w:tr>
      <w:tr>
        <w:tc>
          <w:tcPr>
            <w:tcW w:type="dxa" w:w="567"/>
          </w:tcPr>
          <w:p>
            <w:r>
              <w:rPr>
                <w:sz w:val="15"/>
              </w:rPr>
              <w:t>M-08</w:t>
            </w:r>
          </w:p>
        </w:tc>
        <w:tc>
          <w:tcPr>
            <w:tcW w:type="dxa" w:w="2608"/>
          </w:tcPr>
          <w:p>
            <w:r>
              <w:rPr>
                <w:sz w:val="15"/>
              </w:rPr>
              <w:t>Single sign-on and directory federation live</w:t>
            </w:r>
          </w:p>
        </w:tc>
        <w:tc>
          <w:tcPr>
            <w:tcW w:type="dxa" w:w="567"/>
          </w:tcPr>
          <w:p>
            <w:r>
              <w:rPr>
                <w:sz w:val="15"/>
              </w:rPr>
              <w:t>WS3</w:t>
            </w:r>
          </w:p>
        </w:tc>
        <w:tc>
          <w:tcPr>
            <w:tcW w:type="dxa" w:w="1361"/>
          </w:tcPr>
          <w:p>
            <w:r>
              <w:rPr>
                <w:sz w:val="15"/>
              </w:rPr>
              <w:t>T. Bergström</w:t>
            </w:r>
          </w:p>
        </w:tc>
        <w:tc>
          <w:tcPr>
            <w:tcW w:type="dxa" w:w="1247"/>
          </w:tcPr>
          <w:p>
            <w:r>
              <w:rPr>
                <w:sz w:val="15"/>
              </w:rPr>
              <w:t>7 October 2016</w:t>
            </w:r>
          </w:p>
        </w:tc>
        <w:tc>
          <w:tcPr>
            <w:tcW w:type="dxa" w:w="1020"/>
          </w:tcPr>
          <w:p>
            <w:r>
              <w:rPr>
                <w:sz w:val="15"/>
              </w:rPr>
              <w:t>On track</w:t>
            </w:r>
          </w:p>
        </w:tc>
        <w:tc>
          <w:tcPr>
            <w:tcW w:type="dxa" w:w="680"/>
          </w:tcPr>
          <w:p>
            <w:r>
              <w:rPr>
                <w:sz w:val="15"/>
              </w:rPr>
              <w:t>No</w:t>
            </w:r>
          </w:p>
        </w:tc>
      </w:tr>
      <w:tr>
        <w:tc>
          <w:tcPr>
            <w:tcW w:type="dxa" w:w="567"/>
          </w:tcPr>
          <w:p>
            <w:r>
              <w:rPr>
                <w:sz w:val="15"/>
              </w:rPr>
              <w:t>M-10</w:t>
            </w:r>
          </w:p>
        </w:tc>
        <w:tc>
          <w:tcPr>
            <w:tcW w:type="dxa" w:w="2608"/>
          </w:tcPr>
          <w:p>
            <w:r>
              <w:rPr>
                <w:sz w:val="15"/>
              </w:rPr>
              <w:t>Supplier master consolidated for top 200 vendors</w:t>
            </w:r>
          </w:p>
        </w:tc>
        <w:tc>
          <w:tcPr>
            <w:tcW w:type="dxa" w:w="567"/>
          </w:tcPr>
          <w:p>
            <w:r>
              <w:rPr>
                <w:sz w:val="15"/>
              </w:rPr>
              <w:t>WS5</w:t>
            </w:r>
          </w:p>
        </w:tc>
        <w:tc>
          <w:tcPr>
            <w:tcW w:type="dxa" w:w="1361"/>
          </w:tcPr>
          <w:p>
            <w:r>
              <w:rPr>
                <w:sz w:val="15"/>
              </w:rPr>
              <w:t>K. Matsuda</w:t>
            </w:r>
          </w:p>
        </w:tc>
        <w:tc>
          <w:tcPr>
            <w:tcW w:type="dxa" w:w="1247"/>
          </w:tcPr>
          <w:p>
            <w:r>
              <w:rPr>
                <w:sz w:val="15"/>
              </w:rPr>
              <w:t>7 October 2016</w:t>
            </w:r>
          </w:p>
        </w:tc>
        <w:tc>
          <w:tcPr>
            <w:tcW w:type="dxa" w:w="1020"/>
          </w:tcPr>
          <w:p>
            <w:r>
              <w:rPr>
                <w:sz w:val="15"/>
              </w:rPr>
              <w:t>On track</w:t>
            </w:r>
          </w:p>
        </w:tc>
        <w:tc>
          <w:tcPr>
            <w:tcW w:type="dxa" w:w="680"/>
          </w:tcPr>
          <w:p>
            <w:r>
              <w:rPr>
                <w:sz w:val="15"/>
              </w:rPr>
              <w:t>No</w:t>
            </w:r>
          </w:p>
        </w:tc>
      </w:tr>
      <w:tr>
        <w:tc>
          <w:tcPr>
            <w:tcW w:type="dxa" w:w="567"/>
          </w:tcPr>
          <w:p>
            <w:r>
              <w:rPr>
                <w:sz w:val="15"/>
              </w:rPr>
              <w:t>M-09</w:t>
            </w:r>
          </w:p>
        </w:tc>
        <w:tc>
          <w:tcPr>
            <w:tcW w:type="dxa" w:w="2608"/>
          </w:tcPr>
          <w:p>
            <w:r>
              <w:rPr>
                <w:sz w:val="15"/>
              </w:rPr>
              <w:t>Harmonised sales compensation plan communicated</w:t>
            </w:r>
          </w:p>
        </w:tc>
        <w:tc>
          <w:tcPr>
            <w:tcW w:type="dxa" w:w="567"/>
          </w:tcPr>
          <w:p>
            <w:r>
              <w:rPr>
                <w:sz w:val="15"/>
              </w:rPr>
              <w:t>WS4</w:t>
            </w:r>
          </w:p>
        </w:tc>
        <w:tc>
          <w:tcPr>
            <w:tcW w:type="dxa" w:w="1361"/>
          </w:tcPr>
          <w:p>
            <w:r>
              <w:rPr>
                <w:sz w:val="15"/>
              </w:rPr>
              <w:t>J. Adeyemi</w:t>
            </w:r>
          </w:p>
        </w:tc>
        <w:tc>
          <w:tcPr>
            <w:tcW w:type="dxa" w:w="1247"/>
          </w:tcPr>
          <w:p>
            <w:r>
              <w:rPr>
                <w:sz w:val="15"/>
              </w:rPr>
              <w:t>11 October 2016</w:t>
            </w:r>
          </w:p>
        </w:tc>
        <w:tc>
          <w:tcPr>
            <w:tcW w:type="dxa" w:w="1020"/>
          </w:tcPr>
          <w:p>
            <w:r>
              <w:rPr>
                <w:b/>
                <w:color w:val="ED8B00"/>
                <w:sz w:val="15"/>
              </w:rPr>
              <w:t>At risk</w:t>
            </w:r>
          </w:p>
        </w:tc>
        <w:tc>
          <w:tcPr>
            <w:tcW w:type="dxa" w:w="680"/>
          </w:tcPr>
          <w:p>
            <w:r>
              <w:rPr>
                <w:sz w:val="15"/>
              </w:rPr>
              <w:t>Yes</w:t>
            </w:r>
          </w:p>
        </w:tc>
      </w:tr>
      <w:tr>
        <w:tc>
          <w:tcPr>
            <w:tcW w:type="dxa" w:w="567"/>
          </w:tcPr>
          <w:p>
            <w:r>
              <w:rPr>
                <w:sz w:val="15"/>
              </w:rPr>
              <w:t>M-05</w:t>
            </w:r>
          </w:p>
        </w:tc>
        <w:tc>
          <w:tcPr>
            <w:tcW w:type="dxa" w:w="2608"/>
          </w:tcPr>
          <w:p>
            <w:r>
              <w:rPr>
                <w:sz w:val="15"/>
              </w:rPr>
              <w:t>Legal entity rationalisation plan approved</w:t>
            </w:r>
          </w:p>
        </w:tc>
        <w:tc>
          <w:tcPr>
            <w:tcW w:type="dxa" w:w="567"/>
          </w:tcPr>
          <w:p>
            <w:r>
              <w:rPr>
                <w:sz w:val="15"/>
              </w:rPr>
              <w:t>WS2</w:t>
            </w:r>
          </w:p>
        </w:tc>
        <w:tc>
          <w:tcPr>
            <w:tcW w:type="dxa" w:w="1361"/>
          </w:tcPr>
          <w:p>
            <w:r>
              <w:rPr>
                <w:sz w:val="15"/>
              </w:rPr>
              <w:t>N. Devereux</w:t>
            </w:r>
          </w:p>
        </w:tc>
        <w:tc>
          <w:tcPr>
            <w:tcW w:type="dxa" w:w="1247"/>
          </w:tcPr>
          <w:p>
            <w:r>
              <w:rPr>
                <w:sz w:val="15"/>
              </w:rPr>
              <w:t>14 October 2016</w:t>
            </w:r>
          </w:p>
        </w:tc>
        <w:tc>
          <w:tcPr>
            <w:tcW w:type="dxa" w:w="1020"/>
          </w:tcPr>
          <w:p>
            <w:r>
              <w:rPr>
                <w:b/>
                <w:color w:val="DA291C"/>
                <w:sz w:val="15"/>
              </w:rPr>
              <w:t>Delayed</w:t>
            </w:r>
          </w:p>
        </w:tc>
        <w:tc>
          <w:tcPr>
            <w:tcW w:type="dxa" w:w="680"/>
          </w:tcPr>
          <w:p>
            <w:r>
              <w:rPr>
                <w:sz w:val="15"/>
              </w:rPr>
              <w:t>Yes</w:t>
            </w:r>
          </w:p>
        </w:tc>
      </w:tr>
      <w:tr>
        <w:tc>
          <w:tcPr>
            <w:tcW w:type="dxa" w:w="567"/>
          </w:tcPr>
          <w:p>
            <w:r>
              <w:rPr>
                <w:sz w:val="15"/>
              </w:rPr>
              <w:t>M-11</w:t>
            </w:r>
          </w:p>
        </w:tc>
        <w:tc>
          <w:tcPr>
            <w:tcW w:type="dxa" w:w="2608"/>
          </w:tcPr>
          <w:p>
            <w:r>
              <w:rPr>
                <w:sz w:val="15"/>
              </w:rPr>
              <w:t>Combined portfolio presented at Dell EMC World</w:t>
            </w:r>
          </w:p>
        </w:tc>
        <w:tc>
          <w:tcPr>
            <w:tcW w:type="dxa" w:w="567"/>
          </w:tcPr>
          <w:p>
            <w:r>
              <w:rPr>
                <w:sz w:val="15"/>
              </w:rPr>
              <w:t>WS6</w:t>
            </w:r>
          </w:p>
        </w:tc>
        <w:tc>
          <w:tcPr>
            <w:tcW w:type="dxa" w:w="1361"/>
          </w:tcPr>
          <w:p>
            <w:r>
              <w:rPr>
                <w:sz w:val="15"/>
              </w:rPr>
              <w:t>L. Kowalczyk</w:t>
            </w:r>
          </w:p>
        </w:tc>
        <w:tc>
          <w:tcPr>
            <w:tcW w:type="dxa" w:w="1247"/>
          </w:tcPr>
          <w:p>
            <w:r>
              <w:rPr>
                <w:sz w:val="15"/>
              </w:rPr>
              <w:t>18 October 2016</w:t>
            </w:r>
          </w:p>
        </w:tc>
        <w:tc>
          <w:tcPr>
            <w:tcW w:type="dxa" w:w="1020"/>
          </w:tcPr>
          <w:p>
            <w:r>
              <w:rPr>
                <w:sz w:val="15"/>
              </w:rPr>
              <w:t>On track</w:t>
            </w:r>
          </w:p>
        </w:tc>
        <w:tc>
          <w:tcPr>
            <w:tcW w:type="dxa" w:w="680"/>
          </w:tcPr>
          <w:p>
            <w:r>
              <w:rPr>
                <w:sz w:val="15"/>
              </w:rPr>
              <w:t>Yes</w:t>
            </w:r>
          </w:p>
        </w:tc>
      </w:tr>
    </w:tbl>
    <w:p/>
    <w:p>
      <w:r>
        <w:rPr>
          <w:sz w:val="19"/>
        </w:rPr>
        <w:t>The flagship customer event on 18 October 2016 is an external fixed date. Everything in the table above that carries a gate flag has to be true before it.</w:t>
      </w:r>
    </w:p>
    <w:p>
      <w:pPr>
        <w:pStyle w:val="Heading1"/>
      </w:pPr>
      <w:r>
        <w:t>9. Annexes</w:t>
      </w:r>
    </w:p>
    <w:p>
      <w:pPr>
        <w:pStyle w:val="ListBullet"/>
      </w:pPr>
      <w:r>
        <w:t>Annex A: integration tracker as at 29 September 2016, xlsx</w:t>
      </w:r>
    </w:p>
    <w:p>
      <w:pPr>
        <w:pStyle w:val="ListBullet"/>
      </w:pPr>
      <w:r>
        <w:t>Annex B: RAID log as at 29 September 2016, xlsx</w:t>
      </w:r>
    </w:p>
    <w:p>
      <w:pPr>
        <w:pStyle w:val="ListBullet"/>
      </w:pPr>
      <w:r>
        <w:t>Annex C: synergy tracker as at 28 September 2016, xlsx</w:t>
      </w:r>
    </w:p>
    <w:p>
      <w:pPr>
        <w:pStyle w:val="ListBullet"/>
      </w:pPr>
      <w:r>
        <w:t>Annex D: Steering Committee pack session 02, 29 September 2016, pptx</w:t>
      </w:r>
    </w:p>
    <w:p/>
    <w:p>
      <w:r>
        <w:rPr>
          <w:i/>
          <w:color w:val="75787B"/>
          <w:sz w:val="16"/>
        </w:rPr>
        <w:t>Synthetic document. The case anchoring (entities, transaction value, close date, governance structure, workstream cut) follows publicly available sources. All operational names, figures, risks, decisions and synergy values are invented, internally consistent, and are not a representation of what any party actually did.</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46A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46A3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2222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