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46A38"/>
          <w:sz w:val="30"/>
        </w:rPr>
        <w:t>Dell Technologies Integration - Ergebnisprotokoll Expertenrunde</w:t>
      </w:r>
    </w:p>
    <w:p>
      <w:r>
        <w:rPr>
          <w:color w:val="75787B"/>
          <w:sz w:val="19"/>
        </w:rPr>
        <w:t>Thema: ERP-Konsolidierung, Zielsystem und Migrationspfad  |  Ad-hoc-Fachrunde</w:t>
      </w:r>
    </w:p>
    <w:p/>
    <w:tbl>
      <w:tblPr>
        <w:tblStyle w:val="TableGrid"/>
        <w:tblW w:type="auto" w:w="0"/>
        <w:tblLook w:firstColumn="1" w:firstRow="1" w:lastColumn="0" w:lastRow="0" w:noHBand="0" w:noVBand="1" w:val="04A0"/>
      </w:tblPr>
      <w:tblGrid>
        <w:gridCol w:w="4986"/>
        <w:gridCol w:w="4986"/>
      </w:tblGrid>
      <w:tr>
        <w:tc>
          <w:tcPr>
            <w:tcW w:type="dxa" w:w="2835"/>
            <w:shd w:val="clear" w:color="auto" w:fill="F1F6E4"/>
          </w:tcPr>
          <w:p>
            <w:r>
              <w:rPr>
                <w:b/>
                <w:sz w:val="17"/>
              </w:rPr>
              <w:t>Dokument</w:t>
            </w:r>
          </w:p>
        </w:tc>
        <w:tc>
          <w:tcPr>
            <w:tcW w:type="dxa" w:w="6803"/>
          </w:tcPr>
          <w:p>
            <w:r>
              <w:rPr>
                <w:sz w:val="17"/>
              </w:rPr>
              <w:t>Ergebnisprotokoll der Expertenrunde</w:t>
            </w:r>
          </w:p>
        </w:tc>
      </w:tr>
      <w:tr>
        <w:tc>
          <w:tcPr>
            <w:tcW w:type="dxa" w:w="2835"/>
            <w:shd w:val="clear" w:color="auto" w:fill="F1F6E4"/>
          </w:tcPr>
          <w:p>
            <w:r>
              <w:rPr>
                <w:b/>
                <w:sz w:val="17"/>
              </w:rPr>
              <w:t>Programm</w:t>
            </w:r>
          </w:p>
        </w:tc>
        <w:tc>
          <w:tcPr>
            <w:tcW w:type="dxa" w:w="6803"/>
          </w:tcPr>
          <w:p>
            <w:r>
              <w:rPr>
                <w:sz w:val="17"/>
              </w:rPr>
              <w:t>Dell Technologies Integration</w:t>
            </w:r>
          </w:p>
        </w:tc>
      </w:tr>
      <w:tr>
        <w:tc>
          <w:tcPr>
            <w:tcW w:type="dxa" w:w="2835"/>
            <w:shd w:val="clear" w:color="auto" w:fill="F1F6E4"/>
          </w:tcPr>
          <w:p>
            <w:r>
              <w:rPr>
                <w:b/>
                <w:sz w:val="17"/>
              </w:rPr>
              <w:t>Thema</w:t>
            </w:r>
          </w:p>
        </w:tc>
        <w:tc>
          <w:tcPr>
            <w:tcW w:type="dxa" w:w="6803"/>
          </w:tcPr>
          <w:p>
            <w:r>
              <w:rPr>
                <w:sz w:val="17"/>
              </w:rPr>
              <w:t>ERP-Konsolidierung: Zielsystem, Migrationspfad, Auswirkung auf M-07</w:t>
            </w:r>
          </w:p>
        </w:tc>
      </w:tr>
      <w:tr>
        <w:tc>
          <w:tcPr>
            <w:tcW w:type="dxa" w:w="2835"/>
            <w:shd w:val="clear" w:color="auto" w:fill="F1F6E4"/>
          </w:tcPr>
          <w:p>
            <w:r>
              <w:rPr>
                <w:b/>
                <w:sz w:val="17"/>
              </w:rPr>
              <w:t>Anlass</w:t>
            </w:r>
          </w:p>
        </w:tc>
        <w:tc>
          <w:tcPr>
            <w:tcW w:type="dxa" w:w="6803"/>
          </w:tcPr>
          <w:p>
            <w:r>
              <w:rPr>
                <w:sz w:val="17"/>
              </w:rPr>
              <w:t>Eskalation aus dem VCIO Weekly vom 20.09.2016, Meilenstein M-07 nicht zum Basistermin erreichbar</w:t>
            </w:r>
          </w:p>
        </w:tc>
      </w:tr>
      <w:tr>
        <w:tc>
          <w:tcPr>
            <w:tcW w:type="dxa" w:w="2835"/>
            <w:shd w:val="clear" w:color="auto" w:fill="F1F6E4"/>
          </w:tcPr>
          <w:p>
            <w:r>
              <w:rPr>
                <w:b/>
                <w:sz w:val="17"/>
              </w:rPr>
              <w:t>Datum und Uhrzeit</w:t>
            </w:r>
          </w:p>
        </w:tc>
        <w:tc>
          <w:tcPr>
            <w:tcW w:type="dxa" w:w="6803"/>
          </w:tcPr>
          <w:p>
            <w:r>
              <w:rPr>
                <w:sz w:val="17"/>
              </w:rPr>
              <w:t>21.09.2016, 13:00 bis 16:30 Uhr MESZ</w:t>
            </w:r>
          </w:p>
        </w:tc>
      </w:tr>
      <w:tr>
        <w:tc>
          <w:tcPr>
            <w:tcW w:type="dxa" w:w="2835"/>
            <w:shd w:val="clear" w:color="auto" w:fill="F1F6E4"/>
          </w:tcPr>
          <w:p>
            <w:r>
              <w:rPr>
                <w:b/>
                <w:sz w:val="17"/>
              </w:rPr>
              <w:t>Moderation</w:t>
            </w:r>
          </w:p>
        </w:tc>
        <w:tc>
          <w:tcPr>
            <w:tcW w:type="dxa" w:w="6803"/>
          </w:tcPr>
          <w:p>
            <w:r>
              <w:rPr>
                <w:sz w:val="17"/>
              </w:rPr>
              <w:t>T. Bergström, Workstream Lead, IT</w:t>
            </w:r>
          </w:p>
        </w:tc>
      </w:tr>
      <w:tr>
        <w:tc>
          <w:tcPr>
            <w:tcW w:type="dxa" w:w="2835"/>
            <w:shd w:val="clear" w:color="auto" w:fill="F1F6E4"/>
          </w:tcPr>
          <w:p>
            <w:r>
              <w:rPr>
                <w:b/>
                <w:sz w:val="17"/>
              </w:rPr>
              <w:t>Protokollfuehrung</w:t>
            </w:r>
          </w:p>
        </w:tc>
        <w:tc>
          <w:tcPr>
            <w:tcW w:type="dxa" w:w="6803"/>
          </w:tcPr>
          <w:p>
            <w:r>
              <w:rPr>
                <w:sz w:val="17"/>
              </w:rPr>
              <w:t>G. Aydin, IT Integration Manager, DACH</w:t>
            </w:r>
          </w:p>
        </w:tc>
      </w:tr>
      <w:tr>
        <w:tc>
          <w:tcPr>
            <w:tcW w:type="dxa" w:w="2835"/>
            <w:shd w:val="clear" w:color="auto" w:fill="F1F6E4"/>
          </w:tcPr>
          <w:p>
            <w:r>
              <w:rPr>
                <w:b/>
                <w:sz w:val="17"/>
              </w:rPr>
              <w:t>Verteiler</w:t>
            </w:r>
          </w:p>
        </w:tc>
        <w:tc>
          <w:tcPr>
            <w:tcW w:type="dxa" w:w="6803"/>
          </w:tcPr>
          <w:p>
            <w:r>
              <w:rPr>
                <w:sz w:val="17"/>
              </w:rPr>
              <w:t>VCIO, WS3 IT, WS1 Finanzen, WS5 Lieferkette, Regionalleitung DACH</w:t>
            </w:r>
          </w:p>
        </w:tc>
      </w:tr>
      <w:tr>
        <w:tc>
          <w:tcPr>
            <w:tcW w:type="dxa" w:w="2835"/>
            <w:shd w:val="clear" w:color="auto" w:fill="F1F6E4"/>
          </w:tcPr>
          <w:p>
            <w:r>
              <w:rPr>
                <w:b/>
                <w:sz w:val="17"/>
              </w:rPr>
              <w:t>Klassifizierung</w:t>
            </w:r>
          </w:p>
        </w:tc>
        <w:tc>
          <w:tcPr>
            <w:tcW w:type="dxa" w:w="6803"/>
          </w:tcPr>
          <w:p>
            <w:r>
              <w:rPr>
                <w:sz w:val="17"/>
              </w:rPr>
              <w:t>Streng vertraulich</w:t>
            </w:r>
          </w:p>
        </w:tc>
      </w:tr>
      <w:tr>
        <w:tc>
          <w:tcPr>
            <w:tcW w:type="dxa" w:w="2835"/>
            <w:shd w:val="clear" w:color="auto" w:fill="F1F6E4"/>
          </w:tcPr>
          <w:p>
            <w:r>
              <w:rPr>
                <w:b/>
                <w:sz w:val="17"/>
              </w:rPr>
              <w:t>Version und Status</w:t>
            </w:r>
          </w:p>
        </w:tc>
        <w:tc>
          <w:tcPr>
            <w:tcW w:type="dxa" w:w="6803"/>
          </w:tcPr>
          <w:p>
            <w:r>
              <w:rPr>
                <w:sz w:val="17"/>
              </w:rPr>
              <w:t>v1.0, freigegeben</w:t>
            </w:r>
          </w:p>
        </w:tc>
      </w:tr>
    </w:tbl>
    <w:p/>
    <w:p>
      <w:pPr>
        <w:pStyle w:val="Heading1"/>
      </w:pPr>
      <w:r>
        <w:t>1. Zielsetzung der Runde</w:t>
      </w:r>
    </w:p>
    <w:p>
      <w:r>
        <w:rPr>
          <w:sz w:val="19"/>
        </w:rPr>
        <w:t>Die Runde soll eine Empfehlung fuer das ERP-Zielsystem und den Migrationspfad herbeifuehren und die Auswirkung auf den Meilenstein M-07 sowie auf die abhaengigen Arbeitspakete in der Lieferkette bewerten. Ohne diese Entscheidung kann weder die Stammdatenbereinigung abgeschlossen noch der Konsolidierungskreis technisch abgebildet werden.</w:t>
      </w:r>
    </w:p>
    <w:p>
      <w:r>
        <w:rPr>
          <w:sz w:val="19"/>
        </w:rPr>
        <w:t>Die parallel laufende Modernisierung des Altsystems beim Zielunternehmen ist in den oeffentlichen Risikofaktoren der Transaktion ausdruecklich als Risiko benannt. Genau dieses Risiko ist nun eingetreten.</w:t>
      </w:r>
    </w:p>
    <w:p>
      <w:pPr>
        <w:pStyle w:val="Heading1"/>
      </w:pPr>
      <w:r>
        <w:t>2. Teilnehmer und eingebrachte Expertise</w:t>
      </w:r>
    </w:p>
    <w:tbl>
      <w:tblPr>
        <w:tblStyle w:val="TableGrid"/>
        <w:tblW w:type="auto" w:w="0"/>
        <w:tblLook w:firstColumn="1" w:firstRow="1" w:lastColumn="0" w:lastRow="0" w:noHBand="0" w:noVBand="1" w:val="04A0"/>
      </w:tblPr>
      <w:tblGrid>
        <w:gridCol w:w="2493"/>
        <w:gridCol w:w="2493"/>
        <w:gridCol w:w="2493"/>
        <w:gridCol w:w="2493"/>
      </w:tblGrid>
      <w:tr>
        <w:tc>
          <w:tcPr>
            <w:tcW w:type="dxa" w:w="1814"/>
            <w:shd w:val="clear" w:color="auto" w:fill="046A38"/>
          </w:tcPr>
          <w:p>
            <w:r>
              <w:rPr>
                <w:b/>
                <w:color w:val="FFFFFF"/>
                <w:sz w:val="15"/>
              </w:rPr>
              <w:t>Name</w:t>
            </w:r>
          </w:p>
        </w:tc>
        <w:tc>
          <w:tcPr>
            <w:tcW w:type="dxa" w:w="2608"/>
            <w:shd w:val="clear" w:color="auto" w:fill="046A38"/>
          </w:tcPr>
          <w:p>
            <w:r>
              <w:rPr>
                <w:b/>
                <w:color w:val="FFFFFF"/>
                <w:sz w:val="15"/>
              </w:rPr>
              <w:t>Rolle</w:t>
            </w:r>
          </w:p>
        </w:tc>
        <w:tc>
          <w:tcPr>
            <w:tcW w:type="dxa" w:w="1928"/>
            <w:shd w:val="clear" w:color="auto" w:fill="046A38"/>
          </w:tcPr>
          <w:p>
            <w:r>
              <w:rPr>
                <w:b/>
                <w:color w:val="FFFFFF"/>
                <w:sz w:val="15"/>
              </w:rPr>
              <w:t>Gesellschaft</w:t>
            </w:r>
          </w:p>
        </w:tc>
        <w:tc>
          <w:tcPr>
            <w:tcW w:type="dxa" w:w="3288"/>
            <w:shd w:val="clear" w:color="auto" w:fill="046A38"/>
          </w:tcPr>
          <w:p>
            <w:r>
              <w:rPr>
                <w:b/>
                <w:color w:val="FFFFFF"/>
                <w:sz w:val="15"/>
              </w:rPr>
              <w:t>Eingebrachte Expertise</w:t>
            </w:r>
          </w:p>
        </w:tc>
      </w:tr>
      <w:tr>
        <w:tc>
          <w:tcPr>
            <w:tcW w:type="dxa" w:w="1814"/>
          </w:tcPr>
          <w:p>
            <w:r>
              <w:rPr>
                <w:sz w:val="15"/>
              </w:rPr>
              <w:t>T. Bergström</w:t>
            </w:r>
          </w:p>
        </w:tc>
        <w:tc>
          <w:tcPr>
            <w:tcW w:type="dxa" w:w="2608"/>
          </w:tcPr>
          <w:p>
            <w:r>
              <w:rPr>
                <w:sz w:val="15"/>
              </w:rPr>
              <w:t>Workstream Lead, IT</w:t>
            </w:r>
          </w:p>
        </w:tc>
        <w:tc>
          <w:tcPr>
            <w:tcW w:type="dxa" w:w="1928"/>
          </w:tcPr>
          <w:p>
            <w:r>
              <w:rPr>
                <w:sz w:val="15"/>
              </w:rPr>
              <w:t>Dell Technologies</w:t>
            </w:r>
          </w:p>
        </w:tc>
        <w:tc>
          <w:tcPr>
            <w:tcW w:type="dxa" w:w="3288"/>
          </w:tcPr>
          <w:p>
            <w:r>
              <w:rPr>
                <w:sz w:val="15"/>
              </w:rPr>
              <w:t>Anwendungsarchitektur, Programmleitung IT</w:t>
            </w:r>
          </w:p>
        </w:tc>
      </w:tr>
      <w:tr>
        <w:tc>
          <w:tcPr>
            <w:tcW w:type="dxa" w:w="1814"/>
          </w:tcPr>
          <w:p>
            <w:r>
              <w:rPr>
                <w:sz w:val="15"/>
              </w:rPr>
              <w:t>G. Aydin</w:t>
            </w:r>
          </w:p>
        </w:tc>
        <w:tc>
          <w:tcPr>
            <w:tcW w:type="dxa" w:w="2608"/>
          </w:tcPr>
          <w:p>
            <w:r>
              <w:rPr>
                <w:sz w:val="15"/>
              </w:rPr>
              <w:t>IT Integration Manager, DACH</w:t>
            </w:r>
          </w:p>
        </w:tc>
        <w:tc>
          <w:tcPr>
            <w:tcW w:type="dxa" w:w="1928"/>
          </w:tcPr>
          <w:p>
            <w:r>
              <w:rPr>
                <w:sz w:val="15"/>
              </w:rPr>
              <w:t>Dell EMC DACH</w:t>
            </w:r>
          </w:p>
        </w:tc>
        <w:tc>
          <w:tcPr>
            <w:tcW w:type="dxa" w:w="3288"/>
          </w:tcPr>
          <w:p>
            <w:r>
              <w:rPr>
                <w:sz w:val="15"/>
              </w:rPr>
              <w:t>Datenmigration, Stammdaten</w:t>
            </w:r>
          </w:p>
        </w:tc>
      </w:tr>
      <w:tr>
        <w:tc>
          <w:tcPr>
            <w:tcW w:type="dxa" w:w="1814"/>
          </w:tcPr>
          <w:p>
            <w:r>
              <w:rPr>
                <w:sz w:val="15"/>
              </w:rPr>
              <w:t>U. Hoffmeister</w:t>
            </w:r>
          </w:p>
        </w:tc>
        <w:tc>
          <w:tcPr>
            <w:tcW w:type="dxa" w:w="2608"/>
          </w:tcPr>
          <w:p>
            <w:r>
              <w:rPr>
                <w:sz w:val="15"/>
              </w:rPr>
              <w:t>Finance Integration Manager, DACH</w:t>
            </w:r>
          </w:p>
        </w:tc>
        <w:tc>
          <w:tcPr>
            <w:tcW w:type="dxa" w:w="1928"/>
          </w:tcPr>
          <w:p>
            <w:r>
              <w:rPr>
                <w:sz w:val="15"/>
              </w:rPr>
              <w:t>Dell EMC DACH</w:t>
            </w:r>
          </w:p>
        </w:tc>
        <w:tc>
          <w:tcPr>
            <w:tcW w:type="dxa" w:w="3288"/>
          </w:tcPr>
          <w:p>
            <w:r>
              <w:rPr>
                <w:sz w:val="15"/>
              </w:rPr>
              <w:t>Rechnungswesen, Kontenlogik</w:t>
            </w:r>
          </w:p>
        </w:tc>
      </w:tr>
      <w:tr>
        <w:tc>
          <w:tcPr>
            <w:tcW w:type="dxa" w:w="1814"/>
          </w:tcPr>
          <w:p>
            <w:r>
              <w:rPr>
                <w:sz w:val="15"/>
              </w:rPr>
              <w:t>K. Matsuda</w:t>
            </w:r>
          </w:p>
        </w:tc>
        <w:tc>
          <w:tcPr>
            <w:tcW w:type="dxa" w:w="2608"/>
          </w:tcPr>
          <w:p>
            <w:r>
              <w:rPr>
                <w:sz w:val="15"/>
              </w:rPr>
              <w:t>Workstream Lead, Supply Chain</w:t>
            </w:r>
          </w:p>
        </w:tc>
        <w:tc>
          <w:tcPr>
            <w:tcW w:type="dxa" w:w="1928"/>
          </w:tcPr>
          <w:p>
            <w:r>
              <w:rPr>
                <w:sz w:val="15"/>
              </w:rPr>
              <w:t>Dell Technologies</w:t>
            </w:r>
          </w:p>
        </w:tc>
        <w:tc>
          <w:tcPr>
            <w:tcW w:type="dxa" w:w="3288"/>
          </w:tcPr>
          <w:p>
            <w:r>
              <w:rPr>
                <w:sz w:val="15"/>
              </w:rPr>
              <w:t>Lieferkette, Auftragsabwicklung</w:t>
            </w:r>
          </w:p>
        </w:tc>
      </w:tr>
      <w:tr>
        <w:tc>
          <w:tcPr>
            <w:tcW w:type="dxa" w:w="1814"/>
          </w:tcPr>
          <w:p>
            <w:r>
              <w:rPr>
                <w:sz w:val="15"/>
              </w:rPr>
              <w:t>R. Whitfield</w:t>
            </w:r>
          </w:p>
        </w:tc>
        <w:tc>
          <w:tcPr>
            <w:tcW w:type="dxa" w:w="2608"/>
          </w:tcPr>
          <w:p>
            <w:r>
              <w:rPr>
                <w:sz w:val="15"/>
              </w:rPr>
              <w:t>Workstream Lead, Finance</w:t>
            </w:r>
          </w:p>
        </w:tc>
        <w:tc>
          <w:tcPr>
            <w:tcW w:type="dxa" w:w="1928"/>
          </w:tcPr>
          <w:p>
            <w:r>
              <w:rPr>
                <w:sz w:val="15"/>
              </w:rPr>
              <w:t>Dell Technologies</w:t>
            </w:r>
          </w:p>
        </w:tc>
        <w:tc>
          <w:tcPr>
            <w:tcW w:type="dxa" w:w="3288"/>
          </w:tcPr>
          <w:p>
            <w:r>
              <w:rPr>
                <w:sz w:val="15"/>
              </w:rPr>
              <w:t>Konzernrechnungswesen</w:t>
            </w:r>
          </w:p>
        </w:tc>
      </w:tr>
      <w:tr>
        <w:tc>
          <w:tcPr>
            <w:tcW w:type="dxa" w:w="1814"/>
          </w:tcPr>
          <w:p>
            <w:r>
              <w:rPr>
                <w:sz w:val="15"/>
              </w:rPr>
              <w:t>C. Ferreira</w:t>
            </w:r>
          </w:p>
        </w:tc>
        <w:tc>
          <w:tcPr>
            <w:tcW w:type="dxa" w:w="2608"/>
          </w:tcPr>
          <w:p>
            <w:r>
              <w:rPr>
                <w:sz w:val="15"/>
              </w:rPr>
              <w:t>Engagement Manager, Deloitte Consulting LLP</w:t>
            </w:r>
          </w:p>
        </w:tc>
        <w:tc>
          <w:tcPr>
            <w:tcW w:type="dxa" w:w="1928"/>
          </w:tcPr>
          <w:p>
            <w:r>
              <w:rPr>
                <w:sz w:val="15"/>
              </w:rPr>
              <w:t>Deloitte Consulting LLP</w:t>
            </w:r>
          </w:p>
        </w:tc>
        <w:tc>
          <w:tcPr>
            <w:tcW w:type="dxa" w:w="3288"/>
          </w:tcPr>
          <w:p>
            <w:r>
              <w:rPr>
                <w:sz w:val="15"/>
              </w:rPr>
              <w:t>Vorgehen bei ERP-Konsolidierungen in Transaktionen</w:t>
            </w:r>
          </w:p>
        </w:tc>
      </w:tr>
      <w:tr>
        <w:tc>
          <w:tcPr>
            <w:tcW w:type="dxa" w:w="1814"/>
          </w:tcPr>
          <w:p>
            <w:r>
              <w:rPr>
                <w:sz w:val="15"/>
              </w:rPr>
              <w:t>D. Okonjo</w:t>
            </w:r>
          </w:p>
        </w:tc>
        <w:tc>
          <w:tcPr>
            <w:tcW w:type="dxa" w:w="2608"/>
          </w:tcPr>
          <w:p>
            <w:r>
              <w:rPr>
                <w:sz w:val="15"/>
              </w:rPr>
              <w:t>VCIO Integration Manager</w:t>
            </w:r>
          </w:p>
        </w:tc>
        <w:tc>
          <w:tcPr>
            <w:tcW w:type="dxa" w:w="1928"/>
          </w:tcPr>
          <w:p>
            <w:r>
              <w:rPr>
                <w:sz w:val="15"/>
              </w:rPr>
              <w:t>Dell Technologies</w:t>
            </w:r>
          </w:p>
        </w:tc>
        <w:tc>
          <w:tcPr>
            <w:tcW w:type="dxa" w:w="3288"/>
          </w:tcPr>
          <w:p>
            <w:r>
              <w:rPr>
                <w:sz w:val="15"/>
              </w:rPr>
              <w:t>Abhaengigkeiten, Terminplan</w:t>
            </w:r>
          </w:p>
        </w:tc>
      </w:tr>
    </w:tbl>
    <w:p/>
    <w:p>
      <w:pPr>
        <w:pStyle w:val="Heading1"/>
      </w:pPr>
      <w:r>
        <w:t>3. Ausgangslage</w:t>
      </w:r>
    </w:p>
    <w:p>
      <w:pPr>
        <w:pStyle w:val="Heading2"/>
      </w:pPr>
      <w:r>
        <w:t>3.1 Bestehende Systemlandschaft, Ausschnitt DACH</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2154"/>
            <w:shd w:val="clear" w:color="auto" w:fill="046A38"/>
          </w:tcPr>
          <w:p>
            <w:r>
              <w:rPr>
                <w:b/>
                <w:color w:val="FFFFFF"/>
                <w:sz w:val="15"/>
              </w:rPr>
              <w:t>System</w:t>
            </w:r>
          </w:p>
        </w:tc>
        <w:tc>
          <w:tcPr>
            <w:tcW w:type="dxa" w:w="1701"/>
            <w:shd w:val="clear" w:color="auto" w:fill="046A38"/>
          </w:tcPr>
          <w:p>
            <w:r>
              <w:rPr>
                <w:b/>
                <w:color w:val="FFFFFF"/>
                <w:sz w:val="15"/>
              </w:rPr>
              <w:t>Herkunft</w:t>
            </w:r>
          </w:p>
        </w:tc>
        <w:tc>
          <w:tcPr>
            <w:tcW w:type="dxa" w:w="1701"/>
            <w:shd w:val="clear" w:color="auto" w:fill="046A38"/>
          </w:tcPr>
          <w:p>
            <w:r>
              <w:rPr>
                <w:b/>
                <w:color w:val="FFFFFF"/>
                <w:sz w:val="15"/>
              </w:rPr>
              <w:t>Modul</w:t>
            </w:r>
          </w:p>
        </w:tc>
        <w:tc>
          <w:tcPr>
            <w:tcW w:type="dxa" w:w="1020"/>
            <w:shd w:val="clear" w:color="auto" w:fill="046A38"/>
          </w:tcPr>
          <w:p>
            <w:r>
              <w:rPr>
                <w:b/>
                <w:color w:val="FFFFFF"/>
                <w:sz w:val="15"/>
              </w:rPr>
              <w:t>Anwender</w:t>
            </w:r>
          </w:p>
        </w:tc>
        <w:tc>
          <w:tcPr>
            <w:tcW w:type="dxa" w:w="1474"/>
            <w:shd w:val="clear" w:color="auto" w:fill="046A38"/>
          </w:tcPr>
          <w:p>
            <w:r>
              <w:rPr>
                <w:b/>
                <w:color w:val="FFFFFF"/>
                <w:sz w:val="15"/>
              </w:rPr>
              <w:t>Wartung bis</w:t>
            </w:r>
          </w:p>
        </w:tc>
        <w:tc>
          <w:tcPr>
            <w:tcW w:type="dxa" w:w="1361"/>
            <w:shd w:val="clear" w:color="auto" w:fill="046A38"/>
          </w:tcPr>
          <w:p>
            <w:r>
              <w:rPr>
                <w:b/>
                <w:color w:val="FFFFFF"/>
                <w:sz w:val="15"/>
              </w:rPr>
              <w:t>Kritikalitaet</w:t>
            </w:r>
          </w:p>
        </w:tc>
      </w:tr>
      <w:tr>
        <w:tc>
          <w:tcPr>
            <w:tcW w:type="dxa" w:w="2154"/>
          </w:tcPr>
          <w:p>
            <w:r>
              <w:rPr>
                <w:sz w:val="15"/>
              </w:rPr>
              <w:t>ERP A, Produktivsystem</w:t>
            </w:r>
          </w:p>
        </w:tc>
        <w:tc>
          <w:tcPr>
            <w:tcW w:type="dxa" w:w="1701"/>
          </w:tcPr>
          <w:p>
            <w:r>
              <w:rPr>
                <w:sz w:val="15"/>
              </w:rPr>
              <w:t>Erwerber</w:t>
            </w:r>
          </w:p>
        </w:tc>
        <w:tc>
          <w:tcPr>
            <w:tcW w:type="dxa" w:w="1701"/>
          </w:tcPr>
          <w:p>
            <w:r>
              <w:rPr>
                <w:sz w:val="15"/>
              </w:rPr>
              <w:t>FI, CO, MM, SD</w:t>
            </w:r>
          </w:p>
        </w:tc>
        <w:tc>
          <w:tcPr>
            <w:tcW w:type="dxa" w:w="1020"/>
          </w:tcPr>
          <w:p>
            <w:r>
              <w:rPr>
                <w:sz w:val="15"/>
              </w:rPr>
              <w:t>3.400</w:t>
            </w:r>
          </w:p>
        </w:tc>
        <w:tc>
          <w:tcPr>
            <w:tcW w:type="dxa" w:w="1474"/>
          </w:tcPr>
          <w:p>
            <w:r>
              <w:rPr>
                <w:sz w:val="15"/>
              </w:rPr>
              <w:t>31.12.2019</w:t>
            </w:r>
          </w:p>
        </w:tc>
        <w:tc>
          <w:tcPr>
            <w:tcW w:type="dxa" w:w="1361"/>
          </w:tcPr>
          <w:p>
            <w:r>
              <w:rPr>
                <w:sz w:val="15"/>
              </w:rPr>
              <w:t>hoch</w:t>
            </w:r>
          </w:p>
        </w:tc>
      </w:tr>
      <w:tr>
        <w:tc>
          <w:tcPr>
            <w:tcW w:type="dxa" w:w="2154"/>
          </w:tcPr>
          <w:p>
            <w:r>
              <w:rPr>
                <w:sz w:val="15"/>
              </w:rPr>
              <w:t>ERP B, Produktivsystem</w:t>
            </w:r>
          </w:p>
        </w:tc>
        <w:tc>
          <w:tcPr>
            <w:tcW w:type="dxa" w:w="1701"/>
          </w:tcPr>
          <w:p>
            <w:r>
              <w:rPr>
                <w:sz w:val="15"/>
              </w:rPr>
              <w:t>Zielunternehmen</w:t>
            </w:r>
          </w:p>
        </w:tc>
        <w:tc>
          <w:tcPr>
            <w:tcW w:type="dxa" w:w="1701"/>
          </w:tcPr>
          <w:p>
            <w:r>
              <w:rPr>
                <w:sz w:val="15"/>
              </w:rPr>
              <w:t>FI, CO, MM</w:t>
            </w:r>
          </w:p>
        </w:tc>
        <w:tc>
          <w:tcPr>
            <w:tcW w:type="dxa" w:w="1020"/>
          </w:tcPr>
          <w:p>
            <w:r>
              <w:rPr>
                <w:sz w:val="15"/>
              </w:rPr>
              <w:t>1.900</w:t>
            </w:r>
          </w:p>
        </w:tc>
        <w:tc>
          <w:tcPr>
            <w:tcW w:type="dxa" w:w="1474"/>
          </w:tcPr>
          <w:p>
            <w:r>
              <w:rPr>
                <w:sz w:val="15"/>
              </w:rPr>
              <w:t>30.06.2018</w:t>
            </w:r>
          </w:p>
        </w:tc>
        <w:tc>
          <w:tcPr>
            <w:tcW w:type="dxa" w:w="1361"/>
          </w:tcPr>
          <w:p>
            <w:r>
              <w:rPr>
                <w:sz w:val="15"/>
              </w:rPr>
              <w:t>hoch</w:t>
            </w:r>
          </w:p>
        </w:tc>
      </w:tr>
      <w:tr>
        <w:tc>
          <w:tcPr>
            <w:tcW w:type="dxa" w:w="2154"/>
          </w:tcPr>
          <w:p>
            <w:r>
              <w:rPr>
                <w:sz w:val="15"/>
              </w:rPr>
              <w:t>ERP B, Modernisierungsprojekt</w:t>
            </w:r>
          </w:p>
        </w:tc>
        <w:tc>
          <w:tcPr>
            <w:tcW w:type="dxa" w:w="1701"/>
          </w:tcPr>
          <w:p>
            <w:r>
              <w:rPr>
                <w:sz w:val="15"/>
              </w:rPr>
              <w:t>Zielunternehmen</w:t>
            </w:r>
          </w:p>
        </w:tc>
        <w:tc>
          <w:tcPr>
            <w:tcW w:type="dxa" w:w="1701"/>
          </w:tcPr>
          <w:p>
            <w:r>
              <w:rPr>
                <w:sz w:val="15"/>
              </w:rPr>
              <w:t>FI, CO</w:t>
            </w:r>
          </w:p>
        </w:tc>
        <w:tc>
          <w:tcPr>
            <w:tcW w:type="dxa" w:w="1020"/>
          </w:tcPr>
          <w:p>
            <w:r>
              <w:rPr>
                <w:sz w:val="15"/>
              </w:rPr>
              <w:t>laufend</w:t>
            </w:r>
          </w:p>
        </w:tc>
        <w:tc>
          <w:tcPr>
            <w:tcW w:type="dxa" w:w="1474"/>
          </w:tcPr>
          <w:p>
            <w:r>
              <w:rPr>
                <w:sz w:val="15"/>
              </w:rPr>
              <w:t>nicht anwendbar</w:t>
            </w:r>
          </w:p>
        </w:tc>
        <w:tc>
          <w:tcPr>
            <w:tcW w:type="dxa" w:w="1361"/>
          </w:tcPr>
          <w:p>
            <w:r>
              <w:rPr>
                <w:sz w:val="15"/>
              </w:rPr>
              <w:t>hoch</w:t>
            </w:r>
          </w:p>
        </w:tc>
      </w:tr>
      <w:tr>
        <w:tc>
          <w:tcPr>
            <w:tcW w:type="dxa" w:w="2154"/>
          </w:tcPr>
          <w:p>
            <w:r>
              <w:rPr>
                <w:sz w:val="15"/>
              </w:rPr>
              <w:t>Stammdatenwerkzeug</w:t>
            </w:r>
          </w:p>
        </w:tc>
        <w:tc>
          <w:tcPr>
            <w:tcW w:type="dxa" w:w="1701"/>
          </w:tcPr>
          <w:p>
            <w:r>
              <w:rPr>
                <w:sz w:val="15"/>
              </w:rPr>
              <w:t>Zielunternehmen</w:t>
            </w:r>
          </w:p>
        </w:tc>
        <w:tc>
          <w:tcPr>
            <w:tcW w:type="dxa" w:w="1701"/>
          </w:tcPr>
          <w:p>
            <w:r>
              <w:rPr>
                <w:sz w:val="15"/>
              </w:rPr>
              <w:t>Material, Lieferant</w:t>
            </w:r>
          </w:p>
        </w:tc>
        <w:tc>
          <w:tcPr>
            <w:tcW w:type="dxa" w:w="1020"/>
          </w:tcPr>
          <w:p>
            <w:r>
              <w:rPr>
                <w:sz w:val="15"/>
              </w:rPr>
              <w:t>240</w:t>
            </w:r>
          </w:p>
        </w:tc>
        <w:tc>
          <w:tcPr>
            <w:tcW w:type="dxa" w:w="1474"/>
          </w:tcPr>
          <w:p>
            <w:r>
              <w:rPr>
                <w:sz w:val="15"/>
              </w:rPr>
              <w:t>31.03.2017</w:t>
            </w:r>
          </w:p>
        </w:tc>
        <w:tc>
          <w:tcPr>
            <w:tcW w:type="dxa" w:w="1361"/>
          </w:tcPr>
          <w:p>
            <w:r>
              <w:rPr>
                <w:sz w:val="15"/>
              </w:rPr>
              <w:t>mittel</w:t>
            </w:r>
          </w:p>
        </w:tc>
      </w:tr>
      <w:tr>
        <w:tc>
          <w:tcPr>
            <w:tcW w:type="dxa" w:w="2154"/>
          </w:tcPr>
          <w:p>
            <w:r>
              <w:rPr>
                <w:sz w:val="15"/>
              </w:rPr>
              <w:t>Auftragsabwicklung</w:t>
            </w:r>
          </w:p>
        </w:tc>
        <w:tc>
          <w:tcPr>
            <w:tcW w:type="dxa" w:w="1701"/>
          </w:tcPr>
          <w:p>
            <w:r>
              <w:rPr>
                <w:sz w:val="15"/>
              </w:rPr>
              <w:t>Erwerber</w:t>
            </w:r>
          </w:p>
        </w:tc>
        <w:tc>
          <w:tcPr>
            <w:tcW w:type="dxa" w:w="1701"/>
          </w:tcPr>
          <w:p>
            <w:r>
              <w:rPr>
                <w:sz w:val="15"/>
              </w:rPr>
              <w:t>SD, Logistik</w:t>
            </w:r>
          </w:p>
        </w:tc>
        <w:tc>
          <w:tcPr>
            <w:tcW w:type="dxa" w:w="1020"/>
          </w:tcPr>
          <w:p>
            <w:r>
              <w:rPr>
                <w:sz w:val="15"/>
              </w:rPr>
              <w:t>1.150</w:t>
            </w:r>
          </w:p>
        </w:tc>
        <w:tc>
          <w:tcPr>
            <w:tcW w:type="dxa" w:w="1474"/>
          </w:tcPr>
          <w:p>
            <w:r>
              <w:rPr>
                <w:sz w:val="15"/>
              </w:rPr>
              <w:t>31.12.2018</w:t>
            </w:r>
          </w:p>
        </w:tc>
        <w:tc>
          <w:tcPr>
            <w:tcW w:type="dxa" w:w="1361"/>
          </w:tcPr>
          <w:p>
            <w:r>
              <w:rPr>
                <w:sz w:val="15"/>
              </w:rPr>
              <w:t>hoch</w:t>
            </w:r>
          </w:p>
        </w:tc>
      </w:tr>
      <w:tr>
        <w:tc>
          <w:tcPr>
            <w:tcW w:type="dxa" w:w="2154"/>
          </w:tcPr>
          <w:p>
            <w:r>
              <w:rPr>
                <w:sz w:val="15"/>
              </w:rPr>
              <w:t>Berichtsschicht</w:t>
            </w:r>
          </w:p>
        </w:tc>
        <w:tc>
          <w:tcPr>
            <w:tcW w:type="dxa" w:w="1701"/>
          </w:tcPr>
          <w:p>
            <w:r>
              <w:rPr>
                <w:sz w:val="15"/>
              </w:rPr>
              <w:t>beide</w:t>
            </w:r>
          </w:p>
        </w:tc>
        <w:tc>
          <w:tcPr>
            <w:tcW w:type="dxa" w:w="1701"/>
          </w:tcPr>
          <w:p>
            <w:r>
              <w:rPr>
                <w:sz w:val="15"/>
              </w:rPr>
              <w:t>Konsolidierung</w:t>
            </w:r>
          </w:p>
        </w:tc>
        <w:tc>
          <w:tcPr>
            <w:tcW w:type="dxa" w:w="1020"/>
          </w:tcPr>
          <w:p>
            <w:r>
              <w:rPr>
                <w:sz w:val="15"/>
              </w:rPr>
              <w:t>310</w:t>
            </w:r>
          </w:p>
        </w:tc>
        <w:tc>
          <w:tcPr>
            <w:tcW w:type="dxa" w:w="1474"/>
          </w:tcPr>
          <w:p>
            <w:r>
              <w:rPr>
                <w:sz w:val="15"/>
              </w:rPr>
              <w:t>unterschiedlich</w:t>
            </w:r>
          </w:p>
        </w:tc>
        <w:tc>
          <w:tcPr>
            <w:tcW w:type="dxa" w:w="1361"/>
          </w:tcPr>
          <w:p>
            <w:r>
              <w:rPr>
                <w:sz w:val="15"/>
              </w:rPr>
              <w:t>mittel</w:t>
            </w:r>
          </w:p>
        </w:tc>
      </w:tr>
    </w:tbl>
    <w:p/>
    <w:p>
      <w:pPr>
        <w:pStyle w:val="Heading2"/>
      </w:pPr>
      <w:r>
        <w:t>3.2 Rahmenbedingungen und Restriktionen</w:t>
      </w:r>
    </w:p>
    <w:p>
      <w:pPr>
        <w:pStyle w:val="ListBullet"/>
      </w:pPr>
      <w:r>
        <w:t>Der Meilenstein M-07 ist gate-relevant. Ohne freigegebenes Zielbild kann die Migrationsplanung nicht beginnen.</w:t>
      </w:r>
    </w:p>
    <w:p>
      <w:pPr>
        <w:pStyle w:val="ListBullet"/>
      </w:pPr>
      <w:r>
        <w:t>Die Wartung fuer das Altsystem des Zielunternehmens laeuft am 30.06.2018 aus. Eine Verlaengerung ist moeglich, aber nicht kostenneutral.</w:t>
      </w:r>
    </w:p>
    <w:p>
      <w:pPr>
        <w:pStyle w:val="ListBullet"/>
      </w:pPr>
      <w:r>
        <w:t>Die Annahme AS-01, dass der Wartungsvertrag mit drei Monaten Frist kuendbar ist, ist noch nicht bestaetigt. Trifft sie nicht zu, entfaellt die Lizenzsynergie S-04.</w:t>
      </w:r>
    </w:p>
    <w:p>
      <w:pPr>
        <w:pStyle w:val="ListBullet"/>
      </w:pPr>
      <w:r>
        <w:t>Die erneute Extraktion der Materialstammdaten (A-023) ist Voraussetzung fuer jede belastbare Aufwandsschaetzung.</w:t>
      </w:r>
    </w:p>
    <w:p>
      <w:pPr>
        <w:pStyle w:val="ListBullet"/>
      </w:pPr>
      <w:r>
        <w:t>Die Zusage zum Wertrealisierungsbericht am 16.12.2016 steht und wird nicht zur Disposition gestellt.</w:t>
      </w:r>
    </w:p>
    <w:p>
      <w:pPr>
        <w:pStyle w:val="Heading1"/>
      </w:pPr>
      <w:r>
        <w:t>4. Diskutierte Optionen</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020"/>
            <w:shd w:val="clear" w:color="auto" w:fill="046A38"/>
          </w:tcPr>
          <w:p>
            <w:r>
              <w:rPr>
                <w:b/>
                <w:color w:val="FFFFFF"/>
                <w:sz w:val="15"/>
              </w:rPr>
              <w:t>Option</w:t>
            </w:r>
          </w:p>
        </w:tc>
        <w:tc>
          <w:tcPr>
            <w:tcW w:type="dxa" w:w="2608"/>
            <w:shd w:val="clear" w:color="auto" w:fill="046A38"/>
          </w:tcPr>
          <w:p>
            <w:r>
              <w:rPr>
                <w:b/>
                <w:color w:val="FFFFFF"/>
                <w:sz w:val="15"/>
              </w:rPr>
              <w:t>Beschreibung</w:t>
            </w:r>
          </w:p>
        </w:tc>
        <w:tc>
          <w:tcPr>
            <w:tcW w:type="dxa" w:w="1020"/>
            <w:shd w:val="clear" w:color="auto" w:fill="046A38"/>
          </w:tcPr>
          <w:p>
            <w:r>
              <w:rPr>
                <w:b/>
                <w:color w:val="FFFFFF"/>
                <w:sz w:val="15"/>
              </w:rPr>
              <w:t>Aufwand (PT)</w:t>
            </w:r>
          </w:p>
        </w:tc>
        <w:tc>
          <w:tcPr>
            <w:tcW w:type="dxa" w:w="1134"/>
            <w:shd w:val="clear" w:color="auto" w:fill="046A38"/>
          </w:tcPr>
          <w:p>
            <w:r>
              <w:rPr>
                <w:b/>
                <w:color w:val="FFFFFF"/>
                <w:sz w:val="15"/>
              </w:rPr>
              <w:t>Kosten (TEUR)</w:t>
            </w:r>
          </w:p>
        </w:tc>
        <w:tc>
          <w:tcPr>
            <w:tcW w:type="dxa" w:w="907"/>
            <w:shd w:val="clear" w:color="auto" w:fill="046A38"/>
          </w:tcPr>
          <w:p>
            <w:r>
              <w:rPr>
                <w:b/>
                <w:color w:val="FFFFFF"/>
                <w:sz w:val="15"/>
              </w:rPr>
              <w:t>Dauer</w:t>
            </w:r>
          </w:p>
        </w:tc>
        <w:tc>
          <w:tcPr>
            <w:tcW w:type="dxa" w:w="1928"/>
            <w:shd w:val="clear" w:color="auto" w:fill="046A38"/>
          </w:tcPr>
          <w:p>
            <w:r>
              <w:rPr>
                <w:b/>
                <w:color w:val="FFFFFF"/>
                <w:sz w:val="15"/>
              </w:rPr>
              <w:t>Vorteile</w:t>
            </w:r>
          </w:p>
        </w:tc>
        <w:tc>
          <w:tcPr>
            <w:tcW w:type="dxa" w:w="2154"/>
            <w:shd w:val="clear" w:color="auto" w:fill="046A38"/>
          </w:tcPr>
          <w:p>
            <w:r>
              <w:rPr>
                <w:b/>
                <w:color w:val="FFFFFF"/>
                <w:sz w:val="15"/>
              </w:rPr>
              <w:t>Nachteile und Risiken</w:t>
            </w:r>
          </w:p>
        </w:tc>
      </w:tr>
      <w:tr>
        <w:tc>
          <w:tcPr>
            <w:tcW w:type="dxa" w:w="1020"/>
          </w:tcPr>
          <w:p>
            <w:r>
              <w:rPr>
                <w:sz w:val="15"/>
              </w:rPr>
              <w:t>Option 1</w:t>
            </w:r>
          </w:p>
        </w:tc>
        <w:tc>
          <w:tcPr>
            <w:tcW w:type="dxa" w:w="2608"/>
          </w:tcPr>
          <w:p>
            <w:r>
              <w:rPr>
                <w:sz w:val="15"/>
              </w:rPr>
              <w:t>Zielsystem ist ERP A des Erwerbers, Altsystem wird stillgelegt</w:t>
            </w:r>
          </w:p>
        </w:tc>
        <w:tc>
          <w:tcPr>
            <w:tcW w:type="dxa" w:w="1020"/>
          </w:tcPr>
          <w:p>
            <w:r>
              <w:rPr>
                <w:sz w:val="15"/>
              </w:rPr>
              <w:t>4.200</w:t>
            </w:r>
          </w:p>
        </w:tc>
        <w:tc>
          <w:tcPr>
            <w:tcW w:type="dxa" w:w="1134"/>
          </w:tcPr>
          <w:p>
            <w:r>
              <w:rPr>
                <w:sz w:val="15"/>
              </w:rPr>
              <w:t>3.150</w:t>
            </w:r>
          </w:p>
        </w:tc>
        <w:tc>
          <w:tcPr>
            <w:tcW w:type="dxa" w:w="907"/>
          </w:tcPr>
          <w:p>
            <w:r>
              <w:rPr>
                <w:sz w:val="15"/>
              </w:rPr>
              <w:t>14 Monate</w:t>
            </w:r>
          </w:p>
        </w:tc>
        <w:tc>
          <w:tcPr>
            <w:tcW w:type="dxa" w:w="1928"/>
          </w:tcPr>
          <w:p>
            <w:r>
              <w:rPr>
                <w:sz w:val="15"/>
              </w:rPr>
              <w:t>Ein Zielsystem, hoechste Synergie, vorhandenes Wissen im Konzern</w:t>
            </w:r>
          </w:p>
        </w:tc>
        <w:tc>
          <w:tcPr>
            <w:tcW w:type="dxa" w:w="2154"/>
          </w:tcPr>
          <w:p>
            <w:r>
              <w:rPr>
                <w:sz w:val="15"/>
              </w:rPr>
              <w:t>Groesster Migrationsaufwand, hoechstes Risiko in der Lieferkette</w:t>
            </w:r>
          </w:p>
        </w:tc>
      </w:tr>
      <w:tr>
        <w:tc>
          <w:tcPr>
            <w:tcW w:type="dxa" w:w="1020"/>
          </w:tcPr>
          <w:p>
            <w:r>
              <w:rPr>
                <w:sz w:val="15"/>
              </w:rPr>
              <w:t>Option 2</w:t>
            </w:r>
          </w:p>
        </w:tc>
        <w:tc>
          <w:tcPr>
            <w:tcW w:type="dxa" w:w="2608"/>
          </w:tcPr>
          <w:p>
            <w:r>
              <w:rPr>
                <w:sz w:val="15"/>
              </w:rPr>
              <w:t>Beide Systeme bleiben, gemeinsame Berichtsschicht darueber</w:t>
            </w:r>
          </w:p>
        </w:tc>
        <w:tc>
          <w:tcPr>
            <w:tcW w:type="dxa" w:w="1020"/>
          </w:tcPr>
          <w:p>
            <w:r>
              <w:rPr>
                <w:sz w:val="15"/>
              </w:rPr>
              <w:t>1.400</w:t>
            </w:r>
          </w:p>
        </w:tc>
        <w:tc>
          <w:tcPr>
            <w:tcW w:type="dxa" w:w="1134"/>
          </w:tcPr>
          <w:p>
            <w:r>
              <w:rPr>
                <w:sz w:val="15"/>
              </w:rPr>
              <w:t>1.050</w:t>
            </w:r>
          </w:p>
        </w:tc>
        <w:tc>
          <w:tcPr>
            <w:tcW w:type="dxa" w:w="907"/>
          </w:tcPr>
          <w:p>
            <w:r>
              <w:rPr>
                <w:sz w:val="15"/>
              </w:rPr>
              <w:t>6 Monate</w:t>
            </w:r>
          </w:p>
        </w:tc>
        <w:tc>
          <w:tcPr>
            <w:tcW w:type="dxa" w:w="1928"/>
          </w:tcPr>
          <w:p>
            <w:r>
              <w:rPr>
                <w:sz w:val="15"/>
              </w:rPr>
              <w:t>Schnell, geringes Betriebsrisiko, entkoppelt von der Modernisierung</w:t>
            </w:r>
          </w:p>
        </w:tc>
        <w:tc>
          <w:tcPr>
            <w:tcW w:type="dxa" w:w="2154"/>
          </w:tcPr>
          <w:p>
            <w:r>
              <w:rPr>
                <w:sz w:val="15"/>
              </w:rPr>
              <w:t>Keine Lizenzsynergie, doppelte Betriebskosten dauerhaft</w:t>
            </w:r>
          </w:p>
        </w:tc>
      </w:tr>
      <w:tr>
        <w:tc>
          <w:tcPr>
            <w:tcW w:type="dxa" w:w="1020"/>
          </w:tcPr>
          <w:p>
            <w:r>
              <w:rPr>
                <w:sz w:val="15"/>
              </w:rPr>
              <w:t>Option 3</w:t>
            </w:r>
          </w:p>
        </w:tc>
        <w:tc>
          <w:tcPr>
            <w:tcW w:type="dxa" w:w="2608"/>
          </w:tcPr>
          <w:p>
            <w:r>
              <w:rPr>
                <w:sz w:val="15"/>
              </w:rPr>
              <w:t>Zielsystem ist ERP A, Migration in zwei Wellen nach Region</w:t>
            </w:r>
          </w:p>
        </w:tc>
        <w:tc>
          <w:tcPr>
            <w:tcW w:type="dxa" w:w="1020"/>
          </w:tcPr>
          <w:p>
            <w:r>
              <w:rPr>
                <w:sz w:val="15"/>
              </w:rPr>
              <w:t>4.600</w:t>
            </w:r>
          </w:p>
        </w:tc>
        <w:tc>
          <w:tcPr>
            <w:tcW w:type="dxa" w:w="1134"/>
          </w:tcPr>
          <w:p>
            <w:r>
              <w:rPr>
                <w:sz w:val="15"/>
              </w:rPr>
              <w:t>3.480</w:t>
            </w:r>
          </w:p>
        </w:tc>
        <w:tc>
          <w:tcPr>
            <w:tcW w:type="dxa" w:w="907"/>
          </w:tcPr>
          <w:p>
            <w:r>
              <w:rPr>
                <w:sz w:val="15"/>
              </w:rPr>
              <w:t>18 Monate</w:t>
            </w:r>
          </w:p>
        </w:tc>
        <w:tc>
          <w:tcPr>
            <w:tcW w:type="dxa" w:w="1928"/>
          </w:tcPr>
          <w:p>
            <w:r>
              <w:rPr>
                <w:sz w:val="15"/>
              </w:rPr>
              <w:t>Risiko je Welle beherrschbar, Lernkurve nutzbar</w:t>
            </w:r>
          </w:p>
        </w:tc>
        <w:tc>
          <w:tcPr>
            <w:tcW w:type="dxa" w:w="2154"/>
          </w:tcPr>
          <w:p>
            <w:r>
              <w:rPr>
                <w:sz w:val="15"/>
              </w:rPr>
              <w:t>Laengste Laufzeit, Synergie faellt spaeter an, zwei Umstellungsphasen</w:t>
            </w:r>
          </w:p>
        </w:tc>
      </w:tr>
    </w:tbl>
    <w:p/>
    <w:p>
      <w:pPr>
        <w:pStyle w:val="Heading1"/>
      </w:pPr>
      <w:r>
        <w:t>5. Fachliche Bewertung</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2041"/>
            <w:shd w:val="clear" w:color="auto" w:fill="046A38"/>
          </w:tcPr>
          <w:p>
            <w:r>
              <w:rPr>
                <w:b/>
                <w:color w:val="FFFFFF"/>
                <w:sz w:val="15"/>
              </w:rPr>
              <w:t>Kriterium</w:t>
            </w:r>
          </w:p>
        </w:tc>
        <w:tc>
          <w:tcPr>
            <w:tcW w:type="dxa" w:w="1020"/>
            <w:shd w:val="clear" w:color="auto" w:fill="046A38"/>
          </w:tcPr>
          <w:p>
            <w:r>
              <w:rPr>
                <w:b/>
                <w:color w:val="FFFFFF"/>
                <w:sz w:val="15"/>
              </w:rPr>
              <w:t>Gewicht</w:t>
            </w:r>
          </w:p>
        </w:tc>
        <w:tc>
          <w:tcPr>
            <w:tcW w:type="dxa" w:w="1020"/>
            <w:shd w:val="clear" w:color="auto" w:fill="046A38"/>
          </w:tcPr>
          <w:p>
            <w:r>
              <w:rPr>
                <w:b/>
                <w:color w:val="FFFFFF"/>
                <w:sz w:val="15"/>
              </w:rPr>
              <w:t>Option 1</w:t>
            </w:r>
          </w:p>
        </w:tc>
        <w:tc>
          <w:tcPr>
            <w:tcW w:type="dxa" w:w="1020"/>
            <w:shd w:val="clear" w:color="auto" w:fill="046A38"/>
          </w:tcPr>
          <w:p>
            <w:r>
              <w:rPr>
                <w:b/>
                <w:color w:val="FFFFFF"/>
                <w:sz w:val="15"/>
              </w:rPr>
              <w:t>Option 2</w:t>
            </w:r>
          </w:p>
        </w:tc>
        <w:tc>
          <w:tcPr>
            <w:tcW w:type="dxa" w:w="1020"/>
            <w:shd w:val="clear" w:color="auto" w:fill="046A38"/>
          </w:tcPr>
          <w:p>
            <w:r>
              <w:rPr>
                <w:b/>
                <w:color w:val="FFFFFF"/>
                <w:sz w:val="15"/>
              </w:rPr>
              <w:t>Option 3</w:t>
            </w:r>
          </w:p>
        </w:tc>
        <w:tc>
          <w:tcPr>
            <w:tcW w:type="dxa" w:w="3515"/>
            <w:shd w:val="clear" w:color="auto" w:fill="046A38"/>
          </w:tcPr>
          <w:p>
            <w:r>
              <w:rPr>
                <w:b/>
                <w:color w:val="FFFFFF"/>
                <w:sz w:val="15"/>
              </w:rPr>
              <w:t>Begruendung</w:t>
            </w:r>
          </w:p>
        </w:tc>
      </w:tr>
      <w:tr>
        <w:tc>
          <w:tcPr>
            <w:tcW w:type="dxa" w:w="2041"/>
          </w:tcPr>
          <w:p>
            <w:r>
              <w:rPr>
                <w:sz w:val="15"/>
              </w:rPr>
              <w:t>Synergiebeitrag</w:t>
            </w:r>
          </w:p>
        </w:tc>
        <w:tc>
          <w:tcPr>
            <w:tcW w:type="dxa" w:w="1020"/>
          </w:tcPr>
          <w:p>
            <w:r>
              <w:rPr>
                <w:sz w:val="15"/>
              </w:rPr>
              <w:t>30 %</w:t>
            </w:r>
          </w:p>
        </w:tc>
        <w:tc>
          <w:tcPr>
            <w:tcW w:type="dxa" w:w="1020"/>
          </w:tcPr>
          <w:p>
            <w:r>
              <w:rPr>
                <w:sz w:val="15"/>
              </w:rPr>
              <w:t>5</w:t>
            </w:r>
          </w:p>
        </w:tc>
        <w:tc>
          <w:tcPr>
            <w:tcW w:type="dxa" w:w="1020"/>
          </w:tcPr>
          <w:p>
            <w:r>
              <w:rPr>
                <w:sz w:val="15"/>
              </w:rPr>
              <w:t>1</w:t>
            </w:r>
          </w:p>
        </w:tc>
        <w:tc>
          <w:tcPr>
            <w:tcW w:type="dxa" w:w="1020"/>
          </w:tcPr>
          <w:p>
            <w:r>
              <w:rPr>
                <w:sz w:val="15"/>
              </w:rPr>
              <w:t>5</w:t>
            </w:r>
          </w:p>
        </w:tc>
        <w:tc>
          <w:tcPr>
            <w:tcW w:type="dxa" w:w="3515"/>
          </w:tcPr>
          <w:p>
            <w:r>
              <w:rPr>
                <w:sz w:val="15"/>
              </w:rPr>
              <w:t>Nur die Stilllegung des Altsystems hebt S-04 und S-05</w:t>
            </w:r>
          </w:p>
        </w:tc>
      </w:tr>
      <w:tr>
        <w:tc>
          <w:tcPr>
            <w:tcW w:type="dxa" w:w="2041"/>
          </w:tcPr>
          <w:p>
            <w:r>
              <w:rPr>
                <w:sz w:val="15"/>
              </w:rPr>
              <w:t>Umsetzungsrisiko</w:t>
            </w:r>
          </w:p>
        </w:tc>
        <w:tc>
          <w:tcPr>
            <w:tcW w:type="dxa" w:w="1020"/>
          </w:tcPr>
          <w:p>
            <w:r>
              <w:rPr>
                <w:sz w:val="15"/>
              </w:rPr>
              <w:t>25 %</w:t>
            </w:r>
          </w:p>
        </w:tc>
        <w:tc>
          <w:tcPr>
            <w:tcW w:type="dxa" w:w="1020"/>
          </w:tcPr>
          <w:p>
            <w:r>
              <w:rPr>
                <w:sz w:val="15"/>
              </w:rPr>
              <w:t>2</w:t>
            </w:r>
          </w:p>
        </w:tc>
        <w:tc>
          <w:tcPr>
            <w:tcW w:type="dxa" w:w="1020"/>
          </w:tcPr>
          <w:p>
            <w:r>
              <w:rPr>
                <w:sz w:val="15"/>
              </w:rPr>
              <w:t>5</w:t>
            </w:r>
          </w:p>
        </w:tc>
        <w:tc>
          <w:tcPr>
            <w:tcW w:type="dxa" w:w="1020"/>
          </w:tcPr>
          <w:p>
            <w:r>
              <w:rPr>
                <w:sz w:val="15"/>
              </w:rPr>
              <w:t>4</w:t>
            </w:r>
          </w:p>
        </w:tc>
        <w:tc>
          <w:tcPr>
            <w:tcW w:type="dxa" w:w="3515"/>
          </w:tcPr>
          <w:p>
            <w:r>
              <w:rPr>
                <w:sz w:val="15"/>
              </w:rPr>
              <w:t>Ein Umstellungsschritt fuer alle Regionen ist das groesste Einzelrisiko</w:t>
            </w:r>
          </w:p>
        </w:tc>
      </w:tr>
      <w:tr>
        <w:tc>
          <w:tcPr>
            <w:tcW w:type="dxa" w:w="2041"/>
          </w:tcPr>
          <w:p>
            <w:r>
              <w:rPr>
                <w:sz w:val="15"/>
              </w:rPr>
              <w:t>Zeit bis zum Nutzen</w:t>
            </w:r>
          </w:p>
        </w:tc>
        <w:tc>
          <w:tcPr>
            <w:tcW w:type="dxa" w:w="1020"/>
          </w:tcPr>
          <w:p>
            <w:r>
              <w:rPr>
                <w:sz w:val="15"/>
              </w:rPr>
              <w:t>20 %</w:t>
            </w:r>
          </w:p>
        </w:tc>
        <w:tc>
          <w:tcPr>
            <w:tcW w:type="dxa" w:w="1020"/>
          </w:tcPr>
          <w:p>
            <w:r>
              <w:rPr>
                <w:sz w:val="15"/>
              </w:rPr>
              <w:t>3</w:t>
            </w:r>
          </w:p>
        </w:tc>
        <w:tc>
          <w:tcPr>
            <w:tcW w:type="dxa" w:w="1020"/>
          </w:tcPr>
          <w:p>
            <w:r>
              <w:rPr>
                <w:sz w:val="15"/>
              </w:rPr>
              <w:t>5</w:t>
            </w:r>
          </w:p>
        </w:tc>
        <w:tc>
          <w:tcPr>
            <w:tcW w:type="dxa" w:w="1020"/>
          </w:tcPr>
          <w:p>
            <w:r>
              <w:rPr>
                <w:sz w:val="15"/>
              </w:rPr>
              <w:t>2</w:t>
            </w:r>
          </w:p>
        </w:tc>
        <w:tc>
          <w:tcPr>
            <w:tcW w:type="dxa" w:w="3515"/>
          </w:tcPr>
          <w:p>
            <w:r>
              <w:rPr>
                <w:sz w:val="15"/>
              </w:rPr>
              <w:t>Option 2 wirkt sofort, bringt aber keinen dauerhaften Nutzen</w:t>
            </w:r>
          </w:p>
        </w:tc>
      </w:tr>
      <w:tr>
        <w:tc>
          <w:tcPr>
            <w:tcW w:type="dxa" w:w="2041"/>
          </w:tcPr>
          <w:p>
            <w:r>
              <w:rPr>
                <w:sz w:val="15"/>
              </w:rPr>
              <w:t>Betriebsstabilitaet</w:t>
            </w:r>
          </w:p>
        </w:tc>
        <w:tc>
          <w:tcPr>
            <w:tcW w:type="dxa" w:w="1020"/>
          </w:tcPr>
          <w:p>
            <w:r>
              <w:rPr>
                <w:sz w:val="15"/>
              </w:rPr>
              <w:t>15 %</w:t>
            </w:r>
          </w:p>
        </w:tc>
        <w:tc>
          <w:tcPr>
            <w:tcW w:type="dxa" w:w="1020"/>
          </w:tcPr>
          <w:p>
            <w:r>
              <w:rPr>
                <w:sz w:val="15"/>
              </w:rPr>
              <w:t>3</w:t>
            </w:r>
          </w:p>
        </w:tc>
        <w:tc>
          <w:tcPr>
            <w:tcW w:type="dxa" w:w="1020"/>
          </w:tcPr>
          <w:p>
            <w:r>
              <w:rPr>
                <w:sz w:val="15"/>
              </w:rPr>
              <w:t>4</w:t>
            </w:r>
          </w:p>
        </w:tc>
        <w:tc>
          <w:tcPr>
            <w:tcW w:type="dxa" w:w="1020"/>
          </w:tcPr>
          <w:p>
            <w:r>
              <w:rPr>
                <w:sz w:val="15"/>
              </w:rPr>
              <w:t>4</w:t>
            </w:r>
          </w:p>
        </w:tc>
        <w:tc>
          <w:tcPr>
            <w:tcW w:type="dxa" w:w="3515"/>
          </w:tcPr>
          <w:p>
            <w:r>
              <w:rPr>
                <w:sz w:val="15"/>
              </w:rPr>
              <w:t>Wellenmodell erlaubt Korrektur nach der ersten Welle</w:t>
            </w:r>
          </w:p>
        </w:tc>
      </w:tr>
      <w:tr>
        <w:tc>
          <w:tcPr>
            <w:tcW w:type="dxa" w:w="2041"/>
          </w:tcPr>
          <w:p>
            <w:r>
              <w:rPr>
                <w:sz w:val="15"/>
              </w:rPr>
              <w:t>Auswirkung auf M-07</w:t>
            </w:r>
          </w:p>
        </w:tc>
        <w:tc>
          <w:tcPr>
            <w:tcW w:type="dxa" w:w="1020"/>
          </w:tcPr>
          <w:p>
            <w:r>
              <w:rPr>
                <w:sz w:val="15"/>
              </w:rPr>
              <w:t>10 %</w:t>
            </w:r>
          </w:p>
        </w:tc>
        <w:tc>
          <w:tcPr>
            <w:tcW w:type="dxa" w:w="1020"/>
          </w:tcPr>
          <w:p>
            <w:r>
              <w:rPr>
                <w:sz w:val="15"/>
              </w:rPr>
              <w:t>3</w:t>
            </w:r>
          </w:p>
        </w:tc>
        <w:tc>
          <w:tcPr>
            <w:tcW w:type="dxa" w:w="1020"/>
          </w:tcPr>
          <w:p>
            <w:r>
              <w:rPr>
                <w:sz w:val="15"/>
              </w:rPr>
              <w:t>5</w:t>
            </w:r>
          </w:p>
        </w:tc>
        <w:tc>
          <w:tcPr>
            <w:tcW w:type="dxa" w:w="1020"/>
          </w:tcPr>
          <w:p>
            <w:r>
              <w:rPr>
                <w:sz w:val="15"/>
              </w:rPr>
              <w:t>3</w:t>
            </w:r>
          </w:p>
        </w:tc>
        <w:tc>
          <w:tcPr>
            <w:tcW w:type="dxa" w:w="3515"/>
          </w:tcPr>
          <w:p>
            <w:r>
              <w:rPr>
                <w:sz w:val="15"/>
              </w:rPr>
              <w:t>Option 2 laesst das Zielbild sofort freigeben</w:t>
            </w:r>
          </w:p>
        </w:tc>
      </w:tr>
      <w:tr>
        <w:tc>
          <w:tcPr>
            <w:tcW w:type="dxa" w:w="2041"/>
          </w:tcPr>
          <w:p>
            <w:r>
              <w:rPr>
                <w:sz w:val="15"/>
              </w:rPr>
              <w:t>Gewichtete Summe</w:t>
            </w:r>
          </w:p>
        </w:tc>
        <w:tc>
          <w:tcPr>
            <w:tcW w:type="dxa" w:w="1020"/>
          </w:tcPr>
          <w:p>
            <w:r>
              <w:rPr>
                <w:sz w:val="15"/>
              </w:rPr>
              <w:t>100 %</w:t>
            </w:r>
          </w:p>
        </w:tc>
        <w:tc>
          <w:tcPr>
            <w:tcW w:type="dxa" w:w="1020"/>
          </w:tcPr>
          <w:p>
            <w:r>
              <w:rPr>
                <w:sz w:val="15"/>
              </w:rPr>
              <w:t>3,30</w:t>
            </w:r>
          </w:p>
        </w:tc>
        <w:tc>
          <w:tcPr>
            <w:tcW w:type="dxa" w:w="1020"/>
          </w:tcPr>
          <w:p>
            <w:r>
              <w:rPr>
                <w:sz w:val="15"/>
              </w:rPr>
              <w:t>3,50</w:t>
            </w:r>
          </w:p>
        </w:tc>
        <w:tc>
          <w:tcPr>
            <w:tcW w:type="dxa" w:w="1020"/>
          </w:tcPr>
          <w:p>
            <w:r>
              <w:rPr>
                <w:sz w:val="15"/>
              </w:rPr>
              <w:t>4,00</w:t>
            </w:r>
          </w:p>
        </w:tc>
        <w:tc>
          <w:tcPr>
            <w:tcW w:type="dxa" w:w="3515"/>
          </w:tcPr>
          <w:p>
            <w:r>
              <w:rPr>
                <w:sz w:val="15"/>
              </w:rPr>
              <w:t>Option 3 fuehrt</w:t>
            </w:r>
          </w:p>
        </w:tc>
      </w:tr>
    </w:tbl>
    <w:p/>
    <w:p>
      <w:pPr>
        <w:pStyle w:val="Heading1"/>
      </w:pPr>
      <w:r>
        <w:t>6. Empfehlung der Expertenrunde</w:t>
      </w:r>
    </w:p>
    <w:p>
      <w:r>
        <w:rPr>
          <w:sz w:val="19"/>
        </w:rPr>
        <w:t>Die Runde empfiehlt Option 3: Zielsystem ist ERP A des Erwerbers, die Migration erfolgt in zwei Wellen nach Region. Damit bleibt der volle Synergiebeitrag erhalten, waehrend das Umsetzungsrisiko je Welle beherrschbar bleibt. Der Umfang der laufenden Modernisierung des Altsystems ist einzufrieren, bis das Zielbild freigegeben ist; dies ist als Beschluss B-04 bereits gefasst.</w:t>
      </w:r>
    </w:p>
    <w:p>
      <w:r>
        <w:rPr>
          <w:sz w:val="19"/>
        </w:rPr>
        <w:t>Fuer M-07 bedeutet die Empfehlung einen Prognosetermin von 21.10.2016 statt 07.10.2016.</w:t>
      </w:r>
    </w:p>
    <w:p>
      <w:pPr>
        <w:pStyle w:val="Heading2"/>
      </w:pPr>
      <w:r>
        <w:t>6.1 Abweichende Meinung</w:t>
      </w:r>
    </w:p>
    <w:p>
      <w:r>
        <w:rPr>
          <w:sz w:val="19"/>
        </w:rPr>
        <w:t>K. Matsuda traegt ausdruecklich eine abweichende Meinung vor. Aus Sicht der Lieferkette ist das Wellenmodell nicht risikoaermer, sondern verlaengert nur den Zeitraum, in dem zwei Stammdatenbestaende parallel gepflegt werden muessen. Sie haelt Option 1 fuer vorzugswuerdig, sofern die Stammdatenqualitaet vor der Umstellung nachweislich erreicht ist.</w:t>
      </w:r>
    </w:p>
    <w:p>
      <w:r>
        <w:rPr>
          <w:sz w:val="19"/>
        </w:rPr>
        <w:t>C. Ferreira haelt fest, dass beide Positionen dieselbe Voraussetzung teilen, naemlich eine belastbare Stammdatenqualitaet, und dass die Entscheidung zwischen den Optionen erst nach der erneuten Extraktion (A-023) tragfaehig ist.</w:t>
      </w:r>
    </w:p>
    <w:p>
      <w:pPr>
        <w:pStyle w:val="Heading1"/>
      </w:pPr>
      <w:r>
        <w:t>7. Auswirkungen auf Meilensteine und Synergien</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2268"/>
            <w:shd w:val="clear" w:color="auto" w:fill="046A38"/>
          </w:tcPr>
          <w:p>
            <w:r>
              <w:rPr>
                <w:b/>
                <w:color w:val="FFFFFF"/>
                <w:sz w:val="15"/>
              </w:rPr>
              <w:t>Betroffen</w:t>
            </w:r>
          </w:p>
        </w:tc>
        <w:tc>
          <w:tcPr>
            <w:tcW w:type="dxa" w:w="1247"/>
            <w:shd w:val="clear" w:color="auto" w:fill="046A38"/>
          </w:tcPr>
          <w:p>
            <w:r>
              <w:rPr>
                <w:b/>
                <w:color w:val="FFFFFF"/>
                <w:sz w:val="15"/>
              </w:rPr>
              <w:t>Teilprojekt</w:t>
            </w:r>
          </w:p>
        </w:tc>
        <w:tc>
          <w:tcPr>
            <w:tcW w:type="dxa" w:w="2268"/>
            <w:shd w:val="clear" w:color="auto" w:fill="046A38"/>
          </w:tcPr>
          <w:p>
            <w:r>
              <w:rPr>
                <w:b/>
                <w:color w:val="FFFFFF"/>
                <w:sz w:val="15"/>
              </w:rPr>
              <w:t>Auswirkung</w:t>
            </w:r>
          </w:p>
        </w:tc>
        <w:tc>
          <w:tcPr>
            <w:tcW w:type="dxa" w:w="2268"/>
            <w:shd w:val="clear" w:color="auto" w:fill="046A38"/>
          </w:tcPr>
          <w:p>
            <w:r>
              <w:rPr>
                <w:b/>
                <w:color w:val="FFFFFF"/>
                <w:sz w:val="15"/>
              </w:rPr>
              <w:t>Neuer Wert oder Termin</w:t>
            </w:r>
          </w:p>
        </w:tc>
        <w:tc>
          <w:tcPr>
            <w:tcW w:type="dxa" w:w="1928"/>
            <w:shd w:val="clear" w:color="auto" w:fill="046A38"/>
          </w:tcPr>
          <w:p>
            <w:r>
              <w:rPr>
                <w:b/>
                <w:color w:val="FFFFFF"/>
                <w:sz w:val="15"/>
              </w:rPr>
              <w:t>Freigabe durch</w:t>
            </w:r>
          </w:p>
        </w:tc>
      </w:tr>
      <w:tr>
        <w:tc>
          <w:tcPr>
            <w:tcW w:type="dxa" w:w="2268"/>
          </w:tcPr>
          <w:p>
            <w:r>
              <w:rPr>
                <w:sz w:val="15"/>
              </w:rPr>
              <w:t>M-07 Zielbild ERP</w:t>
            </w:r>
          </w:p>
        </w:tc>
        <w:tc>
          <w:tcPr>
            <w:tcW w:type="dxa" w:w="1247"/>
          </w:tcPr>
          <w:p>
            <w:r>
              <w:rPr>
                <w:sz w:val="15"/>
              </w:rPr>
              <w:t>WS3</w:t>
            </w:r>
          </w:p>
        </w:tc>
        <w:tc>
          <w:tcPr>
            <w:tcW w:type="dxa" w:w="2268"/>
          </w:tcPr>
          <w:p>
            <w:r>
              <w:rPr>
                <w:sz w:val="15"/>
              </w:rPr>
              <w:t>Verzoegerung</w:t>
            </w:r>
          </w:p>
        </w:tc>
        <w:tc>
          <w:tcPr>
            <w:tcW w:type="dxa" w:w="2268"/>
          </w:tcPr>
          <w:p>
            <w:r>
              <w:rPr>
                <w:sz w:val="15"/>
              </w:rPr>
              <w:t>21.10.2016</w:t>
            </w:r>
          </w:p>
        </w:tc>
        <w:tc>
          <w:tcPr>
            <w:tcW w:type="dxa" w:w="1928"/>
          </w:tcPr>
          <w:p>
            <w:r>
              <w:rPr>
                <w:sz w:val="15"/>
              </w:rPr>
              <w:t>Steering Committee</w:t>
            </w:r>
          </w:p>
        </w:tc>
      </w:tr>
      <w:tr>
        <w:tc>
          <w:tcPr>
            <w:tcW w:type="dxa" w:w="2268"/>
          </w:tcPr>
          <w:p>
            <w:r>
              <w:rPr>
                <w:sz w:val="15"/>
              </w:rPr>
              <w:t>A-023 Stammdatenextraktion</w:t>
            </w:r>
          </w:p>
        </w:tc>
        <w:tc>
          <w:tcPr>
            <w:tcW w:type="dxa" w:w="1247"/>
          </w:tcPr>
          <w:p>
            <w:r>
              <w:rPr>
                <w:sz w:val="15"/>
              </w:rPr>
              <w:t>WS3</w:t>
            </w:r>
          </w:p>
        </w:tc>
        <w:tc>
          <w:tcPr>
            <w:tcW w:type="dxa" w:w="2268"/>
          </w:tcPr>
          <w:p>
            <w:r>
              <w:rPr>
                <w:sz w:val="15"/>
              </w:rPr>
              <w:t>Wird kritischer Pfad</w:t>
            </w:r>
          </w:p>
        </w:tc>
        <w:tc>
          <w:tcPr>
            <w:tcW w:type="dxa" w:w="2268"/>
          </w:tcPr>
          <w:p>
            <w:r>
              <w:rPr>
                <w:sz w:val="15"/>
              </w:rPr>
              <w:t>05.10.2016</w:t>
            </w:r>
          </w:p>
        </w:tc>
        <w:tc>
          <w:tcPr>
            <w:tcW w:type="dxa" w:w="1928"/>
          </w:tcPr>
          <w:p>
            <w:r>
              <w:rPr>
                <w:sz w:val="15"/>
              </w:rPr>
              <w:t>T. Bergström</w:t>
            </w:r>
          </w:p>
        </w:tc>
      </w:tr>
      <w:tr>
        <w:tc>
          <w:tcPr>
            <w:tcW w:type="dxa" w:w="2268"/>
          </w:tcPr>
          <w:p>
            <w:r>
              <w:rPr>
                <w:sz w:val="15"/>
              </w:rPr>
              <w:t>D-02 Abhaengigkeit zur Lieferkette</w:t>
            </w:r>
          </w:p>
        </w:tc>
        <w:tc>
          <w:tcPr>
            <w:tcW w:type="dxa" w:w="1247"/>
          </w:tcPr>
          <w:p>
            <w:r>
              <w:rPr>
                <w:sz w:val="15"/>
              </w:rPr>
              <w:t>WS5</w:t>
            </w:r>
          </w:p>
        </w:tc>
        <w:tc>
          <w:tcPr>
            <w:tcW w:type="dxa" w:w="2268"/>
          </w:tcPr>
          <w:p>
            <w:r>
              <w:rPr>
                <w:sz w:val="15"/>
              </w:rPr>
              <w:t>Status verzoegert</w:t>
            </w:r>
          </w:p>
        </w:tc>
        <w:tc>
          <w:tcPr>
            <w:tcW w:type="dxa" w:w="2268"/>
          </w:tcPr>
          <w:p>
            <w:r>
              <w:rPr>
                <w:sz w:val="15"/>
              </w:rPr>
              <w:t>03.10.2016</w:t>
            </w:r>
          </w:p>
        </w:tc>
        <w:tc>
          <w:tcPr>
            <w:tcW w:type="dxa" w:w="1928"/>
          </w:tcPr>
          <w:p>
            <w:r>
              <w:rPr>
                <w:sz w:val="15"/>
              </w:rPr>
              <w:t>beide Teilprojektleitungen</w:t>
            </w:r>
          </w:p>
        </w:tc>
      </w:tr>
      <w:tr>
        <w:tc>
          <w:tcPr>
            <w:tcW w:type="dxa" w:w="2268"/>
          </w:tcPr>
          <w:p>
            <w:r>
              <w:rPr>
                <w:sz w:val="15"/>
              </w:rPr>
              <w:t>S-04 Lizenzsynergie</w:t>
            </w:r>
          </w:p>
        </w:tc>
        <w:tc>
          <w:tcPr>
            <w:tcW w:type="dxa" w:w="1247"/>
          </w:tcPr>
          <w:p>
            <w:r>
              <w:rPr>
                <w:sz w:val="15"/>
              </w:rPr>
              <w:t>WS3</w:t>
            </w:r>
          </w:p>
        </w:tc>
        <w:tc>
          <w:tcPr>
            <w:tcW w:type="dxa" w:w="2268"/>
          </w:tcPr>
          <w:p>
            <w:r>
              <w:rPr>
                <w:sz w:val="15"/>
              </w:rPr>
              <w:t>Zeitlich verschoben, Hoehe unveraendert</w:t>
            </w:r>
          </w:p>
        </w:tc>
        <w:tc>
          <w:tcPr>
            <w:tcW w:type="dxa" w:w="2268"/>
          </w:tcPr>
          <w:p>
            <w:r>
              <w:rPr>
                <w:sz w:val="15"/>
              </w:rPr>
              <w:t>USD 186 Mio. Ziel</w:t>
            </w:r>
          </w:p>
        </w:tc>
        <w:tc>
          <w:tcPr>
            <w:tcW w:type="dxa" w:w="1928"/>
          </w:tcPr>
          <w:p>
            <w:r>
              <w:rPr>
                <w:sz w:val="15"/>
              </w:rPr>
              <w:t>M. Haddad</w:t>
            </w:r>
          </w:p>
        </w:tc>
      </w:tr>
      <w:tr>
        <w:tc>
          <w:tcPr>
            <w:tcW w:type="dxa" w:w="2268"/>
          </w:tcPr>
          <w:p>
            <w:r>
              <w:rPr>
                <w:sz w:val="15"/>
              </w:rPr>
              <w:t>S-05 Rechenzentrumsflaeche</w:t>
            </w:r>
          </w:p>
        </w:tc>
        <w:tc>
          <w:tcPr>
            <w:tcW w:type="dxa" w:w="1247"/>
          </w:tcPr>
          <w:p>
            <w:r>
              <w:rPr>
                <w:sz w:val="15"/>
              </w:rPr>
              <w:t>WS3</w:t>
            </w:r>
          </w:p>
        </w:tc>
        <w:tc>
          <w:tcPr>
            <w:tcW w:type="dxa" w:w="2268"/>
          </w:tcPr>
          <w:p>
            <w:r>
              <w:rPr>
                <w:sz w:val="15"/>
              </w:rPr>
              <w:t>Abhaengig von der Wellenplanung</w:t>
            </w:r>
          </w:p>
        </w:tc>
        <w:tc>
          <w:tcPr>
            <w:tcW w:type="dxa" w:w="2268"/>
          </w:tcPr>
          <w:p>
            <w:r>
              <w:rPr>
                <w:sz w:val="15"/>
              </w:rPr>
              <w:t>USD 152 Mio. Ziel</w:t>
            </w:r>
          </w:p>
        </w:tc>
        <w:tc>
          <w:tcPr>
            <w:tcW w:type="dxa" w:w="1928"/>
          </w:tcPr>
          <w:p>
            <w:r>
              <w:rPr>
                <w:sz w:val="15"/>
              </w:rPr>
              <w:t>M. Haddad</w:t>
            </w:r>
          </w:p>
        </w:tc>
      </w:tr>
    </w:tbl>
    <w:p/>
    <w:p>
      <w:pPr>
        <w:pStyle w:val="Heading1"/>
      </w:pPr>
      <w:r>
        <w:t>8. Aufgaben und naechste Schritte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794"/>
            <w:shd w:val="clear" w:color="auto" w:fill="046A38"/>
          </w:tcPr>
          <w:p>
            <w:r>
              <w:rPr>
                <w:b/>
                <w:color w:val="FFFFFF"/>
                <w:sz w:val="15"/>
              </w:rPr>
              <w:t>Nr.</w:t>
            </w:r>
          </w:p>
        </w:tc>
        <w:tc>
          <w:tcPr>
            <w:tcW w:type="dxa" w:w="3855"/>
            <w:shd w:val="clear" w:color="auto" w:fill="046A38"/>
          </w:tcPr>
          <w:p>
            <w:r>
              <w:rPr>
                <w:b/>
                <w:color w:val="FFFFFF"/>
                <w:sz w:val="15"/>
              </w:rPr>
              <w:t>Aufgabe</w:t>
            </w:r>
          </w:p>
        </w:tc>
        <w:tc>
          <w:tcPr>
            <w:tcW w:type="dxa" w:w="1701"/>
            <w:shd w:val="clear" w:color="auto" w:fill="046A38"/>
          </w:tcPr>
          <w:p>
            <w:r>
              <w:rPr>
                <w:b/>
                <w:color w:val="FFFFFF"/>
                <w:sz w:val="15"/>
              </w:rPr>
              <w:t>Verantwortlich</w:t>
            </w:r>
          </w:p>
        </w:tc>
        <w:tc>
          <w:tcPr>
            <w:tcW w:type="dxa" w:w="1361"/>
            <w:shd w:val="clear" w:color="auto" w:fill="046A38"/>
          </w:tcPr>
          <w:p>
            <w:r>
              <w:rPr>
                <w:b/>
                <w:color w:val="FFFFFF"/>
                <w:sz w:val="15"/>
              </w:rPr>
              <w:t>Faellig am</w:t>
            </w:r>
          </w:p>
        </w:tc>
        <w:tc>
          <w:tcPr>
            <w:tcW w:type="dxa" w:w="1928"/>
            <w:shd w:val="clear" w:color="auto" w:fill="046A38"/>
          </w:tcPr>
          <w:p>
            <w:r>
              <w:rPr>
                <w:b/>
                <w:color w:val="FFFFFF"/>
                <w:sz w:val="15"/>
              </w:rPr>
              <w:t>Status</w:t>
            </w:r>
          </w:p>
        </w:tc>
      </w:tr>
      <w:tr>
        <w:tc>
          <w:tcPr>
            <w:tcW w:type="dxa" w:w="794"/>
          </w:tcPr>
          <w:p>
            <w:r>
              <w:rPr>
                <w:sz w:val="15"/>
              </w:rPr>
              <w:t>OP-06</w:t>
            </w:r>
          </w:p>
        </w:tc>
        <w:tc>
          <w:tcPr>
            <w:tcW w:type="dxa" w:w="3855"/>
          </w:tcPr>
          <w:p>
            <w:r>
              <w:rPr>
                <w:sz w:val="15"/>
              </w:rPr>
              <w:t>Vor jeder Migrationswelle ein Datenqualitaetstor einziehen</w:t>
            </w:r>
          </w:p>
        </w:tc>
        <w:tc>
          <w:tcPr>
            <w:tcW w:type="dxa" w:w="1701"/>
          </w:tcPr>
          <w:p>
            <w:r>
              <w:rPr>
                <w:sz w:val="15"/>
              </w:rPr>
              <w:t>G. Aydin</w:t>
            </w:r>
          </w:p>
        </w:tc>
        <w:tc>
          <w:tcPr>
            <w:tcW w:type="dxa" w:w="1361"/>
          </w:tcPr>
          <w:p>
            <w:r>
              <w:rPr>
                <w:sz w:val="15"/>
              </w:rPr>
              <w:t>05.10.2016</w:t>
            </w:r>
          </w:p>
        </w:tc>
        <w:tc>
          <w:tcPr>
            <w:tcW w:type="dxa" w:w="1928"/>
          </w:tcPr>
          <w:p>
            <w:r>
              <w:rPr>
                <w:sz w:val="15"/>
              </w:rPr>
              <w:t>In Arbeit</w:t>
            </w:r>
          </w:p>
        </w:tc>
      </w:tr>
      <w:tr>
        <w:tc>
          <w:tcPr>
            <w:tcW w:type="dxa" w:w="794"/>
          </w:tcPr>
          <w:p>
            <w:r>
              <w:rPr>
                <w:sz w:val="15"/>
              </w:rPr>
              <w:t>A-023</w:t>
            </w:r>
          </w:p>
        </w:tc>
        <w:tc>
          <w:tcPr>
            <w:tcW w:type="dxa" w:w="3855"/>
          </w:tcPr>
          <w:p>
            <w:r>
              <w:rPr>
                <w:sz w:val="15"/>
              </w:rPr>
              <w:t>Materialstammdaten mit korrigiertem Feldmapping erneut extrahieren</w:t>
            </w:r>
          </w:p>
        </w:tc>
        <w:tc>
          <w:tcPr>
            <w:tcW w:type="dxa" w:w="1701"/>
          </w:tcPr>
          <w:p>
            <w:r>
              <w:rPr>
                <w:sz w:val="15"/>
              </w:rPr>
              <w:t>G. Aydin</w:t>
            </w:r>
          </w:p>
        </w:tc>
        <w:tc>
          <w:tcPr>
            <w:tcW w:type="dxa" w:w="1361"/>
          </w:tcPr>
          <w:p>
            <w:r>
              <w:rPr>
                <w:sz w:val="15"/>
              </w:rPr>
              <w:t>05.10.2016</w:t>
            </w:r>
          </w:p>
        </w:tc>
        <w:tc>
          <w:tcPr>
            <w:tcW w:type="dxa" w:w="1928"/>
          </w:tcPr>
          <w:p>
            <w:r>
              <w:rPr>
                <w:sz w:val="15"/>
              </w:rPr>
              <w:t>In Arbeit</w:t>
            </w:r>
          </w:p>
        </w:tc>
      </w:tr>
      <w:tr>
        <w:tc>
          <w:tcPr>
            <w:tcW w:type="dxa" w:w="794"/>
          </w:tcPr>
          <w:p>
            <w:r>
              <w:rPr>
                <w:sz w:val="15"/>
              </w:rPr>
              <w:t>A-022</w:t>
            </w:r>
          </w:p>
        </w:tc>
        <w:tc>
          <w:tcPr>
            <w:tcW w:type="dxa" w:w="3855"/>
          </w:tcPr>
          <w:p>
            <w:r>
              <w:rPr>
                <w:sz w:val="15"/>
              </w:rPr>
              <w:t>Zielsystem und Migrationspfad fuer das ERP festlegen</w:t>
            </w:r>
          </w:p>
        </w:tc>
        <w:tc>
          <w:tcPr>
            <w:tcW w:type="dxa" w:w="1701"/>
          </w:tcPr>
          <w:p>
            <w:r>
              <w:rPr>
                <w:sz w:val="15"/>
              </w:rPr>
              <w:t>T. Bergström</w:t>
            </w:r>
          </w:p>
        </w:tc>
        <w:tc>
          <w:tcPr>
            <w:tcW w:type="dxa" w:w="1361"/>
          </w:tcPr>
          <w:p>
            <w:r>
              <w:rPr>
                <w:sz w:val="15"/>
              </w:rPr>
              <w:t>30.09.2016</w:t>
            </w:r>
          </w:p>
        </w:tc>
        <w:tc>
          <w:tcPr>
            <w:tcW w:type="dxa" w:w="1928"/>
          </w:tcPr>
          <w:p>
            <w:r>
              <w:rPr>
                <w:sz w:val="15"/>
              </w:rPr>
              <w:t>Überfällig</w:t>
            </w:r>
          </w:p>
        </w:tc>
      </w:tr>
      <w:tr>
        <w:tc>
          <w:tcPr>
            <w:tcW w:type="dxa" w:w="794"/>
          </w:tcPr>
          <w:p>
            <w:r>
              <w:rPr>
                <w:sz w:val="15"/>
              </w:rPr>
              <w:t>OP-02</w:t>
            </w:r>
          </w:p>
        </w:tc>
        <w:tc>
          <w:tcPr>
            <w:tcW w:type="dxa" w:w="3855"/>
          </w:tcPr>
          <w:p>
            <w:r>
              <w:rPr>
                <w:sz w:val="15"/>
              </w:rPr>
              <w:t>Wiederanlaufplan fuer das ERP-Zielbild mit datierter Prognose vorlegen</w:t>
            </w:r>
          </w:p>
        </w:tc>
        <w:tc>
          <w:tcPr>
            <w:tcW w:type="dxa" w:w="1701"/>
          </w:tcPr>
          <w:p>
            <w:r>
              <w:rPr>
                <w:sz w:val="15"/>
              </w:rPr>
              <w:t>T. Bergström</w:t>
            </w:r>
          </w:p>
        </w:tc>
        <w:tc>
          <w:tcPr>
            <w:tcW w:type="dxa" w:w="1361"/>
          </w:tcPr>
          <w:p>
            <w:r>
              <w:rPr>
                <w:sz w:val="15"/>
              </w:rPr>
              <w:t>29.09.2016</w:t>
            </w:r>
          </w:p>
        </w:tc>
        <w:tc>
          <w:tcPr>
            <w:tcW w:type="dxa" w:w="1928"/>
          </w:tcPr>
          <w:p>
            <w:r>
              <w:rPr>
                <w:sz w:val="15"/>
              </w:rPr>
              <w:t>In Arbeit</w:t>
            </w:r>
          </w:p>
        </w:tc>
      </w:tr>
    </w:tbl>
    <w:p/>
    <w:p>
      <w:pPr>
        <w:pStyle w:val="Heading1"/>
      </w:pPr>
      <w:r>
        <w:t>9. Entscheidungsbedarf im Steering Committee</w:t>
      </w:r>
    </w:p>
    <w:tbl>
      <w:tblPr>
        <w:tblStyle w:val="TableGrid"/>
        <w:tblW w:type="auto" w:w="0"/>
        <w:tblLook w:firstColumn="1" w:firstRow="1" w:lastColumn="0" w:lastRow="0" w:noHBand="0" w:noVBand="1" w:val="04A0"/>
      </w:tblPr>
      <w:tblGrid>
        <w:gridCol w:w="4986"/>
        <w:gridCol w:w="4986"/>
      </w:tblGrid>
      <w:tr>
        <w:tc>
          <w:tcPr>
            <w:tcW w:type="dxa" w:w="2835"/>
            <w:shd w:val="clear" w:color="auto" w:fill="F1F6E4"/>
          </w:tcPr>
          <w:p>
            <w:r>
              <w:rPr>
                <w:b/>
                <w:sz w:val="17"/>
              </w:rPr>
              <w:t>Zu entscheiden</w:t>
            </w:r>
          </w:p>
        </w:tc>
        <w:tc>
          <w:tcPr>
            <w:tcW w:type="dxa" w:w="6803"/>
          </w:tcPr>
          <w:p>
            <w:r>
              <w:rPr>
                <w:sz w:val="17"/>
              </w:rPr>
              <w:t>Bestaetigung der Option 3 als Zielarchitektur und Freigabe des Wiederanlaufplans fuer M-07</w:t>
            </w:r>
          </w:p>
        </w:tc>
      </w:tr>
      <w:tr>
        <w:tc>
          <w:tcPr>
            <w:tcW w:type="dxa" w:w="2835"/>
            <w:shd w:val="clear" w:color="auto" w:fill="F1F6E4"/>
          </w:tcPr>
          <w:p>
            <w:r>
              <w:rPr>
                <w:b/>
                <w:sz w:val="17"/>
              </w:rPr>
              <w:t>Vorlage durch</w:t>
            </w:r>
          </w:p>
        </w:tc>
        <w:tc>
          <w:tcPr>
            <w:tcW w:type="dxa" w:w="6803"/>
          </w:tcPr>
          <w:p>
            <w:r>
              <w:rPr>
                <w:sz w:val="17"/>
              </w:rPr>
              <w:t>T. Bergström</w:t>
            </w:r>
          </w:p>
        </w:tc>
      </w:tr>
      <w:tr>
        <w:tc>
          <w:tcPr>
            <w:tcW w:type="dxa" w:w="2835"/>
            <w:shd w:val="clear" w:color="auto" w:fill="F1F6E4"/>
          </w:tcPr>
          <w:p>
            <w:r>
              <w:rPr>
                <w:b/>
                <w:sz w:val="17"/>
              </w:rPr>
              <w:t>Erforderlich bis</w:t>
            </w:r>
          </w:p>
        </w:tc>
        <w:tc>
          <w:tcPr>
            <w:tcW w:type="dxa" w:w="6803"/>
          </w:tcPr>
          <w:p>
            <w:r>
              <w:rPr>
                <w:sz w:val="17"/>
              </w:rPr>
              <w:t>29.09.2016</w:t>
            </w:r>
          </w:p>
        </w:tc>
      </w:tr>
      <w:tr>
        <w:tc>
          <w:tcPr>
            <w:tcW w:type="dxa" w:w="2835"/>
            <w:shd w:val="clear" w:color="auto" w:fill="F1F6E4"/>
          </w:tcPr>
          <w:p>
            <w:r>
              <w:rPr>
                <w:b/>
                <w:sz w:val="17"/>
              </w:rPr>
              <w:t>Konsequenz bei Verzoegerung</w:t>
            </w:r>
          </w:p>
        </w:tc>
        <w:tc>
          <w:tcPr>
            <w:tcW w:type="dxa" w:w="6803"/>
          </w:tcPr>
          <w:p>
            <w:r>
              <w:rPr>
                <w:sz w:val="17"/>
              </w:rPr>
              <w:t>Die Migrationsplanung kann nicht beginnen, die Abhaengigkeit D-02 bleibt verzoegert und die Synergien S-04 und S-05 verschieben sich in das Folgejahr</w:t>
            </w:r>
          </w:p>
        </w:tc>
      </w:tr>
    </w:tbl>
    <w:p/>
    <w:p/>
    <w:p>
      <w:r>
        <w:rPr>
          <w:i/>
          <w:color w:val="75787B"/>
          <w:sz w:val="16"/>
        </w:rPr>
        <w:t>Synthetisches Dokument. Der Fallbezug (Unternehmen, Transaktionswert, Abschlussdatum, Governance-Struktur, Teilprojektzuschnitt) folgt oeffentlich verfuegbaren Quellen. Alle operativen Namen, Zahlen, Risiken, Beschluesse und Synergiewerte sind erfunden, in sich konsistent und stellen keine Aussage darueber dar, was die beteiligten Parteien tatsaechlich getan haben.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46A3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46A3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2222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