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240"/>
      </w:pPr>
      <w:r>
        <w:t xml:space="preserve">10.4 Présentation du notebook</w:t>
      </w:r>
    </w:p>
    <w:p>
      <w:pPr>
        <w:spacing w:after="200" w:line="276"/>
        <w:jc w:val="both"/>
      </w:pPr>
      <w:r>
        <w:rPr>
          <w:rFonts w:ascii="Calibri" w:cs="Calibri" w:eastAsia="Calibri" w:hAnsi="Calibri"/>
          <w:sz w:val="22"/>
          <w:szCs w:val="22"/>
        </w:rPr>
        <w:t xml:space="preserve">Le protocole est implémenté dans un unique notebook Python, organisé en onze sections numérotées et exécutées séquentiellement : installation, stimuli et validation, utilitaires statistiques, embeddings, probabilités sur modèles masqués, probabilités sur modèles causaux, générations, benchmarks externes, performance, synthèse statistique, robustesse, exports et checklist finale.</w:t>
      </w:r>
    </w:p>
    <w:p>
      <w:pPr>
        <w:spacing w:after="200" w:line="276"/>
        <w:jc w:val="both"/>
      </w:pPr>
      <w:r>
        <w:rPr>
          <w:rFonts w:ascii="Calibri" w:cs="Calibri" w:eastAsia="Calibri" w:hAnsi="Calibri"/>
          <w:b/>
          <w:bCs/>
          <w:sz w:val="22"/>
          <w:szCs w:val="22"/>
        </w:rPr>
        <w:t xml:space="preserve">Bibliothèques utilisées. </w:t>
      </w:r>
      <w:r>
        <w:rPr>
          <w:rFonts w:ascii="Calibri" w:cs="Calibri" w:eastAsia="Calibri" w:hAnsi="Calibri"/>
          <w:sz w:val="22"/>
          <w:szCs w:val="22"/>
        </w:rPr>
        <w:t xml:space="preserve">Quatre groupes de dépendances : </w:t>
      </w:r>
      <w:r>
        <w:rPr>
          <w:rFonts w:ascii="Calibri" w:cs="Calibri" w:eastAsia="Calibri" w:hAnsi="Calibri"/>
          <w:i/>
          <w:iCs/>
          <w:sz w:val="22"/>
          <w:szCs w:val="22"/>
        </w:rPr>
        <w:t xml:space="preserve">modèles et inférence</w:t>
      </w:r>
      <w:r>
        <w:rPr>
          <w:rFonts w:ascii="Calibri" w:cs="Calibri" w:eastAsia="Calibri" w:hAnsi="Calibri"/>
          <w:sz w:val="22"/>
          <w:szCs w:val="22"/>
        </w:rPr>
        <w:t xml:space="preserve"> (torch, transformers, sentence-transformers, accelerate, huggingface-hub) ; </w:t>
      </w:r>
      <w:r>
        <w:rPr>
          <w:rFonts w:ascii="Calibri" w:cs="Calibri" w:eastAsia="Calibri" w:hAnsi="Calibri"/>
          <w:i/>
          <w:iCs/>
          <w:sz w:val="22"/>
          <w:szCs w:val="22"/>
        </w:rPr>
        <w:t xml:space="preserve">calcul scientifique</w:t>
      </w:r>
      <w:r>
        <w:rPr>
          <w:rFonts w:ascii="Calibri" w:cs="Calibri" w:eastAsia="Calibri" w:hAnsi="Calibri"/>
          <w:sz w:val="22"/>
          <w:szCs w:val="22"/>
        </w:rPr>
        <w:t xml:space="preserve"> (pandas, numpy, scipy, statsmodels, scikit-learn) ; </w:t>
      </w:r>
      <w:r>
        <w:rPr>
          <w:rFonts w:ascii="Calibri" w:cs="Calibri" w:eastAsia="Calibri" w:hAnsi="Calibri"/>
          <w:i/>
          <w:iCs/>
          <w:sz w:val="22"/>
          <w:szCs w:val="22"/>
        </w:rPr>
        <w:t xml:space="preserve">visualisation</w:t>
      </w:r>
      <w:r>
        <w:rPr>
          <w:rFonts w:ascii="Calibri" w:cs="Calibri" w:eastAsia="Calibri" w:hAnsi="Calibri"/>
          <w:sz w:val="22"/>
          <w:szCs w:val="22"/>
        </w:rPr>
        <w:t xml:space="preserve"> (matplotlib, seaborn), avec une charte graphique fixée une seule fois pour rester cohérente sur toutes les figures ; </w:t>
      </w:r>
      <w:r>
        <w:rPr>
          <w:rFonts w:ascii="Calibri" w:cs="Calibri" w:eastAsia="Calibri" w:hAnsi="Calibri"/>
          <w:i/>
          <w:iCs/>
          <w:sz w:val="22"/>
          <w:szCs w:val="22"/>
        </w:rPr>
        <w:t xml:space="preserve">utilitaires</w:t>
      </w:r>
      <w:r>
        <w:rPr>
          <w:rFonts w:ascii="Calibri" w:cs="Calibri" w:eastAsia="Calibri" w:hAnsi="Calibri"/>
          <w:sz w:val="22"/>
          <w:szCs w:val="22"/>
        </w:rPr>
        <w:t xml:space="preserve"> (tqdm, pyarrow, datasets, openpyxl).</w:t>
      </w:r>
    </w:p>
    <w:p>
      <w:pPr>
        <w:spacing w:after="200" w:line="276"/>
        <w:jc w:val="both"/>
      </w:pPr>
      <w:r>
        <w:rPr>
          <w:rFonts w:ascii="Calibri" w:cs="Calibri" w:eastAsia="Calibri" w:hAnsi="Calibri"/>
          <w:b/>
          <w:bCs/>
          <w:sz w:val="22"/>
          <w:szCs w:val="22"/>
        </w:rPr>
        <w:t xml:space="preserve">Validation automatique des stimuli. </w:t>
      </w:r>
      <w:r>
        <w:rPr>
          <w:rFonts w:ascii="Calibri" w:cs="Calibri" w:eastAsia="Calibri" w:hAnsi="Calibri"/>
          <w:sz w:val="22"/>
          <w:szCs w:val="22"/>
        </w:rPr>
        <w:t xml:space="preserve">Avant tout calcul, une fonction dédiée exécute dix-sept vérifications formelles sur les données d'entrée : nombre exact de paires attendues, unicité des identifiants, absence de texte vide ou de paire identique entre les deux versions genrées, équilibre des listes de prénoms, présence d'au moins trois modèles par famille issus de lignées différentes, conformité des sous-ensembles réellement exécutés. Le notebook s'arrête si une condition échoue : la cohérence des stimuli est vérifiée par du code, pas seulement par relecture.</w:t>
      </w:r>
    </w:p>
    <w:p>
      <w:pPr>
        <w:spacing w:after="200" w:line="276"/>
        <w:jc w:val="both"/>
      </w:pPr>
      <w:r>
        <w:rPr>
          <w:rFonts w:ascii="Calibri" w:cs="Calibri" w:eastAsia="Calibri" w:hAnsi="Calibri"/>
          <w:b/>
          <w:bCs/>
          <w:sz w:val="22"/>
          <w:szCs w:val="22"/>
        </w:rPr>
        <w:t xml:space="preserve">Choix d'implémentation notables. </w:t>
      </w:r>
      <w:r>
        <w:rPr>
          <w:rFonts w:ascii="Calibri" w:cs="Calibri" w:eastAsia="Calibri" w:hAnsi="Calibri"/>
          <w:sz w:val="22"/>
          <w:szCs w:val="22"/>
        </w:rPr>
        <w:t xml:space="preserve">Un candidat LPBS qui se découpe en plusieurs sous-tokens est rejeté avec un message conservé dans les résultats, plutôt qu'ignoré silencieusement. Pour les modèles causaux, la frontière entre prompt et continuation est repérée par alignement de positions de caractères, pour qu'aucun token ne soit compté à cheval entre les deux. La standardisation en z-score du tableau de synthèse final sert uniquement à l'affichage : les tables exportées gardent les unités d'origine de chaque métrique.</w:t>
      </w:r>
    </w:p>
    <w:p>
      <w:pPr>
        <w:spacing w:after="200" w:line="276"/>
        <w:jc w:val="both"/>
      </w:pPr>
      <w:r>
        <w:rPr>
          <w:rFonts w:ascii="Calibri" w:cs="Calibri" w:eastAsia="Calibri" w:hAnsi="Calibri"/>
          <w:b/>
          <w:bCs/>
          <w:sz w:val="22"/>
          <w:szCs w:val="22"/>
        </w:rPr>
        <w:t xml:space="preserve">Adaptateurs pour benchmarks externes. </w:t>
      </w:r>
      <w:r>
        <w:rPr>
          <w:rFonts w:ascii="Calibri" w:cs="Calibri" w:eastAsia="Calibri" w:hAnsi="Calibri"/>
          <w:sz w:val="22"/>
          <w:szCs w:val="22"/>
        </w:rPr>
        <w:t xml:space="preserve">La section 6 bis prépare l'intégration de CrowS-Pairs, StereoSet et HONEST sans les exécuter par défaut : chaque adaptateur reste commenté tant qu'un fichier de données versionné et documenté (source, licence, empreinte SHA-256) n'a pas été ajouté explicitement. Un lexique VAD suit la même logique. Ce choix évite d'intégrer un corpus externe, ou une norme psycholinguistique, sans en tracer la provenance.</w:t>
      </w:r>
    </w:p>
    <w:p>
      <w:pPr>
        <w:spacing w:after="200" w:line="276"/>
        <w:jc w:val="both"/>
      </w:pPr>
      <w:r>
        <w:rPr>
          <w:rFonts w:ascii="Calibri" w:cs="Calibri" w:eastAsia="Calibri" w:hAnsi="Calibri"/>
          <w:b/>
          <w:bCs/>
          <w:sz w:val="22"/>
          <w:szCs w:val="22"/>
        </w:rPr>
        <w:t xml:space="preserve">Robustesse implémentée. </w:t>
      </w:r>
      <w:r>
        <w:rPr>
          <w:rFonts w:ascii="Calibri" w:cs="Calibri" w:eastAsia="Calibri" w:hAnsi="Calibri"/>
          <w:sz w:val="22"/>
          <w:szCs w:val="22"/>
        </w:rPr>
        <w:t xml:space="preserve">Le code prévoit, au-delà de l'exécution principale : remplacement par des paraphrases et des listes de genre alternatives, comparaison à un décodage glouton et à au moins dix graines, sensibilité testée à la température, à top_p et à la tokenisation, réplication partielle en anglais.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2026-08-25T19:22:16.395Z</dcterms:created>
  <dcterms:modified xsi:type="dcterms:W3CDTF">2026-08-25T19:22:16.409Z</dcterms:modified>
</cp:coreProperties>
</file>

<file path=docProps/custom.xml><?xml version="1.0" encoding="utf-8"?>
<Properties xmlns="http://schemas.openxmlformats.org/officeDocument/2006/custom-properties" xmlns:vt="http://schemas.openxmlformats.org/officeDocument/2006/docPropsVTypes"/>
</file>