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4528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PLAN DE RESPUESTA A INCIDENTES DE SEGURIDAD (IRP)</w:t>
      </w:r>
    </w:p>
    <w:p w14:paraId="2FCFB5BF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SISTEMA DE MATCHING Y COLOCACIÓN LABORAL</w:t>
      </w:r>
    </w:p>
    <w:p w14:paraId="4E7C2C4A" w14:textId="77777777" w:rsidR="001B2F1E" w:rsidRPr="001B2F1E" w:rsidRDefault="001B2F1E" w:rsidP="001B2F1E">
      <w:p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Responsable de la Plataforma: CAIL de Loja (en adelante, "La Entidad").</w:t>
      </w:r>
    </w:p>
    <w:p w14:paraId="0CBBF84D" w14:textId="77777777" w:rsidR="001B2F1E" w:rsidRPr="001B2F1E" w:rsidRDefault="001B2F1E" w:rsidP="001B2F1E">
      <w:p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Vigencia: A partir de la fecha de aprobación.</w:t>
      </w:r>
    </w:p>
    <w:p w14:paraId="5BAA774C" w14:textId="7569FB1B" w:rsidR="001B2F1E" w:rsidRPr="001B2F1E" w:rsidRDefault="001B2F1E" w:rsidP="001B2F1E">
      <w:p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Referencia: Basado en las capacidades de Protección de Datos y Auditoría del Sistema.</w:t>
      </w:r>
    </w:p>
    <w:p w14:paraId="35AF9599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1. Objetivo y Alcance</w:t>
      </w:r>
    </w:p>
    <w:p w14:paraId="2C0AD325" w14:textId="77777777" w:rsidR="001B2F1E" w:rsidRPr="001B2F1E" w:rsidRDefault="001B2F1E" w:rsidP="001B2F1E">
      <w:p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 xml:space="preserve">1.1. Objetivo: Definir la metodología, roles y procedimientos para la gestión, contención y resolución de cualquier incidente que afecte la confidencialidad, integridad o disponibilidad (CID) de los datos personales y la infraestructura del Sistema de </w:t>
      </w:r>
      <w:proofErr w:type="spellStart"/>
      <w:r w:rsidRPr="001B2F1E">
        <w:rPr>
          <w:rFonts w:ascii="Arial" w:hAnsi="Arial" w:cs="Arial"/>
        </w:rPr>
        <w:t>Matching</w:t>
      </w:r>
      <w:proofErr w:type="spellEnd"/>
      <w:r w:rsidRPr="001B2F1E">
        <w:rPr>
          <w:rFonts w:ascii="Arial" w:hAnsi="Arial" w:cs="Arial"/>
        </w:rPr>
        <w:t xml:space="preserve"> y Colocación Laboral.</w:t>
      </w:r>
    </w:p>
    <w:p w14:paraId="3652EDA3" w14:textId="77777777" w:rsidR="001B2F1E" w:rsidRPr="001B2F1E" w:rsidRDefault="001B2F1E" w:rsidP="001B2F1E">
      <w:p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1.2. Alcance: Aplica a todo el hardware, software, datos (incluyendo datos sensibles y de ponderación), y personal de CAIL de Loja involucrado en la operación y Seguridad de los datos personales.</w:t>
      </w:r>
    </w:p>
    <w:p w14:paraId="26734CB9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2. Definiciones Clave</w:t>
      </w:r>
    </w:p>
    <w:p w14:paraId="30532C20" w14:textId="77777777" w:rsidR="001B2F1E" w:rsidRPr="001B2F1E" w:rsidRDefault="001B2F1E" w:rsidP="001B2F1E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  <w:b/>
          <w:bCs/>
        </w:rPr>
        <w:t>Incidente de Seguridad:</w:t>
      </w:r>
      <w:r w:rsidRPr="001B2F1E">
        <w:rPr>
          <w:rFonts w:ascii="Arial" w:hAnsi="Arial" w:cs="Arial"/>
        </w:rPr>
        <w:t xml:space="preserve"> Todo evento o serie de eventos que ponga en riesgo la seguridad de la información.</w:t>
      </w:r>
    </w:p>
    <w:p w14:paraId="01D09614" w14:textId="77777777" w:rsidR="001B2F1E" w:rsidRPr="001B2F1E" w:rsidRDefault="001B2F1E" w:rsidP="001B2F1E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  <w:b/>
          <w:bCs/>
        </w:rPr>
        <w:t>Brecha de Datos Personales:</w:t>
      </w:r>
      <w:r w:rsidRPr="001B2F1E">
        <w:rPr>
          <w:rFonts w:ascii="Arial" w:hAnsi="Arial" w:cs="Arial"/>
        </w:rPr>
        <w:t xml:space="preserve"> Incidente que resulte en el acceso, divulgación, alteración o pérdida accidental o ilegal de datos personales de los Titulares.</w:t>
      </w:r>
    </w:p>
    <w:p w14:paraId="3A1A378F" w14:textId="77777777" w:rsidR="001B2F1E" w:rsidRPr="001B2F1E" w:rsidRDefault="001B2F1E" w:rsidP="001B2F1E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  <w:b/>
          <w:bCs/>
        </w:rPr>
        <w:t>Equipo de Respuesta a Incidentes (IRT):</w:t>
      </w:r>
      <w:r w:rsidRPr="001B2F1E">
        <w:rPr>
          <w:rFonts w:ascii="Arial" w:hAnsi="Arial" w:cs="Arial"/>
        </w:rPr>
        <w:t xml:space="preserve"> Grupo de personas responsables de ejecutar el IRP.</w:t>
      </w:r>
    </w:p>
    <w:p w14:paraId="1AD24EEE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3. Estructura del Equipo de Respuesta (IRT)</w:t>
      </w:r>
    </w:p>
    <w:p w14:paraId="112AD31C" w14:textId="77777777" w:rsidR="001B2F1E" w:rsidRPr="001B2F1E" w:rsidRDefault="001B2F1E" w:rsidP="001B2F1E">
      <w:p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El IRT será liderado por roles clave dentro de la Entidad: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6487"/>
      </w:tblGrid>
      <w:tr w:rsidR="001B2F1E" w:rsidRPr="001B2F1E" w14:paraId="736893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19A10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016D3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Responsabilidad Principal</w:t>
            </w:r>
          </w:p>
        </w:tc>
      </w:tr>
      <w:tr w:rsidR="001B2F1E" w:rsidRPr="001B2F1E" w14:paraId="489CB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4BF24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Líder del IRT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5835A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[GERENTE GENERAL / JEFE DE COMPLIANCE]</w:t>
            </w:r>
            <w:r w:rsidRPr="001B2F1E">
              <w:rPr>
                <w:rFonts w:ascii="Arial" w:hAnsi="Arial" w:cs="Arial"/>
              </w:rPr>
              <w:t xml:space="preserve"> (</w:t>
            </w:r>
            <w:proofErr w:type="gramStart"/>
            <w:r w:rsidRPr="001B2F1E">
              <w:rPr>
                <w:rFonts w:ascii="Arial" w:hAnsi="Arial" w:cs="Arial"/>
              </w:rPr>
              <w:t>Responsable</w:t>
            </w:r>
            <w:proofErr w:type="gramEnd"/>
            <w:r w:rsidRPr="001B2F1E">
              <w:rPr>
                <w:rFonts w:ascii="Arial" w:hAnsi="Arial" w:cs="Arial"/>
              </w:rPr>
              <w:t xml:space="preserve"> máximo de las decisiones de notificación).</w:t>
            </w:r>
          </w:p>
        </w:tc>
      </w:tr>
      <w:tr w:rsidR="001B2F1E" w:rsidRPr="001B2F1E" w14:paraId="57A39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769FF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lastRenderedPageBreak/>
              <w:t>Coordinador Técnico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A35EC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[JEFE DE IT / ADMINISTRADOR DEL SISTEMA]</w:t>
            </w:r>
            <w:r w:rsidRPr="001B2F1E">
              <w:rPr>
                <w:rFonts w:ascii="Arial" w:hAnsi="Arial" w:cs="Arial"/>
              </w:rPr>
              <w:t xml:space="preserve"> (</w:t>
            </w:r>
            <w:proofErr w:type="gramStart"/>
            <w:r w:rsidRPr="001B2F1E">
              <w:rPr>
                <w:rFonts w:ascii="Arial" w:hAnsi="Arial" w:cs="Arial"/>
              </w:rPr>
              <w:t>Responsable</w:t>
            </w:r>
            <w:proofErr w:type="gramEnd"/>
            <w:r w:rsidRPr="001B2F1E">
              <w:rPr>
                <w:rFonts w:ascii="Arial" w:hAnsi="Arial" w:cs="Arial"/>
              </w:rPr>
              <w:t xml:space="preserve"> de la contención técnica, análisis forense, y restauración del servicio).</w:t>
            </w:r>
          </w:p>
        </w:tc>
      </w:tr>
      <w:tr w:rsidR="001B2F1E" w:rsidRPr="001B2F1E" w14:paraId="509319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01702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Asesor Legal / DPO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F7834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[ASESOR LEGAL / ENCARGADO DE CUMPLIMIENTO]</w:t>
            </w:r>
            <w:r w:rsidRPr="001B2F1E">
              <w:rPr>
                <w:rFonts w:ascii="Arial" w:hAnsi="Arial" w:cs="Arial"/>
              </w:rPr>
              <w:t xml:space="preserve"> (</w:t>
            </w:r>
            <w:proofErr w:type="gramStart"/>
            <w:r w:rsidRPr="001B2F1E">
              <w:rPr>
                <w:rFonts w:ascii="Arial" w:hAnsi="Arial" w:cs="Arial"/>
              </w:rPr>
              <w:t>Responsable</w:t>
            </w:r>
            <w:proofErr w:type="gramEnd"/>
            <w:r w:rsidRPr="001B2F1E">
              <w:rPr>
                <w:rFonts w:ascii="Arial" w:hAnsi="Arial" w:cs="Arial"/>
              </w:rPr>
              <w:t xml:space="preserve"> de evaluar el impacto legal y gestionar la notificación a la Autoridad de Datos y a los Titulares).</w:t>
            </w:r>
          </w:p>
        </w:tc>
      </w:tr>
      <w:tr w:rsidR="001B2F1E" w:rsidRPr="001B2F1E" w14:paraId="34854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6A064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Comunicaciones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3E216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[ENCARGADO DE COMUNICACIONES]</w:t>
            </w:r>
            <w:r w:rsidRPr="001B2F1E">
              <w:rPr>
                <w:rFonts w:ascii="Arial" w:hAnsi="Arial" w:cs="Arial"/>
              </w:rPr>
              <w:t xml:space="preserve"> (</w:t>
            </w:r>
            <w:proofErr w:type="gramStart"/>
            <w:r w:rsidRPr="001B2F1E">
              <w:rPr>
                <w:rFonts w:ascii="Arial" w:hAnsi="Arial" w:cs="Arial"/>
              </w:rPr>
              <w:t>Responsable</w:t>
            </w:r>
            <w:proofErr w:type="gramEnd"/>
            <w:r w:rsidRPr="001B2F1E">
              <w:rPr>
                <w:rFonts w:ascii="Arial" w:hAnsi="Arial" w:cs="Arial"/>
              </w:rPr>
              <w:t xml:space="preserve"> de la comunicación interna y externa (p. ej., a Titulares) en coordinación con el Asesor Legal).</w:t>
            </w:r>
          </w:p>
        </w:tc>
      </w:tr>
    </w:tbl>
    <w:p w14:paraId="778CB8EF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4. Clasificación y Criterios de Gravedad</w:t>
      </w:r>
    </w:p>
    <w:p w14:paraId="6C9FAC19" w14:textId="77777777" w:rsidR="001B2F1E" w:rsidRPr="001B2F1E" w:rsidRDefault="001B2F1E" w:rsidP="001B2F1E">
      <w:p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Los incidentes se clasificarán según su impacto en el riesgo de los derechos y libertades de los Titulares, tomando en cuenta la criticidad de los datos afectados (ej. Cédula, Puntaje Global, Desempeño Histórico).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4479"/>
        <w:gridCol w:w="3025"/>
      </w:tblGrid>
      <w:tr w:rsidR="001B2F1E" w:rsidRPr="001B2F1E" w14:paraId="561806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A1DEA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Nivel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A63F6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9B8EB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Ejemplo de Incidente en el Sistema</w:t>
            </w:r>
          </w:p>
        </w:tc>
      </w:tr>
      <w:tr w:rsidR="001B2F1E" w:rsidRPr="001B2F1E" w14:paraId="73796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B9BD9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6D7A2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</w:rPr>
              <w:t>Falla operativa que no expone datos personales (ej. Falla menor de un servicio, lentitud).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B28CE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</w:rPr>
              <w:t xml:space="preserve">Error en la </w:t>
            </w:r>
            <w:r w:rsidRPr="001B2F1E">
              <w:rPr>
                <w:rFonts w:ascii="Arial" w:hAnsi="Arial" w:cs="Arial"/>
                <w:b/>
                <w:bCs/>
              </w:rPr>
              <w:t>Generación de Reportes</w:t>
            </w:r>
            <w:r w:rsidRPr="001B2F1E">
              <w:rPr>
                <w:rFonts w:ascii="Arial" w:hAnsi="Arial" w:cs="Arial"/>
              </w:rPr>
              <w:t xml:space="preserve"> (UC-11).</w:t>
            </w:r>
          </w:p>
        </w:tc>
      </w:tr>
      <w:tr w:rsidR="001B2F1E" w:rsidRPr="001B2F1E" w14:paraId="386B6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6DB8D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17AC7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</w:rPr>
              <w:t>Incidente de seguridad que afecta la disponibilidad de un sistema no crítico o expone datos no sensibles.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FF3DE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</w:rPr>
              <w:t xml:space="preserve">Falla temporal en el </w:t>
            </w:r>
            <w:r w:rsidRPr="001B2F1E">
              <w:rPr>
                <w:rFonts w:ascii="Arial" w:hAnsi="Arial" w:cs="Arial"/>
                <w:b/>
                <w:bCs/>
              </w:rPr>
              <w:t>Monitoreo de Seguridad</w:t>
            </w:r>
            <w:r w:rsidRPr="001B2F1E">
              <w:rPr>
                <w:rFonts w:ascii="Arial" w:hAnsi="Arial" w:cs="Arial"/>
              </w:rPr>
              <w:t>.</w:t>
            </w:r>
          </w:p>
        </w:tc>
      </w:tr>
      <w:tr w:rsidR="001B2F1E" w:rsidRPr="001B2F1E" w14:paraId="408D6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1848D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  <w:b/>
                <w:bCs/>
              </w:rPr>
              <w:t>Alto / Brecha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6D67D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</w:rPr>
              <w:t xml:space="preserve">Incidente que afecta la confidencialidad de </w:t>
            </w:r>
            <w:r w:rsidRPr="001B2F1E">
              <w:rPr>
                <w:rFonts w:ascii="Arial" w:hAnsi="Arial" w:cs="Arial"/>
                <w:b/>
                <w:bCs/>
              </w:rPr>
              <w:t>datos sensibles</w:t>
            </w:r>
            <w:r w:rsidRPr="001B2F1E">
              <w:rPr>
                <w:rFonts w:ascii="Arial" w:hAnsi="Arial" w:cs="Arial"/>
              </w:rPr>
              <w:t xml:space="preserve"> (Cédula, Desempeño Histórico) o compromete la capacidad de la </w:t>
            </w:r>
            <w:r w:rsidRPr="001B2F1E">
              <w:rPr>
                <w:rFonts w:ascii="Arial" w:hAnsi="Arial" w:cs="Arial"/>
                <w:b/>
                <w:bCs/>
              </w:rPr>
              <w:t>Protección de Datos</w:t>
            </w:r>
            <w:r w:rsidRPr="001B2F1E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F34E7" w14:textId="77777777" w:rsidR="001B2F1E" w:rsidRPr="001B2F1E" w:rsidRDefault="001B2F1E" w:rsidP="001B2F1E">
            <w:pPr>
              <w:spacing w:line="360" w:lineRule="auto"/>
              <w:rPr>
                <w:rFonts w:ascii="Arial" w:hAnsi="Arial" w:cs="Arial"/>
              </w:rPr>
            </w:pPr>
            <w:r w:rsidRPr="001B2F1E">
              <w:rPr>
                <w:rFonts w:ascii="Arial" w:hAnsi="Arial" w:cs="Arial"/>
              </w:rPr>
              <w:t xml:space="preserve">Acceso no autorizado a la base de datos cifrada de perfiles; Pérdida de </w:t>
            </w:r>
            <w:proofErr w:type="spellStart"/>
            <w:r w:rsidRPr="001B2F1E">
              <w:rPr>
                <w:rFonts w:ascii="Arial" w:hAnsi="Arial" w:cs="Arial"/>
                <w:i/>
                <w:iCs/>
              </w:rPr>
              <w:t>backups</w:t>
            </w:r>
            <w:proofErr w:type="spellEnd"/>
            <w:r w:rsidRPr="001B2F1E">
              <w:rPr>
                <w:rFonts w:ascii="Arial" w:hAnsi="Arial" w:cs="Arial"/>
              </w:rPr>
              <w:t xml:space="preserve"> encriptados.</w:t>
            </w:r>
          </w:p>
        </w:tc>
      </w:tr>
    </w:tbl>
    <w:p w14:paraId="0B4DA469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5. Fases del Plan de Respuesta (Metodología)</w:t>
      </w:r>
    </w:p>
    <w:p w14:paraId="3CA8F9BB" w14:textId="77777777" w:rsidR="001B2F1E" w:rsidRPr="001B2F1E" w:rsidRDefault="001B2F1E" w:rsidP="001B2F1E">
      <w:p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El IRT seguirá un ciclo de seis fases para gestionar cualquier incidente de seguridad:</w:t>
      </w:r>
    </w:p>
    <w:p w14:paraId="39814D81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Fase 1: Preparación y Detección</w:t>
      </w:r>
    </w:p>
    <w:p w14:paraId="30872E26" w14:textId="77777777" w:rsidR="001B2F1E" w:rsidRPr="001B2F1E" w:rsidRDefault="001B2F1E" w:rsidP="001B2F1E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  <w:b/>
          <w:bCs/>
        </w:rPr>
        <w:lastRenderedPageBreak/>
        <w:t>Preparación:</w:t>
      </w:r>
      <w:r w:rsidRPr="001B2F1E">
        <w:rPr>
          <w:rFonts w:ascii="Arial" w:hAnsi="Arial" w:cs="Arial"/>
        </w:rPr>
        <w:t xml:space="preserve"> Asegurar que las capacidades de </w:t>
      </w:r>
      <w:r w:rsidRPr="001B2F1E">
        <w:rPr>
          <w:rFonts w:ascii="Arial" w:hAnsi="Arial" w:cs="Arial"/>
          <w:b/>
          <w:bCs/>
        </w:rPr>
        <w:t>Pruebas de Seguridad</w:t>
      </w:r>
      <w:r w:rsidRPr="001B2F1E">
        <w:rPr>
          <w:rFonts w:ascii="Arial" w:hAnsi="Arial" w:cs="Arial"/>
        </w:rPr>
        <w:t xml:space="preserve"> se ejecuten periódicamente para reducir vulnerabilidades. Mantener actualizados los roles del IRT y las listas de contacto.</w:t>
      </w:r>
    </w:p>
    <w:p w14:paraId="4D022AF1" w14:textId="77777777" w:rsidR="001B2F1E" w:rsidRPr="001B2F1E" w:rsidRDefault="001B2F1E" w:rsidP="001B2F1E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  <w:b/>
          <w:bCs/>
        </w:rPr>
        <w:t>Detección:</w:t>
      </w:r>
      <w:r w:rsidRPr="001B2F1E">
        <w:rPr>
          <w:rFonts w:ascii="Arial" w:hAnsi="Arial" w:cs="Arial"/>
        </w:rPr>
        <w:t xml:space="preserve"> El </w:t>
      </w:r>
      <w:r w:rsidRPr="001B2F1E">
        <w:rPr>
          <w:rFonts w:ascii="Arial" w:hAnsi="Arial" w:cs="Arial"/>
          <w:b/>
          <w:bCs/>
        </w:rPr>
        <w:t>Monitoreo de Seguridad</w:t>
      </w:r>
      <w:r w:rsidRPr="001B2F1E">
        <w:rPr>
          <w:rFonts w:ascii="Arial" w:hAnsi="Arial" w:cs="Arial"/>
        </w:rPr>
        <w:t xml:space="preserve"> detecta actividades anómalas (accesos inusuales, fallas de </w:t>
      </w:r>
      <w:r w:rsidRPr="001B2F1E">
        <w:rPr>
          <w:rFonts w:ascii="Arial" w:hAnsi="Arial" w:cs="Arial"/>
          <w:i/>
          <w:iCs/>
        </w:rPr>
        <w:t>firewall</w:t>
      </w:r>
      <w:r w:rsidRPr="001B2F1E">
        <w:rPr>
          <w:rFonts w:ascii="Arial" w:hAnsi="Arial" w:cs="Arial"/>
        </w:rPr>
        <w:t>). El Administrador o el sistema de logs notifica al IRT.</w:t>
      </w:r>
    </w:p>
    <w:p w14:paraId="67362FCC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Fase 2: Análisis y Clasificación</w:t>
      </w:r>
    </w:p>
    <w:p w14:paraId="24D4938E" w14:textId="77777777" w:rsidR="001B2F1E" w:rsidRPr="001B2F1E" w:rsidRDefault="001B2F1E" w:rsidP="001B2F1E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El Coordinador Técnico verifica la validez del incidente.</w:t>
      </w:r>
    </w:p>
    <w:p w14:paraId="0A2D7E63" w14:textId="77777777" w:rsidR="001B2F1E" w:rsidRPr="001B2F1E" w:rsidRDefault="001B2F1E" w:rsidP="001B2F1E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Se determina la causa raíz, los datos afectados (tipos de datos, número de titulares), y se clasifica la gravedad (Alto/Medio/Bajo).</w:t>
      </w:r>
    </w:p>
    <w:p w14:paraId="0E56609A" w14:textId="77777777" w:rsidR="001B2F1E" w:rsidRPr="001B2F1E" w:rsidRDefault="001B2F1E" w:rsidP="001B2F1E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 xml:space="preserve">Si se confirma una </w:t>
      </w:r>
      <w:r w:rsidRPr="001B2F1E">
        <w:rPr>
          <w:rFonts w:ascii="Arial" w:hAnsi="Arial" w:cs="Arial"/>
          <w:b/>
          <w:bCs/>
        </w:rPr>
        <w:t>Brecha de Datos Personales</w:t>
      </w:r>
      <w:r w:rsidRPr="001B2F1E">
        <w:rPr>
          <w:rFonts w:ascii="Arial" w:hAnsi="Arial" w:cs="Arial"/>
        </w:rPr>
        <w:t>, se pasa inmediatamente a la Fase 3.</w:t>
      </w:r>
    </w:p>
    <w:p w14:paraId="22C4B61C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Fase 3: Contención y Erradicación</w:t>
      </w:r>
    </w:p>
    <w:p w14:paraId="6F8B128E" w14:textId="77777777" w:rsidR="001B2F1E" w:rsidRPr="001B2F1E" w:rsidRDefault="001B2F1E" w:rsidP="001B2F1E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  <w:b/>
          <w:bCs/>
        </w:rPr>
        <w:t>Contención:</w:t>
      </w:r>
      <w:r w:rsidRPr="001B2F1E">
        <w:rPr>
          <w:rFonts w:ascii="Arial" w:hAnsi="Arial" w:cs="Arial"/>
        </w:rPr>
        <w:t xml:space="preserve"> Aísla los sistemas afectados (desconexión de servidores, bloqueo de acceso) para limitar el daño, sin destruir la evidencia forense.</w:t>
      </w:r>
    </w:p>
    <w:p w14:paraId="4553CF3E" w14:textId="77777777" w:rsidR="001B2F1E" w:rsidRPr="001B2F1E" w:rsidRDefault="001B2F1E" w:rsidP="001B2F1E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  <w:b/>
          <w:bCs/>
        </w:rPr>
        <w:t>Erradicación:</w:t>
      </w:r>
      <w:r w:rsidRPr="001B2F1E">
        <w:rPr>
          <w:rFonts w:ascii="Arial" w:hAnsi="Arial" w:cs="Arial"/>
        </w:rPr>
        <w:t xml:space="preserve"> El equipo técnico elimina la causa raíz (p. ej., elimina el </w:t>
      </w:r>
      <w:proofErr w:type="gramStart"/>
      <w:r w:rsidRPr="001B2F1E">
        <w:rPr>
          <w:rFonts w:ascii="Arial" w:hAnsi="Arial" w:cs="Arial"/>
          <w:i/>
          <w:iCs/>
        </w:rPr>
        <w:t>malware</w:t>
      </w:r>
      <w:proofErr w:type="gramEnd"/>
      <w:r w:rsidRPr="001B2F1E">
        <w:rPr>
          <w:rFonts w:ascii="Arial" w:hAnsi="Arial" w:cs="Arial"/>
        </w:rPr>
        <w:t xml:space="preserve">, parchea la vulnerabilidad detectada por las </w:t>
      </w:r>
      <w:r w:rsidRPr="001B2F1E">
        <w:rPr>
          <w:rFonts w:ascii="Arial" w:hAnsi="Arial" w:cs="Arial"/>
          <w:b/>
          <w:bCs/>
        </w:rPr>
        <w:t>Pruebas de Seguridad</w:t>
      </w:r>
      <w:r w:rsidRPr="001B2F1E">
        <w:rPr>
          <w:rFonts w:ascii="Arial" w:hAnsi="Arial" w:cs="Arial"/>
        </w:rPr>
        <w:t>).</w:t>
      </w:r>
    </w:p>
    <w:p w14:paraId="3B424887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Fase 4: Recuperación y Restauración</w:t>
      </w:r>
    </w:p>
    <w:p w14:paraId="78E5360F" w14:textId="77777777" w:rsidR="001B2F1E" w:rsidRPr="001B2F1E" w:rsidRDefault="001B2F1E" w:rsidP="001B2F1E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 xml:space="preserve">Se utiliza el proceso de </w:t>
      </w:r>
      <w:r w:rsidRPr="001B2F1E">
        <w:rPr>
          <w:rFonts w:ascii="Arial" w:hAnsi="Arial" w:cs="Arial"/>
          <w:b/>
          <w:bCs/>
        </w:rPr>
        <w:t xml:space="preserve">Restauración de </w:t>
      </w:r>
      <w:proofErr w:type="spellStart"/>
      <w:r w:rsidRPr="001B2F1E">
        <w:rPr>
          <w:rFonts w:ascii="Arial" w:hAnsi="Arial" w:cs="Arial"/>
          <w:b/>
          <w:bCs/>
        </w:rPr>
        <w:t>Backups</w:t>
      </w:r>
      <w:proofErr w:type="spellEnd"/>
      <w:r w:rsidRPr="001B2F1E">
        <w:rPr>
          <w:rFonts w:ascii="Arial" w:hAnsi="Arial" w:cs="Arial"/>
        </w:rPr>
        <w:t xml:space="preserve"> para devolver el sistema a su estado original seguro.</w:t>
      </w:r>
    </w:p>
    <w:p w14:paraId="0C57E78C" w14:textId="77777777" w:rsidR="001B2F1E" w:rsidRPr="001B2F1E" w:rsidRDefault="001B2F1E" w:rsidP="001B2F1E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 xml:space="preserve">Se realizan pruebas de integridad (incluyendo la funcionalidad del </w:t>
      </w:r>
      <w:proofErr w:type="spellStart"/>
      <w:r w:rsidRPr="001B2F1E">
        <w:rPr>
          <w:rFonts w:ascii="Arial" w:hAnsi="Arial" w:cs="Arial"/>
          <w:b/>
          <w:bCs/>
        </w:rPr>
        <w:t>Matching</w:t>
      </w:r>
      <w:proofErr w:type="spellEnd"/>
      <w:r w:rsidRPr="001B2F1E">
        <w:rPr>
          <w:rFonts w:ascii="Arial" w:hAnsi="Arial" w:cs="Arial"/>
          <w:b/>
          <w:bCs/>
        </w:rPr>
        <w:t xml:space="preserve"> Automático</w:t>
      </w:r>
      <w:r w:rsidRPr="001B2F1E">
        <w:rPr>
          <w:rFonts w:ascii="Arial" w:hAnsi="Arial" w:cs="Arial"/>
        </w:rPr>
        <w:t>) para confirmar la completa erradicación.</w:t>
      </w:r>
    </w:p>
    <w:p w14:paraId="235A9059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Fase 5: Notificación Legal (Obligatoria para Brechas Altas)</w:t>
      </w:r>
    </w:p>
    <w:p w14:paraId="6460596E" w14:textId="77777777" w:rsidR="001B2F1E" w:rsidRPr="001B2F1E" w:rsidRDefault="001B2F1E" w:rsidP="001B2F1E">
      <w:p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 xml:space="preserve">Si el incidente constituye una </w:t>
      </w:r>
      <w:r w:rsidRPr="001B2F1E">
        <w:rPr>
          <w:rFonts w:ascii="Arial" w:hAnsi="Arial" w:cs="Arial"/>
          <w:b/>
          <w:bCs/>
        </w:rPr>
        <w:t>Brecha de Datos Personales de riesgo alto</w:t>
      </w:r>
      <w:r w:rsidRPr="001B2F1E">
        <w:rPr>
          <w:rFonts w:ascii="Arial" w:hAnsi="Arial" w:cs="Arial"/>
        </w:rPr>
        <w:t xml:space="preserve"> (según la LOPDP):</w:t>
      </w:r>
    </w:p>
    <w:p w14:paraId="5F53CC84" w14:textId="77777777" w:rsidR="001B2F1E" w:rsidRPr="001B2F1E" w:rsidRDefault="001B2F1E" w:rsidP="001B2F1E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  <w:b/>
          <w:bCs/>
        </w:rPr>
        <w:t>Asesor Legal:</w:t>
      </w:r>
      <w:r w:rsidRPr="001B2F1E">
        <w:rPr>
          <w:rFonts w:ascii="Arial" w:hAnsi="Arial" w:cs="Arial"/>
        </w:rPr>
        <w:t xml:space="preserve"> Evalúa el riesgo a los derechos del Titular.</w:t>
      </w:r>
    </w:p>
    <w:p w14:paraId="2CD9D1F3" w14:textId="77777777" w:rsidR="001B2F1E" w:rsidRPr="001B2F1E" w:rsidRDefault="001B2F1E" w:rsidP="001B2F1E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  <w:b/>
          <w:bCs/>
        </w:rPr>
        <w:t>Autoridad de Datos (Ecuador):</w:t>
      </w:r>
      <w:r w:rsidRPr="001B2F1E">
        <w:rPr>
          <w:rFonts w:ascii="Arial" w:hAnsi="Arial" w:cs="Arial"/>
        </w:rPr>
        <w:t xml:space="preserve"> Se notifica a la Autoridad competente dentro de las 72 horas siguientes a la toma de conocimiento del incidente.</w:t>
      </w:r>
    </w:p>
    <w:p w14:paraId="3B5823A1" w14:textId="77777777" w:rsidR="001B2F1E" w:rsidRPr="001B2F1E" w:rsidRDefault="001B2F1E" w:rsidP="001B2F1E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  <w:b/>
          <w:bCs/>
        </w:rPr>
        <w:t>Titulares de Datos:</w:t>
      </w:r>
      <w:r w:rsidRPr="001B2F1E">
        <w:rPr>
          <w:rFonts w:ascii="Arial" w:hAnsi="Arial" w:cs="Arial"/>
        </w:rPr>
        <w:t xml:space="preserve"> Se notifica a los </w:t>
      </w:r>
      <w:r w:rsidRPr="001B2F1E">
        <w:rPr>
          <w:rFonts w:ascii="Arial" w:hAnsi="Arial" w:cs="Arial"/>
          <w:b/>
          <w:bCs/>
        </w:rPr>
        <w:t>Empleados</w:t>
      </w:r>
      <w:r w:rsidRPr="001B2F1E">
        <w:rPr>
          <w:rFonts w:ascii="Arial" w:hAnsi="Arial" w:cs="Arial"/>
        </w:rPr>
        <w:t xml:space="preserve"> (Titulares) afectados, usando el contacto registrado (Email/SMS), informando sobre:</w:t>
      </w:r>
    </w:p>
    <w:p w14:paraId="3F5BB4D9" w14:textId="77777777" w:rsidR="001B2F1E" w:rsidRPr="001B2F1E" w:rsidRDefault="001B2F1E" w:rsidP="001B2F1E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lastRenderedPageBreak/>
        <w:t>La naturaleza del incidente.</w:t>
      </w:r>
    </w:p>
    <w:p w14:paraId="3C35CF1C" w14:textId="77777777" w:rsidR="001B2F1E" w:rsidRPr="001B2F1E" w:rsidRDefault="001B2F1E" w:rsidP="001B2F1E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Los datos comprometidos.</w:t>
      </w:r>
    </w:p>
    <w:p w14:paraId="77573CAF" w14:textId="77777777" w:rsidR="001B2F1E" w:rsidRPr="001B2F1E" w:rsidRDefault="001B2F1E" w:rsidP="001B2F1E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Las medidas adoptadas para mitigar el riesgo.</w:t>
      </w:r>
    </w:p>
    <w:p w14:paraId="68C00BC5" w14:textId="77777777" w:rsidR="001B2F1E" w:rsidRPr="001B2F1E" w:rsidRDefault="001B2F1E" w:rsidP="001B2F1E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Recomendaciones para el Titular.</w:t>
      </w:r>
    </w:p>
    <w:p w14:paraId="2A906AB2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Fase 6: Lecciones Aprendidas y Post-Incidente</w:t>
      </w:r>
    </w:p>
    <w:p w14:paraId="0159F83F" w14:textId="77777777" w:rsidR="001B2F1E" w:rsidRPr="001B2F1E" w:rsidRDefault="001B2F1E" w:rsidP="001B2F1E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El IRT documenta el incidente y el proceso de respuesta.</w:t>
      </w:r>
    </w:p>
    <w:p w14:paraId="73954A99" w14:textId="77777777" w:rsidR="001B2F1E" w:rsidRPr="001B2F1E" w:rsidRDefault="001B2F1E" w:rsidP="001B2F1E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 xml:space="preserve">Se utiliza la </w:t>
      </w:r>
      <w:r w:rsidRPr="001B2F1E">
        <w:rPr>
          <w:rFonts w:ascii="Arial" w:hAnsi="Arial" w:cs="Arial"/>
          <w:b/>
          <w:bCs/>
        </w:rPr>
        <w:t>Auditoría del Sistema</w:t>
      </w:r>
      <w:r w:rsidRPr="001B2F1E">
        <w:rPr>
          <w:rFonts w:ascii="Arial" w:hAnsi="Arial" w:cs="Arial"/>
        </w:rPr>
        <w:t xml:space="preserve"> para analizar los logs y logs del incidente.</w:t>
      </w:r>
    </w:p>
    <w:p w14:paraId="415BB4E3" w14:textId="77777777" w:rsidR="001B2F1E" w:rsidRPr="001B2F1E" w:rsidRDefault="001B2F1E" w:rsidP="001B2F1E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Se implementan mejoras permanentes para evitar la recurrencia.</w:t>
      </w:r>
    </w:p>
    <w:p w14:paraId="76373DA8" w14:textId="77777777" w:rsidR="001B2F1E" w:rsidRPr="001B2F1E" w:rsidRDefault="001B2F1E" w:rsidP="001B2F1E">
      <w:pPr>
        <w:spacing w:line="360" w:lineRule="auto"/>
        <w:rPr>
          <w:rFonts w:ascii="Arial" w:hAnsi="Arial" w:cs="Arial"/>
          <w:b/>
          <w:bCs/>
        </w:rPr>
      </w:pPr>
      <w:r w:rsidRPr="001B2F1E">
        <w:rPr>
          <w:rFonts w:ascii="Arial" w:hAnsi="Arial" w:cs="Arial"/>
          <w:b/>
          <w:bCs/>
        </w:rPr>
        <w:t>6. Referencias</w:t>
      </w:r>
    </w:p>
    <w:p w14:paraId="40454407" w14:textId="77777777" w:rsidR="001B2F1E" w:rsidRPr="001B2F1E" w:rsidRDefault="001B2F1E" w:rsidP="001B2F1E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Política de Protección de Datos Personales de CAIL de Loja.</w:t>
      </w:r>
    </w:p>
    <w:p w14:paraId="3C4F8CE5" w14:textId="77777777" w:rsidR="001B2F1E" w:rsidRPr="001B2F1E" w:rsidRDefault="001B2F1E" w:rsidP="001B2F1E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  <w:b/>
          <w:bCs/>
        </w:rPr>
        <w:t>LOPDP de Ecuador</w:t>
      </w:r>
      <w:r w:rsidRPr="001B2F1E">
        <w:rPr>
          <w:rFonts w:ascii="Arial" w:hAnsi="Arial" w:cs="Arial"/>
        </w:rPr>
        <w:t>.</w:t>
      </w:r>
    </w:p>
    <w:p w14:paraId="52DD0A8D" w14:textId="77777777" w:rsidR="001B2F1E" w:rsidRPr="001B2F1E" w:rsidRDefault="001B2F1E" w:rsidP="001B2F1E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1B2F1E">
        <w:rPr>
          <w:rFonts w:ascii="Arial" w:hAnsi="Arial" w:cs="Arial"/>
        </w:rPr>
        <w:t>Capacidades del Sistema (Módulos de Seguridad).</w:t>
      </w:r>
    </w:p>
    <w:p w14:paraId="166EA383" w14:textId="77777777" w:rsidR="00A65B6E" w:rsidRPr="001B2F1E" w:rsidRDefault="00A65B6E" w:rsidP="001B2F1E">
      <w:pPr>
        <w:spacing w:line="360" w:lineRule="auto"/>
        <w:rPr>
          <w:rFonts w:ascii="Arial" w:hAnsi="Arial" w:cs="Arial"/>
        </w:rPr>
      </w:pPr>
    </w:p>
    <w:sectPr w:rsidR="00A65B6E" w:rsidRPr="001B2F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2CD9"/>
    <w:multiLevelType w:val="multilevel"/>
    <w:tmpl w:val="6D3C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C5082"/>
    <w:multiLevelType w:val="multilevel"/>
    <w:tmpl w:val="B91A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66D15"/>
    <w:multiLevelType w:val="multilevel"/>
    <w:tmpl w:val="1FE2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004B4"/>
    <w:multiLevelType w:val="multilevel"/>
    <w:tmpl w:val="1AA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439EB"/>
    <w:multiLevelType w:val="multilevel"/>
    <w:tmpl w:val="60E0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D13E3"/>
    <w:multiLevelType w:val="multilevel"/>
    <w:tmpl w:val="22C8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22D6A"/>
    <w:multiLevelType w:val="multilevel"/>
    <w:tmpl w:val="FE46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5659F"/>
    <w:multiLevelType w:val="multilevel"/>
    <w:tmpl w:val="C1EA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17342">
    <w:abstractNumId w:val="5"/>
  </w:num>
  <w:num w:numId="2" w16cid:durableId="1142960105">
    <w:abstractNumId w:val="3"/>
  </w:num>
  <w:num w:numId="3" w16cid:durableId="719519860">
    <w:abstractNumId w:val="4"/>
  </w:num>
  <w:num w:numId="4" w16cid:durableId="974480760">
    <w:abstractNumId w:val="2"/>
  </w:num>
  <w:num w:numId="5" w16cid:durableId="831456532">
    <w:abstractNumId w:val="7"/>
  </w:num>
  <w:num w:numId="6" w16cid:durableId="1091122049">
    <w:abstractNumId w:val="6"/>
  </w:num>
  <w:num w:numId="7" w16cid:durableId="1263298266">
    <w:abstractNumId w:val="1"/>
  </w:num>
  <w:num w:numId="8" w16cid:durableId="111309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1E"/>
    <w:rsid w:val="00140E81"/>
    <w:rsid w:val="001B2F1E"/>
    <w:rsid w:val="00654C27"/>
    <w:rsid w:val="00785A27"/>
    <w:rsid w:val="00837171"/>
    <w:rsid w:val="00A65B6E"/>
    <w:rsid w:val="00AC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7349E"/>
  <w15:chartTrackingRefBased/>
  <w15:docId w15:val="{21694FCD-8972-4CA4-B984-C8607A0A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2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2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2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2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2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2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2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2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2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2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2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2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2F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2F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2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2F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2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2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2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2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2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2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2F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2F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2F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2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2F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2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797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JHANDRY JOSUE SOLORZANO ORELLANA</dc:creator>
  <cp:keywords/>
  <dc:description/>
  <cp:lastModifiedBy>JHANDRY JOSUE SOLORZANO ORELLANA</cp:lastModifiedBy>
  <cp:revision>2</cp:revision>
  <dcterms:created xsi:type="dcterms:W3CDTF">2025-11-21T23:07:00Z</dcterms:created>
  <dcterms:modified xsi:type="dcterms:W3CDTF">2025-11-21T23:08:00Z</dcterms:modified>
</cp:coreProperties>
</file>