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Кузнецова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навыки работы с физической рабочей областью Packet Tracer, а также учесть физические параметры сети.</w:t>
      </w:r>
    </w:p>
    <w:bookmarkEnd w:id="20"/>
    <w:bookmarkStart w:id="5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проект с названием lab_PT-06.pkt и сохраним его под названием lab_PT-07.pkt. После чего откроем его для дальнейшего редактирования.</w:t>
      </w:r>
    </w:p>
    <w:p>
      <w:pPr>
        <w:pStyle w:val="CaptionedFigure"/>
      </w:pPr>
      <w:bookmarkStart w:id="22" w:name="fig:001"/>
      <w:r>
        <w:drawing>
          <wp:inline>
            <wp:extent cx="1155031" cy="346509"/>
            <wp:effectExtent b="0" l="0" r="0" t="0"/>
            <wp:docPr descr="Открытие проекта lab_PT-07.pkt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31" cy="3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Открытие проекта lab_PT-07.pkt</w:t>
      </w:r>
    </w:p>
    <w:p>
      <w:pPr>
        <w:pStyle w:val="BodyText"/>
      </w:pPr>
      <w:r>
        <w:t xml:space="preserve">Перейдите в физическую рабочую область Packet Tracer. Присвоим название городу — Moscow.</w:t>
      </w:r>
    </w:p>
    <w:p>
      <w:pPr>
        <w:pStyle w:val="CaptionedFigure"/>
      </w:pPr>
      <w:bookmarkStart w:id="24" w:name="fig:002"/>
      <w:r>
        <w:drawing>
          <wp:inline>
            <wp:extent cx="4138863" cy="2897204"/>
            <wp:effectExtent b="0" l="0" r="0" t="0"/>
            <wp:docPr descr="Открытие физической рабочей области Packet Tracer и присвоим названия городу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63" cy="2897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Открытие физической рабочей области Packet Tracer и присвоим названия городу</w:t>
      </w:r>
    </w:p>
    <w:p>
      <w:pPr>
        <w:pStyle w:val="BodyText"/>
      </w:pPr>
      <w:r>
        <w:t xml:space="preserve">Щёлкнув на изображении города, мы увидим изображение здания. Присвоим ему название Donskaya. Добавим здание для территории Pavlovskaya.</w:t>
      </w:r>
    </w:p>
    <w:p>
      <w:pPr>
        <w:pStyle w:val="CaptionedFigure"/>
      </w:pPr>
      <w:bookmarkStart w:id="26" w:name="fig:003"/>
      <w:r>
        <w:drawing>
          <wp:inline>
            <wp:extent cx="5334000" cy="1976266"/>
            <wp:effectExtent b="0" l="0" r="0" t="0"/>
            <wp:docPr descr="Присвоение зданию названия Donskaya и добавление здания для территории Pavlovskaya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6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Присвоение зданию названия Donskaya и добавление здания для территории Pavlovskaya</w:t>
      </w:r>
    </w:p>
    <w:p>
      <w:pPr>
        <w:pStyle w:val="BodyText"/>
      </w:pPr>
      <w:r>
        <w:t xml:space="preserve">Щёлкнув на изображении здания Donskaya, переместим изображение, обозначающее серверное помещение, в него.</w:t>
      </w:r>
    </w:p>
    <w:p>
      <w:pPr>
        <w:pStyle w:val="CaptionedFigure"/>
      </w:pPr>
      <w:bookmarkStart w:id="28" w:name="fig:004"/>
      <w:r>
        <w:drawing>
          <wp:inline>
            <wp:extent cx="5334000" cy="4856837"/>
            <wp:effectExtent b="0" l="0" r="0" t="0"/>
            <wp:docPr descr="Перемещение изображения, обозначающее серверное помещение, внутрь здани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6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Перемещение изображения, обозначающее серверное помещение, внутрь здания</w:t>
      </w:r>
    </w:p>
    <w:p>
      <w:pPr>
        <w:pStyle w:val="BodyText"/>
      </w:pPr>
      <w:r>
        <w:t xml:space="preserve">Затем щёлкнув на изображении серверной, мы увидим отображение серверных стоек. Переместим коммутатор msk-pavlovskaya-svkuznecova-sw-1 и два оконечных устройства dk-pavlovskaya-1 и other-pavlovskaya-1 на территорию Pavlovskaya, используя меню Move физической рабочей области Packet Tracer.</w:t>
      </w:r>
    </w:p>
    <w:p>
      <w:pPr>
        <w:pStyle w:val="CaptionedFigure"/>
      </w:pPr>
      <w:bookmarkStart w:id="30" w:name="fig:005"/>
      <w:r>
        <w:drawing>
          <wp:inline>
            <wp:extent cx="5334000" cy="2132124"/>
            <wp:effectExtent b="0" l="0" r="0" t="0"/>
            <wp:docPr descr="Перемещение коммутатора msk-pavlovskaya-svkuznecova-sw-1 на территорию Pavlovskaya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2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Перемещение коммутатора msk-pavlovskaya-svkuznecova-sw-1 на территорию Pavlovskaya</w:t>
      </w:r>
    </w:p>
    <w:p>
      <w:pPr>
        <w:pStyle w:val="CaptionedFigure"/>
      </w:pPr>
      <w:bookmarkStart w:id="32" w:name="fig:006"/>
      <w:r>
        <w:drawing>
          <wp:inline>
            <wp:extent cx="5303520" cy="1482290"/>
            <wp:effectExtent b="0" l="0" r="0" t="0"/>
            <wp:docPr descr="Перемещение оконечных устройства dk-pavlovskaya-1 и other-pavlovskaya-1 на территорию Pavlovskaya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482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Перемещение оконечных устройства dk-pavlovskaya-1 и other-pavlovskaya-1 на территорию Pavlovskaya</w:t>
      </w:r>
    </w:p>
    <w:p>
      <w:pPr>
        <w:pStyle w:val="BodyText"/>
      </w:pPr>
      <w:r>
        <w:t xml:space="preserve">Вернувшись в логическую рабочую область Packet Tracer, пропингуем с коммутатора msk-donskaya-svkuznecova-sw-1 коммутатор msk-pavlovskaya-svkuznecova-sw-1 и убедимся в работоспособности соединения.</w:t>
      </w:r>
    </w:p>
    <w:p>
      <w:pPr>
        <w:pStyle w:val="CaptionedFigure"/>
      </w:pPr>
      <w:bookmarkStart w:id="34" w:name="fig:007"/>
      <w:r>
        <w:drawing>
          <wp:inline>
            <wp:extent cx="4860757" cy="2079056"/>
            <wp:effectExtent b="0" l="0" r="0" t="0"/>
            <wp:docPr descr="Пинг с коммутатора msk-donskaya-svkuznecova-sw-1 коммутатор msk-pavlovskaya-svkuznecova-sw-1(проверка работоспособности соединения)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2079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Пинг с коммутатора msk-donskaya-svkuznecova-sw-1 коммутатор msk-pavlovskaya-svkuznecova-sw-1(проверка работоспособности соединения)</w:t>
      </w:r>
    </w:p>
    <w:p>
      <w:pPr>
        <w:pStyle w:val="BodyText"/>
      </w:pPr>
      <w:r>
        <w:t xml:space="preserve">Далее в меню Options, Preferences во вкладке Interface активируем разрешение на учёт физических характеристик среды передачи (Enable Cable Length Effects).</w:t>
      </w:r>
    </w:p>
    <w:p>
      <w:pPr>
        <w:pStyle w:val="CaptionedFigure"/>
      </w:pPr>
      <w:bookmarkStart w:id="36" w:name="fig:008"/>
      <w:r>
        <w:drawing>
          <wp:inline>
            <wp:extent cx="3609473" cy="1828800"/>
            <wp:effectExtent b="0" l="0" r="0" t="0"/>
            <wp:docPr descr="Активация разрешения на учёт физических характеристик среды передачи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73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Активация разрешения на учёт физических характеристик среды передачи</w:t>
      </w:r>
    </w:p>
    <w:p>
      <w:pPr>
        <w:pStyle w:val="BodyText"/>
      </w:pPr>
      <w:r>
        <w:t xml:space="preserve">Теперь в физической рабочей области Packet Tracer разместим две территории на расстоянии более 100 м друг от друга.</w:t>
      </w:r>
    </w:p>
    <w:p>
      <w:pPr>
        <w:pStyle w:val="CaptionedFigure"/>
      </w:pPr>
      <w:bookmarkStart w:id="38" w:name="fig:009"/>
      <w:r>
        <w:drawing>
          <wp:inline>
            <wp:extent cx="5334000" cy="3295762"/>
            <wp:effectExtent b="0" l="0" r="0" t="0"/>
            <wp:docPr descr="Размещение двух территории на расстоянии более 100 м друг от друг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5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Размещение двух территории на расстоянии более 100 м друг от друга</w:t>
      </w:r>
    </w:p>
    <w:p>
      <w:pPr>
        <w:pStyle w:val="BodyText"/>
      </w:pPr>
      <w:r>
        <w:t xml:space="preserve">Вернувшись в логическую рабочую область Packet Tracer, пропингуем с коммутатора msk-donskaya-svkuznecova-sw-1 коммутатор msk-pavlovskaya-svkuznecova-sw-1 и убедимся в неработоспособности соединения.</w:t>
      </w:r>
    </w:p>
    <w:p>
      <w:pPr>
        <w:pStyle w:val="CaptionedFigure"/>
      </w:pPr>
      <w:bookmarkStart w:id="40" w:name="fig:010"/>
      <w:r>
        <w:drawing>
          <wp:inline>
            <wp:extent cx="4918509" cy="895149"/>
            <wp:effectExtent b="0" l="0" r="0" t="0"/>
            <wp:docPr descr="Пинг с коммутатора msk-donskaya-svkuznecova-sw-1 коммутатор msk-pavlovskaya-svkuznecova-sw-1(проверка неработоспособности соединения)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895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Пинг с коммутатора msk-donskaya-svkuznecova-sw-1 коммутатор msk-pavlovskaya-svkuznecova-sw-1(проверка неработоспособности соединения)</w:t>
      </w:r>
    </w:p>
    <w:p>
      <w:pPr>
        <w:pStyle w:val="BodyText"/>
      </w:pPr>
      <w:r>
        <w:t xml:space="preserve">Далее удалим соединение между msk-donskaya-svkuznecova-sw-1 и msk-pavlovskaya-svkuznecova-sw-1. Добавим в логическую рабочую область два повторителя (Repeater-PT). Присвоим им соответствующие названия msk-donskaya-svkuznecova-mc-1 и msk-pavlovskaya-svkuznecova-mc-1. Заменим имеющиеся модули на PT-REPEATER- NM-1FFE и PT-REPEATER-NM-1CFE для подключения оптоволокна и витой пары по технологии Fast Ethernet.</w:t>
      </w:r>
    </w:p>
    <w:p>
      <w:pPr>
        <w:pStyle w:val="CaptionedFigure"/>
      </w:pPr>
      <w:bookmarkStart w:id="42" w:name="fig:011"/>
      <w:r>
        <w:drawing>
          <wp:inline>
            <wp:extent cx="5334000" cy="3311743"/>
            <wp:effectExtent b="0" l="0" r="0" t="0"/>
            <wp:docPr descr="Добавление в логическую рабочую область два повторителя (Repeater-PT)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1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Добавление в логическую рабочую область два повторителя (Repeater-PT)</w:t>
      </w:r>
    </w:p>
    <w:p>
      <w:pPr>
        <w:pStyle w:val="CaptionedFigure"/>
      </w:pPr>
      <w:bookmarkStart w:id="44" w:name="fig:012"/>
      <w:r>
        <w:drawing>
          <wp:inline>
            <wp:extent cx="3022332" cy="1289785"/>
            <wp:effectExtent b="0" l="0" r="0" t="0"/>
            <wp:docPr descr="Замена имеющиеся модули на PT-REPEATER- NM-1FFE и PT-REPEATER-NM-1CFE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32" cy="1289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Замена имеющиеся модули на PT-REPEATER- NM-1FFE и PT-REPEATER-NM-1CFE</w:t>
      </w:r>
    </w:p>
    <w:p>
      <w:pPr>
        <w:pStyle w:val="BodyText"/>
      </w:pPr>
      <w:r>
        <w:t xml:space="preserve">Переместим msk-pavlovskaya-svkuznecova-mc-1 на территорию Pavlovskaya (в физиче-ской рабочей области Packet Tracer).</w:t>
      </w:r>
    </w:p>
    <w:p>
      <w:pPr>
        <w:pStyle w:val="CaptionedFigure"/>
      </w:pPr>
      <w:bookmarkStart w:id="46" w:name="fig:013"/>
      <w:r>
        <w:drawing>
          <wp:inline>
            <wp:extent cx="5334000" cy="2912712"/>
            <wp:effectExtent b="0" l="0" r="0" t="0"/>
            <wp:docPr descr="Перемещение msk-pavlovskaya-svkuznecova-mc-1 на территорию Pavlovskaya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2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Перемещение msk-pavlovskaya-svkuznecova-mc-1 на территорию Pavlovskaya</w:t>
      </w:r>
    </w:p>
    <w:p>
      <w:pPr>
        <w:pStyle w:val="BodyText"/>
      </w:pPr>
      <w:r>
        <w:t xml:space="preserve">Теперь подключим коммутатор msk-donskaya-svkuznecova-sw-1 к msk-donskaya-svkuznecova-mc-1 по витой паре, msk-donskaya-svkuznecova-mc-1 и msk-pavlovskaya-mc-1 — по оптоволокну, msk-pavlovskaya-svkuznecova-sw-1 к msk-pavlovskaya-svkuznecova-mc-1 — по витой паре.</w:t>
      </w:r>
    </w:p>
    <w:p>
      <w:pPr>
        <w:pStyle w:val="CaptionedFigure"/>
      </w:pPr>
      <w:bookmarkStart w:id="48" w:name="fig:014"/>
      <w:r>
        <w:drawing>
          <wp:inline>
            <wp:extent cx="5334000" cy="3338512"/>
            <wp:effectExtent b="0" l="0" r="0" t="0"/>
            <wp:docPr descr="Подключение коммутаторов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8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Подключение коммутаторов</w:t>
      </w:r>
    </w:p>
    <w:p>
      <w:pPr>
        <w:pStyle w:val="BodyText"/>
      </w:pPr>
      <w:r>
        <w:t xml:space="preserve">Убедимся в работоспособности соединения между msk-donskaya-svkuznecova-sw-1 и msk-pavlovskaya-svkuznecova-sw-1.</w:t>
      </w:r>
    </w:p>
    <w:p>
      <w:pPr>
        <w:pStyle w:val="CaptionedFigure"/>
      </w:pPr>
      <w:bookmarkStart w:id="50" w:name="fig:015"/>
      <w:r>
        <w:drawing>
          <wp:inline>
            <wp:extent cx="4918509" cy="1145406"/>
            <wp:effectExtent b="0" l="0" r="0" t="0"/>
            <wp:docPr descr="Пинг с коммутатора msk-donskaya-svkuznecova-sw-1 коммутатор msk-pavlovskaya-svkuznecova-sw-1(проверка работоспособности соединения)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1145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Пинг с коммутатора msk-donskaya-svkuznecova-sw-1 коммутатор msk-pavlovskaya-svkuznecova-sw-1(проверка работоспособности соединения)</w:t>
      </w:r>
    </w:p>
    <w:bookmarkEnd w:id="51"/>
    <w:bookmarkStart w:id="5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получили навыки работы с физической рабочей областью Packet Tracer, а также научились учитывать физические параметры сети.</w:t>
      </w:r>
    </w:p>
    <w:bookmarkEnd w:id="52"/>
    <w:bookmarkStart w:id="53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Перечислите возможные среды передачи данных. На какие характеристики среды передачи данных следует обращать внимание при планировании сети?</w:t>
      </w:r>
    </w:p>
    <w:p>
      <w:pPr>
        <w:numPr>
          <w:ilvl w:val="0"/>
          <w:numId w:val="1002"/>
        </w:numPr>
        <w:pStyle w:val="Compact"/>
      </w:pPr>
      <w:r>
        <w:t xml:space="preserve">Коаксиал, витая пара, оптоволокно, беспроводные. Допустимое расстояние, скорость передачи, реальные физические факторы для беспроводных сетей.</w:t>
      </w:r>
    </w:p>
    <w:p>
      <w:pPr>
        <w:numPr>
          <w:ilvl w:val="0"/>
          <w:numId w:val="1003"/>
        </w:numPr>
        <w:pStyle w:val="Compact"/>
      </w:pPr>
      <w:r>
        <w:t xml:space="preserve">Перечислите категории витой пары. Чем они отличаются? Какая категория в каких условиях может применяться?</w:t>
      </w:r>
    </w:p>
    <w:p>
      <w:pPr>
        <w:numPr>
          <w:ilvl w:val="0"/>
          <w:numId w:val="1004"/>
        </w:numPr>
        <w:pStyle w:val="Compact"/>
      </w:pPr>
      <w:r>
        <w:t xml:space="preserve">Существует несколько категорий кабеля «витая пара», которые нумеруются от 1 до 8 и определяют эффективный пропускаемый частотный диапазон Категории отличаются диапазоном частот, строением кабелей, скоростью передачи. Применяются в зависимости от требуемой скорости передачи/века.</w:t>
      </w:r>
    </w:p>
    <w:p>
      <w:pPr>
        <w:numPr>
          <w:ilvl w:val="0"/>
          <w:numId w:val="1005"/>
        </w:numPr>
        <w:pStyle w:val="Compact"/>
      </w:pPr>
      <w:r>
        <w:t xml:space="preserve">В чем отличие одномодового и многомодового оптоволокна? Какой тип кабеля в каких условиях может применяться?</w:t>
      </w:r>
    </w:p>
    <w:p>
      <w:pPr>
        <w:numPr>
          <w:ilvl w:val="0"/>
          <w:numId w:val="1006"/>
        </w:numPr>
        <w:pStyle w:val="Compact"/>
      </w:pPr>
      <w:r>
        <w:t xml:space="preserve">В количестве проходящих лучей. Одномодовые — дороже, многомодовые — охватывают меньшее расстояние.</w:t>
      </w:r>
    </w:p>
    <w:p>
      <w:pPr>
        <w:numPr>
          <w:ilvl w:val="0"/>
          <w:numId w:val="1007"/>
        </w:numPr>
        <w:pStyle w:val="Compact"/>
      </w:pPr>
      <w:r>
        <w:t xml:space="preserve">Какие разъёмы встречаются на патчах оптоволокна? Чем они отличаются?</w:t>
      </w:r>
    </w:p>
    <w:p>
      <w:pPr>
        <w:numPr>
          <w:ilvl w:val="0"/>
          <w:numId w:val="1008"/>
        </w:numPr>
        <w:pStyle w:val="Compact"/>
      </w:pPr>
      <w:r>
        <w:t xml:space="preserve">SC — высокая скорость и плотность коммутации, ненадежный корпус. ST — меньшая плотность коммутации, надежный корпус. FC — большая сложность коммутации.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Студент: Кузнецова София Вадимовна</dc:creator>
  <dc:language>ru-RU</dc:language>
  <cp:keywords/>
  <dcterms:created xsi:type="dcterms:W3CDTF">2025-03-27T21:20:29Z</dcterms:created>
  <dcterms:modified xsi:type="dcterms:W3CDTF">2025-03-27T21:20:29Z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Администрирование локальных сетей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